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交银施罗德内核驱动混合型证券投资基金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247A8" w:rsidRDefault="00F549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基金的过往业绩并不代表其未来表现。投资有风</w:t>
      </w:r>
      <w:r>
        <w:rPr>
          <w:color w:val="000000"/>
          <w:sz w:val="24"/>
          <w:szCs w:val="24"/>
        </w:rPr>
        <w:t>险，投资者在作出投资决策前应仔细阅读本基金的招募说明书。</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13</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交银内核驱动混合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008507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008507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7,298,717,329.15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在严格控制风险的前提下，追求超越业绩比较基准的投资回报，力争实现基金资产的长期稳健增值。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E247A8" w:rsidRDefault="00F549F9">
            <w:pPr>
              <w:adjustRightInd w:val="0"/>
              <w:spacing w:before="29" w:line="288" w:lineRule="auto"/>
              <w:ind w:left="17"/>
              <w:jc w:val="left"/>
              <w:rPr>
                <w:color w:val="000000"/>
                <w:sz w:val="24"/>
                <w:szCs w:val="24"/>
              </w:rPr>
            </w:pPr>
            <w:r>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本基金主要运用交银施罗德股票研究分析方法等投资分析工具，在把握宏观经济运行趋势和股票市场行业轮动的基础上，充分发挥公司股票研究团队</w:t>
            </w:r>
            <w:r w:rsidRPr="00414345">
              <w:rPr>
                <w:color w:val="000000"/>
                <w:kern w:val="0"/>
                <w:sz w:val="24"/>
                <w:szCs w:val="24"/>
              </w:rPr>
              <w:t>“</w:t>
            </w:r>
            <w:r w:rsidRPr="00414345">
              <w:rPr>
                <w:color w:val="000000"/>
                <w:kern w:val="0"/>
                <w:sz w:val="24"/>
                <w:szCs w:val="24"/>
              </w:rPr>
              <w:t>自下而</w:t>
            </w:r>
            <w:r w:rsidRPr="00414345">
              <w:rPr>
                <w:color w:val="000000"/>
                <w:kern w:val="0"/>
                <w:sz w:val="24"/>
                <w:szCs w:val="24"/>
              </w:rPr>
              <w:lastRenderedPageBreak/>
              <w:t>上</w:t>
            </w:r>
            <w:r w:rsidRPr="00414345">
              <w:rPr>
                <w:color w:val="000000"/>
                <w:kern w:val="0"/>
                <w:sz w:val="24"/>
                <w:szCs w:val="24"/>
              </w:rPr>
              <w:t>”</w:t>
            </w:r>
            <w:r w:rsidRPr="00414345">
              <w:rPr>
                <w:color w:val="000000"/>
                <w:kern w:val="0"/>
                <w:sz w:val="24"/>
                <w:szCs w:val="24"/>
              </w:rPr>
              <w:t>的主动选股能力，基于对个股深入的基本面研究和细致的实地调研，精选股票构建股票投资组合。本基金股票投资重点关注以企业核心经营理念为驱动力，追求质量型发展的优质企业。本基金主要采用定性的方法对企业核心经营理念进行综合评估，采用定量的方法遴选优质个股。</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中证综合债券指数收益率</w:t>
            </w:r>
            <w:r w:rsidRPr="00414345">
              <w:rPr>
                <w:color w:val="000000"/>
                <w:kern w:val="0"/>
                <w:sz w:val="24"/>
                <w:szCs w:val="24"/>
              </w:rPr>
              <w:t>×30%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549F9" w:rsidRPr="00414345" w:rsidTr="00F549F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13</w:t>
            </w:r>
            <w:r w:rsidRPr="00414345">
              <w:rPr>
                <w:color w:val="000000"/>
                <w:sz w:val="24"/>
                <w:szCs w:val="24"/>
              </w:rPr>
              <w:t>日（基金合同生效日）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549F9" w:rsidRPr="00414345" w:rsidTr="00F549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8,342,173.58</w:t>
            </w:r>
          </w:p>
        </w:tc>
      </w:tr>
      <w:tr w:rsidR="00F549F9" w:rsidRPr="00414345" w:rsidTr="00F549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-198,506,087.39</w:t>
            </w:r>
          </w:p>
        </w:tc>
      </w:tr>
      <w:tr w:rsidR="00F549F9" w:rsidRPr="00414345" w:rsidTr="00F549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F549F9">
            <w:pPr>
              <w:adjustRightInd w:val="0"/>
              <w:spacing w:before="29" w:line="288" w:lineRule="auto"/>
              <w:ind w:left="17"/>
              <w:jc w:val="right"/>
              <w:rPr>
                <w:color w:val="000000"/>
                <w:sz w:val="24"/>
                <w:szCs w:val="24"/>
              </w:rPr>
            </w:pPr>
            <w:r w:rsidRPr="00414345">
              <w:rPr>
                <w:color w:val="000000"/>
                <w:sz w:val="24"/>
                <w:szCs w:val="24"/>
              </w:rPr>
              <w:t>-0.030</w:t>
            </w:r>
            <w:r w:rsidR="00F549F9">
              <w:rPr>
                <w:color w:val="000000"/>
                <w:sz w:val="24"/>
                <w:szCs w:val="24"/>
              </w:rPr>
              <w:t>1</w:t>
            </w:r>
            <w:bookmarkStart w:id="0" w:name="_GoBack"/>
            <w:bookmarkEnd w:id="0"/>
          </w:p>
        </w:tc>
      </w:tr>
      <w:tr w:rsidR="00F549F9" w:rsidRPr="00414345" w:rsidTr="00F549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7,152,604,767.51</w:t>
            </w:r>
          </w:p>
        </w:tc>
      </w:tr>
      <w:tr w:rsidR="00F549F9" w:rsidRPr="00414345" w:rsidTr="00F549F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0.9800</w:t>
            </w:r>
          </w:p>
        </w:tc>
      </w:tr>
    </w:tbl>
    <w:p w:rsidR="00E247A8" w:rsidRDefault="00F549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E247A8" w:rsidRDefault="00F549F9">
      <w:pPr>
        <w:autoSpaceDE w:val="0"/>
        <w:autoSpaceDN w:val="0"/>
        <w:adjustRightInd w:val="0"/>
        <w:spacing w:before="29" w:line="288" w:lineRule="auto"/>
        <w:jc w:val="left"/>
        <w:rPr>
          <w:color w:val="000000"/>
          <w:sz w:val="24"/>
          <w:szCs w:val="24"/>
        </w:rPr>
      </w:pPr>
      <w:r>
        <w:rPr>
          <w:color w:val="000000"/>
          <w:sz w:val="24"/>
          <w:szCs w:val="24"/>
        </w:rPr>
        <w:t>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3</w:t>
      </w:r>
      <w:r w:rsidRPr="00414345">
        <w:rPr>
          <w:color w:val="000000"/>
          <w:sz w:val="24"/>
          <w:szCs w:val="24"/>
        </w:rPr>
        <w:t>、本基金合同生效日为</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13</w:t>
      </w:r>
      <w:r w:rsidRPr="00414345">
        <w:rPr>
          <w:color w:val="000000"/>
          <w:sz w:val="24"/>
          <w:szCs w:val="24"/>
        </w:rPr>
        <w:t>日，基金合同生效日至本报告期期末，本基金运作时间未满三个月。</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247A8">
        <w:trPr>
          <w:jc w:val="center"/>
        </w:trPr>
        <w:tc>
          <w:tcPr>
            <w:tcW w:w="1701" w:type="dxa"/>
            <w:vAlign w:val="center"/>
          </w:tcPr>
          <w:p w:rsidR="00E247A8" w:rsidRDefault="00F549F9">
            <w:pPr>
              <w:jc w:val="left"/>
            </w:pPr>
            <w:r>
              <w:rPr>
                <w:color w:val="000000"/>
                <w:sz w:val="24"/>
                <w:szCs w:val="24"/>
              </w:rPr>
              <w:t>过去三个月</w:t>
            </w:r>
          </w:p>
        </w:tc>
        <w:tc>
          <w:tcPr>
            <w:tcW w:w="1045" w:type="dxa"/>
            <w:vAlign w:val="center"/>
          </w:tcPr>
          <w:p w:rsidR="00E247A8" w:rsidRDefault="00F549F9">
            <w:pPr>
              <w:jc w:val="center"/>
            </w:pPr>
            <w:r>
              <w:rPr>
                <w:color w:val="000000"/>
                <w:sz w:val="24"/>
                <w:szCs w:val="24"/>
              </w:rPr>
              <w:t>-2.00%</w:t>
            </w:r>
          </w:p>
        </w:tc>
        <w:tc>
          <w:tcPr>
            <w:tcW w:w="1344" w:type="dxa"/>
            <w:vAlign w:val="center"/>
          </w:tcPr>
          <w:p w:rsidR="00E247A8" w:rsidRDefault="00F549F9">
            <w:pPr>
              <w:jc w:val="center"/>
            </w:pPr>
            <w:r>
              <w:rPr>
                <w:color w:val="000000"/>
                <w:sz w:val="24"/>
                <w:szCs w:val="24"/>
              </w:rPr>
              <w:t>1.10%</w:t>
            </w:r>
          </w:p>
        </w:tc>
        <w:tc>
          <w:tcPr>
            <w:tcW w:w="1194" w:type="dxa"/>
            <w:vAlign w:val="center"/>
          </w:tcPr>
          <w:p w:rsidR="00E247A8" w:rsidRDefault="00F549F9">
            <w:pPr>
              <w:jc w:val="center"/>
            </w:pPr>
            <w:r>
              <w:rPr>
                <w:color w:val="000000"/>
                <w:sz w:val="24"/>
                <w:szCs w:val="24"/>
              </w:rPr>
              <w:t>-7.28%</w:t>
            </w:r>
          </w:p>
        </w:tc>
        <w:tc>
          <w:tcPr>
            <w:tcW w:w="1492" w:type="dxa"/>
            <w:vAlign w:val="center"/>
          </w:tcPr>
          <w:p w:rsidR="00E247A8" w:rsidRDefault="00F549F9">
            <w:pPr>
              <w:jc w:val="center"/>
            </w:pPr>
            <w:r>
              <w:rPr>
                <w:color w:val="000000"/>
                <w:sz w:val="24"/>
                <w:szCs w:val="24"/>
              </w:rPr>
              <w:t>1.42%</w:t>
            </w:r>
          </w:p>
        </w:tc>
        <w:tc>
          <w:tcPr>
            <w:tcW w:w="1194" w:type="dxa"/>
            <w:vAlign w:val="center"/>
          </w:tcPr>
          <w:p w:rsidR="00E247A8" w:rsidRDefault="00F549F9">
            <w:pPr>
              <w:jc w:val="center"/>
            </w:pPr>
            <w:r>
              <w:rPr>
                <w:color w:val="000000"/>
                <w:sz w:val="24"/>
                <w:szCs w:val="24"/>
              </w:rPr>
              <w:t>5.28%</w:t>
            </w:r>
          </w:p>
        </w:tc>
        <w:tc>
          <w:tcPr>
            <w:tcW w:w="898" w:type="dxa"/>
            <w:vAlign w:val="center"/>
          </w:tcPr>
          <w:p w:rsidR="00E247A8" w:rsidRDefault="00F549F9">
            <w:pPr>
              <w:jc w:val="center"/>
            </w:pPr>
            <w:r>
              <w:rPr>
                <w:color w:val="000000"/>
                <w:sz w:val="24"/>
                <w:szCs w:val="24"/>
              </w:rPr>
              <w:t>-0.32%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交银施罗德内核驱动混合型证券投资基金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247A8">
        <w:trPr>
          <w:jc w:val="center"/>
        </w:trPr>
        <w:tc>
          <w:tcPr>
            <w:tcW w:w="846" w:type="dxa"/>
            <w:vAlign w:val="center"/>
          </w:tcPr>
          <w:p w:rsidR="00E247A8" w:rsidRDefault="00F549F9">
            <w:pPr>
              <w:jc w:val="center"/>
            </w:pPr>
            <w:r>
              <w:rPr>
                <w:color w:val="000000"/>
                <w:sz w:val="24"/>
                <w:szCs w:val="24"/>
              </w:rPr>
              <w:t>杨浩</w:t>
            </w:r>
          </w:p>
        </w:tc>
        <w:tc>
          <w:tcPr>
            <w:tcW w:w="845" w:type="dxa"/>
            <w:vAlign w:val="center"/>
          </w:tcPr>
          <w:p w:rsidR="00E247A8" w:rsidRDefault="00F549F9">
            <w:pPr>
              <w:jc w:val="center"/>
            </w:pPr>
            <w:r>
              <w:rPr>
                <w:color w:val="000000"/>
                <w:sz w:val="24"/>
                <w:szCs w:val="24"/>
              </w:rPr>
              <w:t>交银定期支付双息平衡混合、交银新生活力灵活配置混合、交银内核驱动混合、交银科锐科技创新混合的基金经理</w:t>
            </w:r>
          </w:p>
        </w:tc>
        <w:tc>
          <w:tcPr>
            <w:tcW w:w="1549" w:type="dxa"/>
            <w:vAlign w:val="center"/>
          </w:tcPr>
          <w:p w:rsidR="00E247A8" w:rsidRDefault="00F549F9">
            <w:pPr>
              <w:jc w:val="center"/>
            </w:pPr>
            <w:r>
              <w:rPr>
                <w:color w:val="000000"/>
                <w:sz w:val="24"/>
                <w:szCs w:val="24"/>
              </w:rPr>
              <w:t>2020-01-13</w:t>
            </w:r>
          </w:p>
        </w:tc>
        <w:tc>
          <w:tcPr>
            <w:tcW w:w="1548" w:type="dxa"/>
            <w:vAlign w:val="center"/>
          </w:tcPr>
          <w:p w:rsidR="00E247A8" w:rsidRDefault="00F549F9">
            <w:pPr>
              <w:jc w:val="center"/>
            </w:pPr>
            <w:r>
              <w:rPr>
                <w:color w:val="000000"/>
                <w:sz w:val="24"/>
                <w:szCs w:val="24"/>
              </w:rPr>
              <w:t>-</w:t>
            </w:r>
          </w:p>
        </w:tc>
        <w:tc>
          <w:tcPr>
            <w:tcW w:w="1407" w:type="dxa"/>
            <w:vAlign w:val="center"/>
          </w:tcPr>
          <w:p w:rsidR="00E247A8" w:rsidRDefault="00F549F9">
            <w:pPr>
              <w:jc w:val="center"/>
            </w:pPr>
            <w:r>
              <w:rPr>
                <w:color w:val="000000"/>
                <w:sz w:val="24"/>
                <w:szCs w:val="24"/>
              </w:rPr>
              <w:t>10</w:t>
            </w:r>
            <w:r>
              <w:rPr>
                <w:color w:val="000000"/>
                <w:sz w:val="24"/>
                <w:szCs w:val="24"/>
              </w:rPr>
              <w:t>年</w:t>
            </w:r>
          </w:p>
        </w:tc>
        <w:tc>
          <w:tcPr>
            <w:tcW w:w="2673" w:type="dxa"/>
            <w:vAlign w:val="center"/>
          </w:tcPr>
          <w:p w:rsidR="00E247A8" w:rsidRDefault="00F549F9">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247A8" w:rsidRDefault="00F549F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247A8" w:rsidRDefault="00F549F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247A8" w:rsidRDefault="00F549F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247A8" w:rsidRDefault="00F549F9">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市场主要受到新冠疫情的影响。二月在短期的流动性刺激下，科技板块表现出较大的弹性进而泡沫化，而随着疫情蔓延到全球，海外疫情超预期的发展，市场逐步形成全球衰退预期，三月市场遭遇较大回撤。整体而言，必选消费、公共服务等行业表现较为抗跌，而能源、出口型消费和制造企业跌幅很大。</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目前尚处于建仓期。疫情的影响目前尚未结束，对疫情后国际关系、全球化进程、对国内今年的经济增长目标、刺激政策的动向市场众说纷纭，我们认为这都是非常难以判断的事情，我们也不会基于某一个宏观的判断，而大幅度的去做仓位选择和行业配置调整。在疫情中，我们观察到优秀的公司没有停下修炼内功的步伐，过去持续的研发投入，较好的资金储备，规整的管理体系，使得他们在疫情期间表现出较好的经营稳定性，这也有助于他们在疫情结束后，获得更大的市场份额。经济进入较低增长期间，结构性，供给面研究我们认为是一个消除不确定性的可行之道。</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4,906,832,018.18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4,906,832,018.18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2,226,500.00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2,226,500.00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2,294,621,448.25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31.79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14,646,421.59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7,218,326,388.02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195,759,420.00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2,308,196,317.30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370,425,300.00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889,526,720.84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177,397,067.25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134,660,152.03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71,706,898.80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285,354,118.17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41,767,180.00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432,038,843.79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4,906,832,018.18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247A8">
        <w:trPr>
          <w:jc w:val="center"/>
        </w:trPr>
        <w:tc>
          <w:tcPr>
            <w:tcW w:w="855" w:type="dxa"/>
            <w:vAlign w:val="center"/>
          </w:tcPr>
          <w:p w:rsidR="00E247A8" w:rsidRDefault="00F549F9">
            <w:pPr>
              <w:jc w:val="center"/>
            </w:pPr>
            <w:r>
              <w:rPr>
                <w:color w:val="000000"/>
                <w:sz w:val="24"/>
                <w:szCs w:val="24"/>
              </w:rPr>
              <w:t>1</w:t>
            </w:r>
          </w:p>
        </w:tc>
        <w:tc>
          <w:tcPr>
            <w:tcW w:w="1334" w:type="dxa"/>
            <w:vAlign w:val="center"/>
          </w:tcPr>
          <w:p w:rsidR="00E247A8" w:rsidRDefault="00F549F9">
            <w:pPr>
              <w:jc w:val="center"/>
            </w:pPr>
            <w:r>
              <w:rPr>
                <w:color w:val="000000"/>
                <w:sz w:val="24"/>
                <w:szCs w:val="24"/>
              </w:rPr>
              <w:t>002352</w:t>
            </w:r>
          </w:p>
        </w:tc>
        <w:tc>
          <w:tcPr>
            <w:tcW w:w="1777" w:type="dxa"/>
            <w:vAlign w:val="center"/>
          </w:tcPr>
          <w:p w:rsidR="00E247A8" w:rsidRDefault="00F549F9">
            <w:pPr>
              <w:jc w:val="center"/>
            </w:pPr>
            <w:r>
              <w:rPr>
                <w:color w:val="000000"/>
                <w:sz w:val="24"/>
                <w:szCs w:val="24"/>
              </w:rPr>
              <w:t>顺丰控股</w:t>
            </w:r>
          </w:p>
        </w:tc>
        <w:tc>
          <w:tcPr>
            <w:tcW w:w="1334" w:type="dxa"/>
            <w:vAlign w:val="center"/>
          </w:tcPr>
          <w:p w:rsidR="00E247A8" w:rsidRDefault="00F549F9">
            <w:pPr>
              <w:jc w:val="right"/>
            </w:pPr>
            <w:r>
              <w:rPr>
                <w:color w:val="000000"/>
                <w:sz w:val="24"/>
                <w:szCs w:val="24"/>
              </w:rPr>
              <w:t>7,882,500</w:t>
            </w:r>
          </w:p>
        </w:tc>
        <w:tc>
          <w:tcPr>
            <w:tcW w:w="1924" w:type="dxa"/>
            <w:vAlign w:val="center"/>
          </w:tcPr>
          <w:p w:rsidR="00E247A8" w:rsidRDefault="00F549F9">
            <w:pPr>
              <w:jc w:val="right"/>
            </w:pPr>
            <w:r>
              <w:rPr>
                <w:color w:val="000000"/>
                <w:sz w:val="24"/>
                <w:szCs w:val="24"/>
              </w:rPr>
              <w:t>370,425,300.00</w:t>
            </w:r>
          </w:p>
        </w:tc>
        <w:tc>
          <w:tcPr>
            <w:tcW w:w="1644" w:type="dxa"/>
            <w:vAlign w:val="center"/>
          </w:tcPr>
          <w:p w:rsidR="00E247A8" w:rsidRDefault="00F549F9">
            <w:pPr>
              <w:jc w:val="right"/>
            </w:pPr>
            <w:r>
              <w:rPr>
                <w:color w:val="000000"/>
                <w:sz w:val="24"/>
                <w:szCs w:val="24"/>
              </w:rPr>
              <w:t>5.18</w:t>
            </w:r>
          </w:p>
        </w:tc>
      </w:tr>
      <w:tr w:rsidR="00E247A8">
        <w:trPr>
          <w:jc w:val="center"/>
        </w:trPr>
        <w:tc>
          <w:tcPr>
            <w:tcW w:w="855" w:type="dxa"/>
            <w:vAlign w:val="center"/>
          </w:tcPr>
          <w:p w:rsidR="00E247A8" w:rsidRDefault="00F549F9">
            <w:pPr>
              <w:jc w:val="center"/>
            </w:pPr>
            <w:r>
              <w:rPr>
                <w:color w:val="000000"/>
                <w:sz w:val="24"/>
                <w:szCs w:val="24"/>
              </w:rPr>
              <w:t>2</w:t>
            </w:r>
          </w:p>
        </w:tc>
        <w:tc>
          <w:tcPr>
            <w:tcW w:w="1334" w:type="dxa"/>
            <w:vAlign w:val="center"/>
          </w:tcPr>
          <w:p w:rsidR="00E247A8" w:rsidRDefault="00F549F9">
            <w:pPr>
              <w:jc w:val="center"/>
            </w:pPr>
            <w:r>
              <w:rPr>
                <w:color w:val="000000"/>
                <w:sz w:val="24"/>
                <w:szCs w:val="24"/>
              </w:rPr>
              <w:t>300413</w:t>
            </w:r>
          </w:p>
        </w:tc>
        <w:tc>
          <w:tcPr>
            <w:tcW w:w="1777" w:type="dxa"/>
            <w:vAlign w:val="center"/>
          </w:tcPr>
          <w:p w:rsidR="00E247A8" w:rsidRDefault="00F549F9">
            <w:pPr>
              <w:jc w:val="center"/>
            </w:pPr>
            <w:r>
              <w:rPr>
                <w:color w:val="000000"/>
                <w:sz w:val="24"/>
                <w:szCs w:val="24"/>
              </w:rPr>
              <w:t>芒果超媒</w:t>
            </w:r>
          </w:p>
        </w:tc>
        <w:tc>
          <w:tcPr>
            <w:tcW w:w="1334" w:type="dxa"/>
            <w:vAlign w:val="center"/>
          </w:tcPr>
          <w:p w:rsidR="00E247A8" w:rsidRDefault="00F549F9">
            <w:pPr>
              <w:jc w:val="right"/>
            </w:pPr>
            <w:r>
              <w:rPr>
                <w:color w:val="000000"/>
                <w:sz w:val="24"/>
                <w:szCs w:val="24"/>
              </w:rPr>
              <w:t>7,298,781</w:t>
            </w:r>
          </w:p>
        </w:tc>
        <w:tc>
          <w:tcPr>
            <w:tcW w:w="1924" w:type="dxa"/>
            <w:vAlign w:val="center"/>
          </w:tcPr>
          <w:p w:rsidR="00E247A8" w:rsidRDefault="00F549F9">
            <w:pPr>
              <w:jc w:val="right"/>
            </w:pPr>
            <w:r>
              <w:rPr>
                <w:color w:val="000000"/>
                <w:sz w:val="24"/>
                <w:szCs w:val="24"/>
              </w:rPr>
              <w:t>318,153,863.79</w:t>
            </w:r>
          </w:p>
        </w:tc>
        <w:tc>
          <w:tcPr>
            <w:tcW w:w="1644" w:type="dxa"/>
            <w:vAlign w:val="center"/>
          </w:tcPr>
          <w:p w:rsidR="00E247A8" w:rsidRDefault="00F549F9">
            <w:pPr>
              <w:jc w:val="right"/>
            </w:pPr>
            <w:r>
              <w:rPr>
                <w:color w:val="000000"/>
                <w:sz w:val="24"/>
                <w:szCs w:val="24"/>
              </w:rPr>
              <w:t>4.45</w:t>
            </w:r>
          </w:p>
        </w:tc>
      </w:tr>
      <w:tr w:rsidR="00E247A8">
        <w:trPr>
          <w:jc w:val="center"/>
        </w:trPr>
        <w:tc>
          <w:tcPr>
            <w:tcW w:w="855" w:type="dxa"/>
            <w:vAlign w:val="center"/>
          </w:tcPr>
          <w:p w:rsidR="00E247A8" w:rsidRDefault="00F549F9">
            <w:pPr>
              <w:jc w:val="center"/>
            </w:pPr>
            <w:r>
              <w:rPr>
                <w:color w:val="000000"/>
                <w:sz w:val="24"/>
                <w:szCs w:val="24"/>
              </w:rPr>
              <w:t>3</w:t>
            </w:r>
          </w:p>
        </w:tc>
        <w:tc>
          <w:tcPr>
            <w:tcW w:w="1334" w:type="dxa"/>
            <w:vAlign w:val="center"/>
          </w:tcPr>
          <w:p w:rsidR="00E247A8" w:rsidRDefault="00F549F9">
            <w:pPr>
              <w:jc w:val="center"/>
            </w:pPr>
            <w:r>
              <w:rPr>
                <w:color w:val="000000"/>
                <w:sz w:val="24"/>
                <w:szCs w:val="24"/>
              </w:rPr>
              <w:t>002271</w:t>
            </w:r>
          </w:p>
        </w:tc>
        <w:tc>
          <w:tcPr>
            <w:tcW w:w="1777" w:type="dxa"/>
            <w:vAlign w:val="center"/>
          </w:tcPr>
          <w:p w:rsidR="00E247A8" w:rsidRDefault="00F549F9">
            <w:pPr>
              <w:jc w:val="center"/>
            </w:pPr>
            <w:r>
              <w:rPr>
                <w:color w:val="000000"/>
                <w:sz w:val="24"/>
                <w:szCs w:val="24"/>
              </w:rPr>
              <w:t>东方雨虹</w:t>
            </w:r>
          </w:p>
        </w:tc>
        <w:tc>
          <w:tcPr>
            <w:tcW w:w="1334" w:type="dxa"/>
            <w:vAlign w:val="center"/>
          </w:tcPr>
          <w:p w:rsidR="00E247A8" w:rsidRDefault="00F549F9">
            <w:pPr>
              <w:jc w:val="right"/>
            </w:pPr>
            <w:r>
              <w:rPr>
                <w:color w:val="000000"/>
                <w:sz w:val="24"/>
                <w:szCs w:val="24"/>
              </w:rPr>
              <w:t>8,973,192</w:t>
            </w:r>
          </w:p>
        </w:tc>
        <w:tc>
          <w:tcPr>
            <w:tcW w:w="1924" w:type="dxa"/>
            <w:vAlign w:val="center"/>
          </w:tcPr>
          <w:p w:rsidR="00E247A8" w:rsidRDefault="00F549F9">
            <w:pPr>
              <w:jc w:val="right"/>
            </w:pPr>
            <w:r>
              <w:rPr>
                <w:color w:val="000000"/>
                <w:sz w:val="24"/>
                <w:szCs w:val="24"/>
              </w:rPr>
              <w:t>305,357,723.76</w:t>
            </w:r>
          </w:p>
        </w:tc>
        <w:tc>
          <w:tcPr>
            <w:tcW w:w="1644" w:type="dxa"/>
            <w:vAlign w:val="center"/>
          </w:tcPr>
          <w:p w:rsidR="00E247A8" w:rsidRDefault="00F549F9">
            <w:pPr>
              <w:jc w:val="right"/>
            </w:pPr>
            <w:r>
              <w:rPr>
                <w:color w:val="000000"/>
                <w:sz w:val="24"/>
                <w:szCs w:val="24"/>
              </w:rPr>
              <w:t>4.27</w:t>
            </w:r>
          </w:p>
        </w:tc>
      </w:tr>
      <w:tr w:rsidR="00E247A8">
        <w:trPr>
          <w:jc w:val="center"/>
        </w:trPr>
        <w:tc>
          <w:tcPr>
            <w:tcW w:w="855" w:type="dxa"/>
            <w:vAlign w:val="center"/>
          </w:tcPr>
          <w:p w:rsidR="00E247A8" w:rsidRDefault="00F549F9">
            <w:pPr>
              <w:jc w:val="center"/>
            </w:pPr>
            <w:r>
              <w:rPr>
                <w:color w:val="000000"/>
                <w:sz w:val="24"/>
                <w:szCs w:val="24"/>
              </w:rPr>
              <w:t>4</w:t>
            </w:r>
          </w:p>
        </w:tc>
        <w:tc>
          <w:tcPr>
            <w:tcW w:w="1334" w:type="dxa"/>
            <w:vAlign w:val="center"/>
          </w:tcPr>
          <w:p w:rsidR="00E247A8" w:rsidRDefault="00F549F9">
            <w:pPr>
              <w:jc w:val="center"/>
            </w:pPr>
            <w:r>
              <w:rPr>
                <w:color w:val="000000"/>
                <w:sz w:val="24"/>
                <w:szCs w:val="24"/>
              </w:rPr>
              <w:t>600690</w:t>
            </w:r>
          </w:p>
        </w:tc>
        <w:tc>
          <w:tcPr>
            <w:tcW w:w="1777" w:type="dxa"/>
            <w:vAlign w:val="center"/>
          </w:tcPr>
          <w:p w:rsidR="00E247A8" w:rsidRDefault="00F549F9">
            <w:pPr>
              <w:jc w:val="center"/>
            </w:pPr>
            <w:r>
              <w:rPr>
                <w:color w:val="000000"/>
                <w:sz w:val="24"/>
                <w:szCs w:val="24"/>
              </w:rPr>
              <w:t>海尔智家</w:t>
            </w:r>
          </w:p>
        </w:tc>
        <w:tc>
          <w:tcPr>
            <w:tcW w:w="1334" w:type="dxa"/>
            <w:vAlign w:val="center"/>
          </w:tcPr>
          <w:p w:rsidR="00E247A8" w:rsidRDefault="00F549F9">
            <w:pPr>
              <w:jc w:val="right"/>
            </w:pPr>
            <w:r>
              <w:rPr>
                <w:color w:val="000000"/>
                <w:sz w:val="24"/>
                <w:szCs w:val="24"/>
              </w:rPr>
              <w:t>20,213,883</w:t>
            </w:r>
          </w:p>
        </w:tc>
        <w:tc>
          <w:tcPr>
            <w:tcW w:w="1924" w:type="dxa"/>
            <w:vAlign w:val="center"/>
          </w:tcPr>
          <w:p w:rsidR="00E247A8" w:rsidRDefault="00F549F9">
            <w:pPr>
              <w:jc w:val="right"/>
            </w:pPr>
            <w:r>
              <w:rPr>
                <w:color w:val="000000"/>
                <w:sz w:val="24"/>
                <w:szCs w:val="24"/>
              </w:rPr>
              <w:t>291,079,915.20</w:t>
            </w:r>
          </w:p>
        </w:tc>
        <w:tc>
          <w:tcPr>
            <w:tcW w:w="1644" w:type="dxa"/>
            <w:vAlign w:val="center"/>
          </w:tcPr>
          <w:p w:rsidR="00E247A8" w:rsidRDefault="00F549F9">
            <w:pPr>
              <w:jc w:val="right"/>
            </w:pPr>
            <w:r>
              <w:rPr>
                <w:color w:val="000000"/>
                <w:sz w:val="24"/>
                <w:szCs w:val="24"/>
              </w:rPr>
              <w:t>4.07</w:t>
            </w:r>
          </w:p>
        </w:tc>
      </w:tr>
      <w:tr w:rsidR="00E247A8">
        <w:trPr>
          <w:jc w:val="center"/>
        </w:trPr>
        <w:tc>
          <w:tcPr>
            <w:tcW w:w="855" w:type="dxa"/>
            <w:vAlign w:val="center"/>
          </w:tcPr>
          <w:p w:rsidR="00E247A8" w:rsidRDefault="00F549F9">
            <w:pPr>
              <w:jc w:val="center"/>
            </w:pPr>
            <w:r>
              <w:rPr>
                <w:color w:val="000000"/>
                <w:sz w:val="24"/>
                <w:szCs w:val="24"/>
              </w:rPr>
              <w:t>5</w:t>
            </w:r>
          </w:p>
        </w:tc>
        <w:tc>
          <w:tcPr>
            <w:tcW w:w="1334" w:type="dxa"/>
            <w:vAlign w:val="center"/>
          </w:tcPr>
          <w:p w:rsidR="00E247A8" w:rsidRDefault="00F549F9">
            <w:pPr>
              <w:jc w:val="center"/>
            </w:pPr>
            <w:r>
              <w:rPr>
                <w:color w:val="000000"/>
                <w:sz w:val="24"/>
                <w:szCs w:val="24"/>
              </w:rPr>
              <w:t>002607</w:t>
            </w:r>
          </w:p>
        </w:tc>
        <w:tc>
          <w:tcPr>
            <w:tcW w:w="1777" w:type="dxa"/>
            <w:vAlign w:val="center"/>
          </w:tcPr>
          <w:p w:rsidR="00E247A8" w:rsidRDefault="00F549F9">
            <w:pPr>
              <w:jc w:val="center"/>
            </w:pPr>
            <w:r>
              <w:rPr>
                <w:color w:val="000000"/>
                <w:sz w:val="24"/>
                <w:szCs w:val="24"/>
              </w:rPr>
              <w:t>中公教育</w:t>
            </w:r>
          </w:p>
        </w:tc>
        <w:tc>
          <w:tcPr>
            <w:tcW w:w="1334" w:type="dxa"/>
            <w:vAlign w:val="center"/>
          </w:tcPr>
          <w:p w:rsidR="00E247A8" w:rsidRDefault="00F549F9">
            <w:pPr>
              <w:jc w:val="right"/>
            </w:pPr>
            <w:r>
              <w:rPr>
                <w:color w:val="000000"/>
                <w:sz w:val="24"/>
                <w:szCs w:val="24"/>
              </w:rPr>
              <w:t>12,532,021</w:t>
            </w:r>
          </w:p>
        </w:tc>
        <w:tc>
          <w:tcPr>
            <w:tcW w:w="1924" w:type="dxa"/>
            <w:vAlign w:val="center"/>
          </w:tcPr>
          <w:p w:rsidR="00E247A8" w:rsidRDefault="00F549F9">
            <w:pPr>
              <w:jc w:val="right"/>
            </w:pPr>
            <w:r>
              <w:rPr>
                <w:color w:val="000000"/>
                <w:sz w:val="24"/>
                <w:szCs w:val="24"/>
              </w:rPr>
              <w:t>285,354,118.17</w:t>
            </w:r>
          </w:p>
        </w:tc>
        <w:tc>
          <w:tcPr>
            <w:tcW w:w="1644" w:type="dxa"/>
            <w:vAlign w:val="center"/>
          </w:tcPr>
          <w:p w:rsidR="00E247A8" w:rsidRDefault="00F549F9">
            <w:pPr>
              <w:jc w:val="right"/>
            </w:pPr>
            <w:r>
              <w:rPr>
                <w:color w:val="000000"/>
                <w:sz w:val="24"/>
                <w:szCs w:val="24"/>
              </w:rPr>
              <w:t>3.99</w:t>
            </w:r>
          </w:p>
        </w:tc>
      </w:tr>
      <w:tr w:rsidR="00E247A8">
        <w:trPr>
          <w:jc w:val="center"/>
        </w:trPr>
        <w:tc>
          <w:tcPr>
            <w:tcW w:w="855" w:type="dxa"/>
            <w:vAlign w:val="center"/>
          </w:tcPr>
          <w:p w:rsidR="00E247A8" w:rsidRDefault="00F549F9">
            <w:pPr>
              <w:jc w:val="center"/>
            </w:pPr>
            <w:r>
              <w:rPr>
                <w:color w:val="000000"/>
                <w:sz w:val="24"/>
                <w:szCs w:val="24"/>
              </w:rPr>
              <w:t>6</w:t>
            </w:r>
          </w:p>
        </w:tc>
        <w:tc>
          <w:tcPr>
            <w:tcW w:w="1334" w:type="dxa"/>
            <w:vAlign w:val="center"/>
          </w:tcPr>
          <w:p w:rsidR="00E247A8" w:rsidRDefault="00F549F9">
            <w:pPr>
              <w:jc w:val="center"/>
            </w:pPr>
            <w:r>
              <w:rPr>
                <w:color w:val="000000"/>
                <w:sz w:val="24"/>
                <w:szCs w:val="24"/>
              </w:rPr>
              <w:t>603517</w:t>
            </w:r>
          </w:p>
        </w:tc>
        <w:tc>
          <w:tcPr>
            <w:tcW w:w="1777" w:type="dxa"/>
            <w:vAlign w:val="center"/>
          </w:tcPr>
          <w:p w:rsidR="00E247A8" w:rsidRDefault="00F549F9">
            <w:pPr>
              <w:jc w:val="center"/>
            </w:pPr>
            <w:r>
              <w:rPr>
                <w:color w:val="000000"/>
                <w:sz w:val="24"/>
                <w:szCs w:val="24"/>
              </w:rPr>
              <w:t>绝味食品</w:t>
            </w:r>
          </w:p>
        </w:tc>
        <w:tc>
          <w:tcPr>
            <w:tcW w:w="1334" w:type="dxa"/>
            <w:vAlign w:val="center"/>
          </w:tcPr>
          <w:p w:rsidR="00E247A8" w:rsidRDefault="00F549F9">
            <w:pPr>
              <w:jc w:val="right"/>
            </w:pPr>
            <w:r>
              <w:rPr>
                <w:color w:val="000000"/>
                <w:sz w:val="24"/>
                <w:szCs w:val="24"/>
              </w:rPr>
              <w:t>5,130,578</w:t>
            </w:r>
          </w:p>
        </w:tc>
        <w:tc>
          <w:tcPr>
            <w:tcW w:w="1924" w:type="dxa"/>
            <w:vAlign w:val="center"/>
          </w:tcPr>
          <w:p w:rsidR="00E247A8" w:rsidRDefault="00F549F9">
            <w:pPr>
              <w:jc w:val="right"/>
            </w:pPr>
            <w:r>
              <w:rPr>
                <w:color w:val="000000"/>
                <w:sz w:val="24"/>
                <w:szCs w:val="24"/>
              </w:rPr>
              <w:t>265,507,411.50</w:t>
            </w:r>
          </w:p>
        </w:tc>
        <w:tc>
          <w:tcPr>
            <w:tcW w:w="1644" w:type="dxa"/>
            <w:vAlign w:val="center"/>
          </w:tcPr>
          <w:p w:rsidR="00E247A8" w:rsidRDefault="00F549F9">
            <w:pPr>
              <w:jc w:val="right"/>
            </w:pPr>
            <w:r>
              <w:rPr>
                <w:color w:val="000000"/>
                <w:sz w:val="24"/>
                <w:szCs w:val="24"/>
              </w:rPr>
              <w:t>3.71</w:t>
            </w:r>
          </w:p>
        </w:tc>
      </w:tr>
      <w:tr w:rsidR="00E247A8">
        <w:trPr>
          <w:jc w:val="center"/>
        </w:trPr>
        <w:tc>
          <w:tcPr>
            <w:tcW w:w="855" w:type="dxa"/>
            <w:vAlign w:val="center"/>
          </w:tcPr>
          <w:p w:rsidR="00E247A8" w:rsidRDefault="00F549F9">
            <w:pPr>
              <w:jc w:val="center"/>
            </w:pPr>
            <w:r>
              <w:rPr>
                <w:color w:val="000000"/>
                <w:sz w:val="24"/>
                <w:szCs w:val="24"/>
              </w:rPr>
              <w:t>7</w:t>
            </w:r>
          </w:p>
        </w:tc>
        <w:tc>
          <w:tcPr>
            <w:tcW w:w="1334" w:type="dxa"/>
            <w:vAlign w:val="center"/>
          </w:tcPr>
          <w:p w:rsidR="00E247A8" w:rsidRDefault="00F549F9">
            <w:pPr>
              <w:jc w:val="center"/>
            </w:pPr>
            <w:r>
              <w:rPr>
                <w:color w:val="000000"/>
                <w:sz w:val="24"/>
                <w:szCs w:val="24"/>
              </w:rPr>
              <w:t>002050</w:t>
            </w:r>
          </w:p>
        </w:tc>
        <w:tc>
          <w:tcPr>
            <w:tcW w:w="1777" w:type="dxa"/>
            <w:vAlign w:val="center"/>
          </w:tcPr>
          <w:p w:rsidR="00E247A8" w:rsidRDefault="00F549F9">
            <w:pPr>
              <w:jc w:val="center"/>
            </w:pPr>
            <w:r>
              <w:rPr>
                <w:color w:val="000000"/>
                <w:sz w:val="24"/>
                <w:szCs w:val="24"/>
              </w:rPr>
              <w:t>三花智控</w:t>
            </w:r>
          </w:p>
        </w:tc>
        <w:tc>
          <w:tcPr>
            <w:tcW w:w="1334" w:type="dxa"/>
            <w:vAlign w:val="center"/>
          </w:tcPr>
          <w:p w:rsidR="00E247A8" w:rsidRDefault="00F549F9">
            <w:pPr>
              <w:jc w:val="right"/>
            </w:pPr>
            <w:r>
              <w:rPr>
                <w:color w:val="000000"/>
                <w:sz w:val="24"/>
                <w:szCs w:val="24"/>
              </w:rPr>
              <w:t>15,501,203</w:t>
            </w:r>
          </w:p>
        </w:tc>
        <w:tc>
          <w:tcPr>
            <w:tcW w:w="1924" w:type="dxa"/>
            <w:vAlign w:val="center"/>
          </w:tcPr>
          <w:p w:rsidR="00E247A8" w:rsidRDefault="00F549F9">
            <w:pPr>
              <w:jc w:val="right"/>
            </w:pPr>
            <w:r>
              <w:rPr>
                <w:color w:val="000000"/>
                <w:sz w:val="24"/>
                <w:szCs w:val="24"/>
              </w:rPr>
              <w:t>249,104,332.21</w:t>
            </w:r>
          </w:p>
        </w:tc>
        <w:tc>
          <w:tcPr>
            <w:tcW w:w="1644" w:type="dxa"/>
            <w:vAlign w:val="center"/>
          </w:tcPr>
          <w:p w:rsidR="00E247A8" w:rsidRDefault="00F549F9">
            <w:pPr>
              <w:jc w:val="right"/>
            </w:pPr>
            <w:r>
              <w:rPr>
                <w:color w:val="000000"/>
                <w:sz w:val="24"/>
                <w:szCs w:val="24"/>
              </w:rPr>
              <w:t>3.48</w:t>
            </w:r>
          </w:p>
        </w:tc>
      </w:tr>
      <w:tr w:rsidR="00E247A8">
        <w:trPr>
          <w:jc w:val="center"/>
        </w:trPr>
        <w:tc>
          <w:tcPr>
            <w:tcW w:w="855" w:type="dxa"/>
            <w:vAlign w:val="center"/>
          </w:tcPr>
          <w:p w:rsidR="00E247A8" w:rsidRDefault="00F549F9">
            <w:pPr>
              <w:jc w:val="center"/>
            </w:pPr>
            <w:r>
              <w:rPr>
                <w:color w:val="000000"/>
                <w:sz w:val="24"/>
                <w:szCs w:val="24"/>
              </w:rPr>
              <w:t>8</w:t>
            </w:r>
          </w:p>
        </w:tc>
        <w:tc>
          <w:tcPr>
            <w:tcW w:w="1334" w:type="dxa"/>
            <w:vAlign w:val="center"/>
          </w:tcPr>
          <w:p w:rsidR="00E247A8" w:rsidRDefault="00F549F9">
            <w:pPr>
              <w:jc w:val="center"/>
            </w:pPr>
            <w:r>
              <w:rPr>
                <w:color w:val="000000"/>
                <w:sz w:val="24"/>
                <w:szCs w:val="24"/>
              </w:rPr>
              <w:t>600522</w:t>
            </w:r>
          </w:p>
        </w:tc>
        <w:tc>
          <w:tcPr>
            <w:tcW w:w="1777" w:type="dxa"/>
            <w:vAlign w:val="center"/>
          </w:tcPr>
          <w:p w:rsidR="00E247A8" w:rsidRDefault="00F549F9">
            <w:pPr>
              <w:jc w:val="center"/>
            </w:pPr>
            <w:r>
              <w:rPr>
                <w:color w:val="000000"/>
                <w:sz w:val="24"/>
                <w:szCs w:val="24"/>
              </w:rPr>
              <w:t>中天科技</w:t>
            </w:r>
          </w:p>
        </w:tc>
        <w:tc>
          <w:tcPr>
            <w:tcW w:w="1334" w:type="dxa"/>
            <w:vAlign w:val="center"/>
          </w:tcPr>
          <w:p w:rsidR="00E247A8" w:rsidRDefault="00F549F9">
            <w:pPr>
              <w:jc w:val="right"/>
            </w:pPr>
            <w:r>
              <w:rPr>
                <w:color w:val="000000"/>
                <w:sz w:val="24"/>
                <w:szCs w:val="24"/>
              </w:rPr>
              <w:t>22,996,524</w:t>
            </w:r>
          </w:p>
        </w:tc>
        <w:tc>
          <w:tcPr>
            <w:tcW w:w="1924" w:type="dxa"/>
            <w:vAlign w:val="center"/>
          </w:tcPr>
          <w:p w:rsidR="00E247A8" w:rsidRDefault="00F549F9">
            <w:pPr>
              <w:jc w:val="right"/>
            </w:pPr>
            <w:r>
              <w:rPr>
                <w:color w:val="000000"/>
                <w:sz w:val="24"/>
                <w:szCs w:val="24"/>
              </w:rPr>
              <w:t>220,996,595.64</w:t>
            </w:r>
          </w:p>
        </w:tc>
        <w:tc>
          <w:tcPr>
            <w:tcW w:w="1644" w:type="dxa"/>
            <w:vAlign w:val="center"/>
          </w:tcPr>
          <w:p w:rsidR="00E247A8" w:rsidRDefault="00F549F9">
            <w:pPr>
              <w:jc w:val="right"/>
            </w:pPr>
            <w:r>
              <w:rPr>
                <w:color w:val="000000"/>
                <w:sz w:val="24"/>
                <w:szCs w:val="24"/>
              </w:rPr>
              <w:t>3.09</w:t>
            </w:r>
          </w:p>
        </w:tc>
      </w:tr>
      <w:tr w:rsidR="00E247A8">
        <w:trPr>
          <w:jc w:val="center"/>
        </w:trPr>
        <w:tc>
          <w:tcPr>
            <w:tcW w:w="855" w:type="dxa"/>
            <w:vAlign w:val="center"/>
          </w:tcPr>
          <w:p w:rsidR="00E247A8" w:rsidRDefault="00F549F9">
            <w:pPr>
              <w:jc w:val="center"/>
            </w:pPr>
            <w:r>
              <w:rPr>
                <w:color w:val="000000"/>
                <w:sz w:val="24"/>
                <w:szCs w:val="24"/>
              </w:rPr>
              <w:t>9</w:t>
            </w:r>
          </w:p>
        </w:tc>
        <w:tc>
          <w:tcPr>
            <w:tcW w:w="1334" w:type="dxa"/>
            <w:vAlign w:val="center"/>
          </w:tcPr>
          <w:p w:rsidR="00E247A8" w:rsidRDefault="00F549F9">
            <w:pPr>
              <w:jc w:val="center"/>
            </w:pPr>
            <w:r>
              <w:rPr>
                <w:color w:val="000000"/>
                <w:sz w:val="24"/>
                <w:szCs w:val="24"/>
              </w:rPr>
              <w:t>000998</w:t>
            </w:r>
          </w:p>
        </w:tc>
        <w:tc>
          <w:tcPr>
            <w:tcW w:w="1777" w:type="dxa"/>
            <w:vAlign w:val="center"/>
          </w:tcPr>
          <w:p w:rsidR="00E247A8" w:rsidRDefault="00F549F9">
            <w:pPr>
              <w:jc w:val="center"/>
            </w:pPr>
            <w:r>
              <w:rPr>
                <w:color w:val="000000"/>
                <w:sz w:val="24"/>
                <w:szCs w:val="24"/>
              </w:rPr>
              <w:t>隆平高科</w:t>
            </w:r>
          </w:p>
        </w:tc>
        <w:tc>
          <w:tcPr>
            <w:tcW w:w="1334" w:type="dxa"/>
            <w:vAlign w:val="center"/>
          </w:tcPr>
          <w:p w:rsidR="00E247A8" w:rsidRDefault="00F549F9">
            <w:pPr>
              <w:jc w:val="right"/>
            </w:pPr>
            <w:r>
              <w:rPr>
                <w:color w:val="000000"/>
                <w:sz w:val="24"/>
                <w:szCs w:val="24"/>
              </w:rPr>
              <w:t>10,803,500</w:t>
            </w:r>
          </w:p>
        </w:tc>
        <w:tc>
          <w:tcPr>
            <w:tcW w:w="1924" w:type="dxa"/>
            <w:vAlign w:val="center"/>
          </w:tcPr>
          <w:p w:rsidR="00E247A8" w:rsidRDefault="00F549F9">
            <w:pPr>
              <w:jc w:val="right"/>
            </w:pPr>
            <w:r>
              <w:rPr>
                <w:color w:val="000000"/>
                <w:sz w:val="24"/>
                <w:szCs w:val="24"/>
              </w:rPr>
              <w:t>195,759,420.00</w:t>
            </w:r>
          </w:p>
        </w:tc>
        <w:tc>
          <w:tcPr>
            <w:tcW w:w="1644" w:type="dxa"/>
            <w:vAlign w:val="center"/>
          </w:tcPr>
          <w:p w:rsidR="00E247A8" w:rsidRDefault="00F549F9">
            <w:pPr>
              <w:jc w:val="right"/>
            </w:pPr>
            <w:r>
              <w:rPr>
                <w:color w:val="000000"/>
                <w:sz w:val="24"/>
                <w:szCs w:val="24"/>
              </w:rPr>
              <w:t>2.74</w:t>
            </w:r>
          </w:p>
        </w:tc>
      </w:tr>
      <w:tr w:rsidR="00E247A8">
        <w:trPr>
          <w:jc w:val="center"/>
        </w:trPr>
        <w:tc>
          <w:tcPr>
            <w:tcW w:w="855" w:type="dxa"/>
            <w:vAlign w:val="center"/>
          </w:tcPr>
          <w:p w:rsidR="00E247A8" w:rsidRDefault="00F549F9">
            <w:pPr>
              <w:jc w:val="center"/>
            </w:pPr>
            <w:r>
              <w:rPr>
                <w:color w:val="000000"/>
                <w:sz w:val="24"/>
                <w:szCs w:val="24"/>
              </w:rPr>
              <w:t>10</w:t>
            </w:r>
          </w:p>
        </w:tc>
        <w:tc>
          <w:tcPr>
            <w:tcW w:w="1334" w:type="dxa"/>
            <w:vAlign w:val="center"/>
          </w:tcPr>
          <w:p w:rsidR="00E247A8" w:rsidRDefault="00F549F9">
            <w:pPr>
              <w:jc w:val="center"/>
            </w:pPr>
            <w:r>
              <w:rPr>
                <w:color w:val="000000"/>
                <w:sz w:val="24"/>
                <w:szCs w:val="24"/>
              </w:rPr>
              <w:t>002410</w:t>
            </w:r>
          </w:p>
        </w:tc>
        <w:tc>
          <w:tcPr>
            <w:tcW w:w="1777" w:type="dxa"/>
            <w:vAlign w:val="center"/>
          </w:tcPr>
          <w:p w:rsidR="00E247A8" w:rsidRDefault="00F549F9">
            <w:pPr>
              <w:jc w:val="center"/>
            </w:pPr>
            <w:r>
              <w:rPr>
                <w:color w:val="000000"/>
                <w:sz w:val="24"/>
                <w:szCs w:val="24"/>
              </w:rPr>
              <w:t>广联达</w:t>
            </w:r>
          </w:p>
        </w:tc>
        <w:tc>
          <w:tcPr>
            <w:tcW w:w="1334" w:type="dxa"/>
            <w:vAlign w:val="center"/>
          </w:tcPr>
          <w:p w:rsidR="00E247A8" w:rsidRDefault="00F549F9">
            <w:pPr>
              <w:jc w:val="right"/>
            </w:pPr>
            <w:r>
              <w:rPr>
                <w:color w:val="000000"/>
                <w:sz w:val="24"/>
                <w:szCs w:val="24"/>
              </w:rPr>
              <w:t>4,271,024</w:t>
            </w:r>
          </w:p>
        </w:tc>
        <w:tc>
          <w:tcPr>
            <w:tcW w:w="1924" w:type="dxa"/>
            <w:vAlign w:val="center"/>
          </w:tcPr>
          <w:p w:rsidR="00E247A8" w:rsidRDefault="00F549F9">
            <w:pPr>
              <w:jc w:val="right"/>
            </w:pPr>
            <w:r>
              <w:rPr>
                <w:color w:val="000000"/>
                <w:sz w:val="24"/>
                <w:szCs w:val="24"/>
              </w:rPr>
              <w:t>182,244,594.08</w:t>
            </w:r>
          </w:p>
        </w:tc>
        <w:tc>
          <w:tcPr>
            <w:tcW w:w="1644" w:type="dxa"/>
            <w:vAlign w:val="center"/>
          </w:tcPr>
          <w:p w:rsidR="00E247A8" w:rsidRDefault="00F549F9">
            <w:pPr>
              <w:jc w:val="right"/>
            </w:pPr>
            <w:r>
              <w:rPr>
                <w:color w:val="000000"/>
                <w:sz w:val="24"/>
                <w:szCs w:val="24"/>
              </w:rPr>
              <w:t>2.55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2,226,500.00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2,226,500.00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247A8">
        <w:trPr>
          <w:jc w:val="center"/>
        </w:trPr>
        <w:tc>
          <w:tcPr>
            <w:tcW w:w="850" w:type="dxa"/>
            <w:vAlign w:val="center"/>
          </w:tcPr>
          <w:p w:rsidR="00E247A8" w:rsidRDefault="00F549F9">
            <w:pPr>
              <w:jc w:val="center"/>
            </w:pPr>
            <w:r>
              <w:rPr>
                <w:color w:val="000000"/>
                <w:sz w:val="24"/>
                <w:szCs w:val="24"/>
              </w:rPr>
              <w:t>1</w:t>
            </w:r>
          </w:p>
        </w:tc>
        <w:tc>
          <w:tcPr>
            <w:tcW w:w="1475" w:type="dxa"/>
            <w:vAlign w:val="center"/>
          </w:tcPr>
          <w:p w:rsidR="00E247A8" w:rsidRDefault="00F549F9">
            <w:pPr>
              <w:jc w:val="center"/>
            </w:pPr>
            <w:r>
              <w:rPr>
                <w:color w:val="000000"/>
                <w:sz w:val="24"/>
                <w:szCs w:val="24"/>
              </w:rPr>
              <w:t>128102</w:t>
            </w:r>
          </w:p>
        </w:tc>
        <w:tc>
          <w:tcPr>
            <w:tcW w:w="1769" w:type="dxa"/>
            <w:vAlign w:val="center"/>
          </w:tcPr>
          <w:p w:rsidR="00E247A8" w:rsidRDefault="00F549F9">
            <w:pPr>
              <w:jc w:val="center"/>
            </w:pPr>
            <w:r>
              <w:rPr>
                <w:color w:val="000000"/>
                <w:sz w:val="24"/>
                <w:szCs w:val="24"/>
              </w:rPr>
              <w:t>海大转债</w:t>
            </w:r>
          </w:p>
        </w:tc>
        <w:tc>
          <w:tcPr>
            <w:tcW w:w="1387" w:type="dxa"/>
            <w:vAlign w:val="center"/>
          </w:tcPr>
          <w:p w:rsidR="00E247A8" w:rsidRDefault="00F549F9">
            <w:pPr>
              <w:jc w:val="right"/>
            </w:pPr>
            <w:r>
              <w:rPr>
                <w:color w:val="000000"/>
                <w:sz w:val="24"/>
                <w:szCs w:val="24"/>
              </w:rPr>
              <w:t>22,265</w:t>
            </w:r>
          </w:p>
        </w:tc>
        <w:tc>
          <w:tcPr>
            <w:tcW w:w="2150" w:type="dxa"/>
            <w:vAlign w:val="center"/>
          </w:tcPr>
          <w:p w:rsidR="00E247A8" w:rsidRDefault="00F549F9">
            <w:pPr>
              <w:jc w:val="right"/>
            </w:pPr>
            <w:r>
              <w:rPr>
                <w:color w:val="000000"/>
                <w:sz w:val="24"/>
                <w:szCs w:val="24"/>
              </w:rPr>
              <w:t>2,226,500.00</w:t>
            </w:r>
          </w:p>
        </w:tc>
        <w:tc>
          <w:tcPr>
            <w:tcW w:w="1237" w:type="dxa"/>
            <w:vAlign w:val="center"/>
          </w:tcPr>
          <w:p w:rsidR="00E247A8" w:rsidRDefault="00F549F9">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报告期内本基金投资的前十名证券的发行主体除广联达（</w:t>
      </w:r>
      <w:r w:rsidRPr="00AA3969">
        <w:rPr>
          <w:bCs/>
          <w:color w:val="000000"/>
          <w:kern w:val="0"/>
          <w:sz w:val="24"/>
          <w:szCs w:val="24"/>
        </w:rPr>
        <w:t>002410</w:t>
      </w:r>
      <w:r w:rsidRPr="00AA3969">
        <w:rPr>
          <w:bCs/>
          <w:color w:val="000000"/>
          <w:kern w:val="0"/>
          <w:sz w:val="24"/>
          <w:szCs w:val="24"/>
        </w:rPr>
        <w:t>）外，未出现被监管部门立案调查，或在报告编制日前一年内受到公开谴责、处罚的情形。</w:t>
      </w:r>
    </w:p>
    <w:p w:rsidR="00E247A8" w:rsidRDefault="00F549F9">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报告期内本基金投资的前十名证券之一广联达（</w:t>
      </w:r>
      <w:r>
        <w:rPr>
          <w:bCs/>
          <w:color w:val="000000"/>
          <w:kern w:val="0"/>
          <w:sz w:val="24"/>
          <w:szCs w:val="24"/>
        </w:rPr>
        <w:t>002410</w:t>
      </w:r>
      <w:r>
        <w:rPr>
          <w:bCs/>
          <w:color w:val="000000"/>
          <w:kern w:val="0"/>
          <w:sz w:val="24"/>
          <w:szCs w:val="24"/>
        </w:rPr>
        <w:t>），根据</w:t>
      </w:r>
      <w:r>
        <w:rPr>
          <w:bCs/>
          <w:color w:val="000000"/>
          <w:kern w:val="0"/>
          <w:sz w:val="24"/>
          <w:szCs w:val="24"/>
        </w:rPr>
        <w:t>2019</w:t>
      </w:r>
      <w:r>
        <w:rPr>
          <w:bCs/>
          <w:color w:val="000000"/>
          <w:kern w:val="0"/>
          <w:sz w:val="24"/>
          <w:szCs w:val="24"/>
        </w:rPr>
        <w:t>年</w:t>
      </w:r>
      <w:r>
        <w:rPr>
          <w:bCs/>
          <w:color w:val="000000"/>
          <w:kern w:val="0"/>
          <w:sz w:val="24"/>
          <w:szCs w:val="24"/>
        </w:rPr>
        <w:t>5</w:t>
      </w:r>
      <w:r>
        <w:rPr>
          <w:bCs/>
          <w:color w:val="000000"/>
          <w:kern w:val="0"/>
          <w:sz w:val="24"/>
          <w:szCs w:val="24"/>
        </w:rPr>
        <w:t>月</w:t>
      </w:r>
      <w:r>
        <w:rPr>
          <w:bCs/>
          <w:color w:val="000000"/>
          <w:kern w:val="0"/>
          <w:sz w:val="24"/>
          <w:szCs w:val="24"/>
        </w:rPr>
        <w:t>7</w:t>
      </w:r>
      <w:r>
        <w:rPr>
          <w:bCs/>
          <w:color w:val="000000"/>
          <w:kern w:val="0"/>
          <w:sz w:val="24"/>
          <w:szCs w:val="24"/>
        </w:rPr>
        <w:t>日，海淀区卫生健康委员会作出编号为</w:t>
      </w:r>
      <w:r>
        <w:rPr>
          <w:bCs/>
          <w:color w:val="000000"/>
          <w:kern w:val="0"/>
          <w:sz w:val="24"/>
          <w:szCs w:val="24"/>
        </w:rPr>
        <w:t>“</w:t>
      </w:r>
      <w:r>
        <w:rPr>
          <w:bCs/>
          <w:color w:val="000000"/>
          <w:kern w:val="0"/>
          <w:sz w:val="24"/>
          <w:szCs w:val="24"/>
        </w:rPr>
        <w:t>京海卫水罚〔</w:t>
      </w:r>
      <w:r>
        <w:rPr>
          <w:bCs/>
          <w:color w:val="000000"/>
          <w:kern w:val="0"/>
          <w:sz w:val="24"/>
          <w:szCs w:val="24"/>
        </w:rPr>
        <w:t>2019</w:t>
      </w:r>
      <w:r>
        <w:rPr>
          <w:bCs/>
          <w:color w:val="000000"/>
          <w:kern w:val="0"/>
          <w:sz w:val="24"/>
          <w:szCs w:val="24"/>
        </w:rPr>
        <w:t>〕</w:t>
      </w:r>
      <w:r>
        <w:rPr>
          <w:bCs/>
          <w:color w:val="000000"/>
          <w:kern w:val="0"/>
          <w:sz w:val="24"/>
          <w:szCs w:val="24"/>
        </w:rPr>
        <w:t>0413</w:t>
      </w:r>
      <w:r>
        <w:rPr>
          <w:bCs/>
          <w:color w:val="000000"/>
          <w:kern w:val="0"/>
          <w:sz w:val="24"/>
          <w:szCs w:val="24"/>
        </w:rPr>
        <w:t>号</w:t>
      </w:r>
      <w:r>
        <w:rPr>
          <w:bCs/>
          <w:color w:val="000000"/>
          <w:kern w:val="0"/>
          <w:sz w:val="24"/>
          <w:szCs w:val="24"/>
        </w:rPr>
        <w:t>”</w:t>
      </w:r>
      <w:r>
        <w:rPr>
          <w:bCs/>
          <w:color w:val="000000"/>
          <w:kern w:val="0"/>
          <w:sz w:val="24"/>
          <w:szCs w:val="24"/>
        </w:rPr>
        <w:t>的行政处罚，认定公司供应的生活饮用水未按规定进行卫生检验，依据《北京市生活饮用水卫生监督管理条例》第二十一条第（三）项，除以警告并罚款</w:t>
      </w:r>
      <w:r>
        <w:rPr>
          <w:bCs/>
          <w:color w:val="000000"/>
          <w:kern w:val="0"/>
          <w:sz w:val="24"/>
          <w:szCs w:val="24"/>
        </w:rPr>
        <w:t>5,000</w:t>
      </w:r>
      <w:r>
        <w:rPr>
          <w:bCs/>
          <w:color w:val="000000"/>
          <w:kern w:val="0"/>
          <w:sz w:val="24"/>
          <w:szCs w:val="24"/>
        </w:rPr>
        <w:t>元。公司已缴纳罚款并改正违规行为。</w:t>
      </w:r>
    </w:p>
    <w:p w:rsidR="00E247A8" w:rsidRDefault="00F549F9">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999,186.99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540,958.55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13,106,276.05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14,646,421.59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247A8">
        <w:trPr>
          <w:jc w:val="center"/>
        </w:trPr>
        <w:tc>
          <w:tcPr>
            <w:tcW w:w="1129" w:type="dxa"/>
            <w:vAlign w:val="center"/>
          </w:tcPr>
          <w:p w:rsidR="00E247A8" w:rsidRDefault="00F549F9">
            <w:pPr>
              <w:jc w:val="center"/>
            </w:pPr>
            <w:r>
              <w:rPr>
                <w:color w:val="000000"/>
                <w:sz w:val="24"/>
                <w:szCs w:val="24"/>
              </w:rPr>
              <w:t>1</w:t>
            </w:r>
          </w:p>
        </w:tc>
        <w:tc>
          <w:tcPr>
            <w:tcW w:w="1356" w:type="dxa"/>
            <w:vAlign w:val="center"/>
          </w:tcPr>
          <w:p w:rsidR="00E247A8" w:rsidRDefault="00F549F9">
            <w:pPr>
              <w:jc w:val="center"/>
            </w:pPr>
            <w:r>
              <w:rPr>
                <w:color w:val="000000"/>
                <w:sz w:val="24"/>
                <w:szCs w:val="24"/>
              </w:rPr>
              <w:t>002352</w:t>
            </w:r>
          </w:p>
        </w:tc>
        <w:tc>
          <w:tcPr>
            <w:tcW w:w="1355" w:type="dxa"/>
            <w:vAlign w:val="center"/>
          </w:tcPr>
          <w:p w:rsidR="00E247A8" w:rsidRDefault="00F549F9">
            <w:pPr>
              <w:jc w:val="center"/>
            </w:pPr>
            <w:r>
              <w:rPr>
                <w:color w:val="000000"/>
                <w:sz w:val="24"/>
                <w:szCs w:val="24"/>
              </w:rPr>
              <w:t>顺丰控股</w:t>
            </w:r>
          </w:p>
        </w:tc>
        <w:tc>
          <w:tcPr>
            <w:tcW w:w="1880" w:type="dxa"/>
            <w:vAlign w:val="center"/>
          </w:tcPr>
          <w:p w:rsidR="00E247A8" w:rsidRDefault="00F549F9">
            <w:pPr>
              <w:jc w:val="right"/>
            </w:pPr>
            <w:r>
              <w:rPr>
                <w:color w:val="000000"/>
                <w:sz w:val="24"/>
                <w:szCs w:val="24"/>
              </w:rPr>
              <w:t>35,848,000.00</w:t>
            </w:r>
          </w:p>
        </w:tc>
        <w:tc>
          <w:tcPr>
            <w:tcW w:w="1724" w:type="dxa"/>
            <w:vAlign w:val="center"/>
          </w:tcPr>
          <w:p w:rsidR="00E247A8" w:rsidRDefault="00F549F9">
            <w:pPr>
              <w:jc w:val="right"/>
            </w:pPr>
            <w:r>
              <w:rPr>
                <w:color w:val="000000"/>
                <w:sz w:val="24"/>
                <w:szCs w:val="24"/>
              </w:rPr>
              <w:t>0.50</w:t>
            </w:r>
          </w:p>
        </w:tc>
        <w:tc>
          <w:tcPr>
            <w:tcW w:w="1424" w:type="dxa"/>
            <w:vAlign w:val="center"/>
          </w:tcPr>
          <w:p w:rsidR="00E247A8" w:rsidRDefault="00F549F9">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5,931,872,937.41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1,782,990,574.22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416,146,182.48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7,298,717,329.15</w:t>
            </w:r>
          </w:p>
        </w:tc>
      </w:tr>
    </w:tbl>
    <w:p w:rsidR="00E247A8" w:rsidRDefault="00F549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1月14日发布的《交银施罗德基金管理有限公司关于交银施罗德内核驱动混合型证券投资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247A8" w:rsidRDefault="00F549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、中国证监会准予交银施罗德内核驱动混合型证券投资基金募集注册的文件；</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、《交银施罗德内核驱动混合型证券投资基金基金合同》；</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、《交银施罗德内核驱动混合型证券投资基金招募说明书》；</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、《交银施罗德内核驱动混合型证券投资基金托管协议》；</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、关于申请募集注册交银施罗德内核驱动混合型证券投资基金的法律意见书；</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247A8" w:rsidRDefault="00F549F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、报告期内交银施罗德内核驱动混合型证券投资基金在指定报刊上各项公告的原稿。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247A8" w:rsidRDefault="00F549F9">
      <w:pPr>
        <w:spacing w:before="29" w:line="288" w:lineRule="auto"/>
        <w:ind w:firstLineChars="200" w:firstLine="480"/>
        <w:rPr>
          <w:color w:val="000000"/>
          <w:sz w:val="24"/>
          <w:szCs w:val="24"/>
        </w:rPr>
      </w:pPr>
      <w:r>
        <w:rPr>
          <w:color w:val="000000"/>
          <w:sz w:val="24"/>
          <w:szCs w:val="24"/>
        </w:rPr>
        <w:t>投资者可在办公时间内至基金</w:t>
      </w:r>
      <w:r>
        <w:rPr>
          <w:color w:val="000000"/>
          <w:sz w:val="24"/>
          <w:szCs w:val="24"/>
        </w:rPr>
        <w:t>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F549F9">
      <w:rPr>
        <w:noProof/>
        <w:kern w:val="0"/>
        <w:szCs w:val="21"/>
      </w:rPr>
      <w:t>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F549F9">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交银施罗德内核驱动混合型证券投资基金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247A8"/>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9F9"/>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2F912-451B-4188-A27F-412DF1F3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杨书月</cp:lastModifiedBy>
  <cp:revision>601</cp:revision>
  <dcterms:created xsi:type="dcterms:W3CDTF">2012-10-16T06:07:00Z</dcterms:created>
  <dcterms:modified xsi:type="dcterms:W3CDTF">2020-04-13T09:03:00Z</dcterms:modified>
</cp:coreProperties>
</file>