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2014年5月22日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593,920,884.94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交银周期回报灵活配置混合C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519738</w:t>
            </w:r>
            <w:r w:rsidRPr="007F52FA">
              <w:rPr>
                <w:color w:themeColor="text1" w:val="000000"/>
                <w:sz w:val="24"/>
              </w:rPr>
              <w:t>（前端）、</w:t>
            </w:r>
            <w:r w:rsidRPr="007F52FA">
              <w:rPr>
                <w:color w:themeColor="text1" w:val="000000"/>
                <w:sz w:val="24"/>
              </w:rPr>
              <w:t>519739</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519759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452,642,432.97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141,278,451.97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交银周期回报灵活配置混合A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交银周期回报灵活配置混合C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5,441,208.03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2,651,735.99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1,209,815.33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1,668,693.23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0.0036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0.0113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527,901,508.77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163,810,171.44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1.159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交银周期回报灵活配置混合A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0.86%</w:t>
            </w:r>
          </w:p>
        </w:tc>
        <w:tc>
          <w:tcPr>
            <w:vAlign w:val="center"/>
          </w:tcPr>
          <w:p>
            <w:pPr>
              <w:jc w:val="center"/>
            </w:pPr>
            <w:r>
              <w:rPr>
                <w:color w:val="000000"/>
                <w:sz w:val="24"/>
              </w:rPr>
              <w:t>0.31%</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4.84%</w:t>
            </w:r>
          </w:p>
        </w:tc>
        <w:tc>
          <w:tcPr>
            <w:vAlign w:val="center"/>
          </w:tcPr>
          <w:p>
            <w:pPr>
              <w:jc w:val="center"/>
            </w:pPr>
            <w:r>
              <w:rPr>
                <w:color w:val="000000"/>
                <w:sz w:val="24"/>
              </w:rPr>
              <w:t>-0.64%</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交银周期回报灵活配置混合C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0.78%</w:t>
            </w:r>
          </w:p>
        </w:tc>
        <w:tc>
          <w:tcPr>
            <w:vAlign w:val="center"/>
          </w:tcPr>
          <w:p>
            <w:pPr>
              <w:jc w:val="center"/>
            </w:pPr>
            <w:r>
              <w:rPr>
                <w:color w:val="000000"/>
                <w:sz w:val="24"/>
              </w:rPr>
              <w:t>0.31%</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4.76%</w:t>
            </w:r>
          </w:p>
        </w:tc>
        <w:tc>
          <w:tcPr>
            <w:vAlign w:val="center"/>
          </w:tcPr>
          <w:p>
            <w:pPr>
              <w:jc w:val="center"/>
            </w:pPr>
            <w:r>
              <w:rPr>
                <w:color w:val="000000"/>
                <w:sz w:val="24"/>
              </w:rPr>
              <w:t>-0.64%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交银施罗德周期回报灵活配置混合型证券投资基金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2014年5月22日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注：图示日期为2014年5月22日至2020年3月31日。本基金建仓期为自基金合同生效日起的6个月。截至建仓期结束，本基金各项资产配置比例符合基金合同及招募说明书有关投资比例的约定。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交银周期回报灵活配置混合C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注：本基金自2015年11月19日起，开始销售C类份额，投资者提交的申购申请于2015年11月20日被确认并将有效份额登记在册。图示日期为2015年11月20日至2020年3月31日。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rPr>
      </w:pPr>
      <w:r>
        <w:rPr>
          <w:color w:val="000000"/>
          <w:sz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84,494,477.47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84,494,477.47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590,279,479.00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590,279,479.00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10,084,195.65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12,285,826.41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697,143,978.53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2,777,167.00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0.40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13,952,383.75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2.02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12,298,383.00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1.78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4,023,267.31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0.58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6,159,282.16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0.89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1,959,430.49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33,504,706.78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4.84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9,802,304.00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17,552.98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84,494,477.47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12.22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3,255,000</w:t>
            </w:r>
          </w:p>
        </w:tc>
        <w:tc>
          <w:tcPr>
            <w:vAlign w:val="center"/>
          </w:tcPr>
          <w:p>
            <w:pPr>
              <w:jc w:val="right"/>
            </w:pPr>
            <w:r>
              <w:rPr>
                <w:color w:val="000000"/>
                <w:sz w:val="24"/>
              </w:rPr>
              <w:t>16,763,250.00</w:t>
            </w:r>
          </w:p>
        </w:tc>
        <w:tc>
          <w:tcPr>
            <w:vAlign w:val="center"/>
          </w:tcPr>
          <w:p>
            <w:pPr>
              <w:jc w:val="right"/>
            </w:pPr>
            <w:r>
              <w:rPr>
                <w:color w:val="000000"/>
                <w:sz w:val="24"/>
              </w:rPr>
              <w:t>2.42</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659,200</w:t>
            </w:r>
          </w:p>
        </w:tc>
        <w:tc>
          <w:tcPr>
            <w:vAlign w:val="center"/>
          </w:tcPr>
          <w:p>
            <w:pPr>
              <w:jc w:val="right"/>
            </w:pPr>
            <w:r>
              <w:rPr>
                <w:color w:val="000000"/>
                <w:sz w:val="24"/>
              </w:rPr>
              <w:t>9,802,304.00</w:t>
            </w:r>
          </w:p>
        </w:tc>
        <w:tc>
          <w:tcPr>
            <w:vAlign w:val="center"/>
          </w:tcPr>
          <w:p>
            <w:pPr>
              <w:jc w:val="right"/>
            </w:pPr>
            <w:r>
              <w:rPr>
                <w:color w:val="000000"/>
                <w:sz w:val="24"/>
              </w:rPr>
              <w:t>1.42</w:t>
            </w:r>
          </w:p>
        </w:tc>
      </w:tr>
      <w:tr>
        <w:tc>
          <w:tcPr>
            <w:vAlign w:val="center"/>
          </w:tcPr>
          <w:p>
            <w:pPr>
              <w:jc w:val="center"/>
            </w:pPr>
            <w:r>
              <w:rPr>
                <w:color w:val="000000"/>
                <w:sz w:val="24"/>
              </w:rPr>
              <w:t>3</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6,806,000.00</w:t>
            </w:r>
          </w:p>
        </w:tc>
        <w:tc>
          <w:tcPr>
            <w:vAlign w:val="center"/>
          </w:tcPr>
          <w:p>
            <w:pPr>
              <w:jc w:val="right"/>
            </w:pPr>
            <w:r>
              <w:rPr>
                <w:color w:val="000000"/>
                <w:sz w:val="24"/>
              </w:rPr>
              <w:t>0.98</w:t>
            </w:r>
          </w:p>
        </w:tc>
      </w:tr>
      <w:tr>
        <w:tc>
          <w:tcPr>
            <w:vAlign w:val="center"/>
          </w:tcPr>
          <w:p>
            <w:pPr>
              <w:jc w:val="center"/>
            </w:pPr>
            <w:r>
              <w:rPr>
                <w:color w:val="000000"/>
                <w:sz w:val="24"/>
              </w:rPr>
              <w:t>4</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637,900</w:t>
            </w:r>
          </w:p>
        </w:tc>
        <w:tc>
          <w:tcPr>
            <w:vAlign w:val="center"/>
          </w:tcPr>
          <w:p>
            <w:pPr>
              <w:jc w:val="right"/>
            </w:pPr>
            <w:r>
              <w:rPr>
                <w:color w:val="000000"/>
                <w:sz w:val="24"/>
              </w:rPr>
              <w:t>6,270,557.00</w:t>
            </w:r>
          </w:p>
        </w:tc>
        <w:tc>
          <w:tcPr>
            <w:vAlign w:val="center"/>
          </w:tcPr>
          <w:p>
            <w:pPr>
              <w:jc w:val="right"/>
            </w:pPr>
            <w:r>
              <w:rPr>
                <w:color w:val="000000"/>
                <w:sz w:val="24"/>
              </w:rPr>
              <w:t>0.91</w:t>
            </w:r>
          </w:p>
        </w:tc>
      </w:tr>
      <w:tr>
        <w:tc>
          <w:tcPr>
            <w:vAlign w:val="center"/>
          </w:tcPr>
          <w:p>
            <w:pPr>
              <w:jc w:val="center"/>
            </w:pPr>
            <w:r>
              <w:rPr>
                <w:color w:val="000000"/>
                <w:sz w:val="24"/>
              </w:rPr>
              <w:t>5</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1,143,800</w:t>
            </w:r>
          </w:p>
        </w:tc>
        <w:tc>
          <w:tcPr>
            <w:vAlign w:val="center"/>
          </w:tcPr>
          <w:p>
            <w:pPr>
              <w:jc w:val="right"/>
            </w:pPr>
            <w:r>
              <w:rPr>
                <w:color w:val="000000"/>
                <w:sz w:val="24"/>
              </w:rPr>
              <w:t>6,027,826.00</w:t>
            </w:r>
          </w:p>
        </w:tc>
        <w:tc>
          <w:tcPr>
            <w:vAlign w:val="center"/>
          </w:tcPr>
          <w:p>
            <w:pPr>
              <w:jc w:val="right"/>
            </w:pPr>
            <w:r>
              <w:rPr>
                <w:color w:val="000000"/>
                <w:sz w:val="24"/>
              </w:rPr>
              <w:t>0.87</w:t>
            </w:r>
          </w:p>
        </w:tc>
      </w:tr>
      <w:tr>
        <w:tc>
          <w:tcPr>
            <w:vAlign w:val="center"/>
          </w:tcPr>
          <w:p>
            <w:pPr>
              <w:jc w:val="center"/>
            </w:pPr>
            <w:r>
              <w:rPr>
                <w:color w:val="000000"/>
                <w:sz w:val="24"/>
              </w:rPr>
              <w:t>6</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194,375</w:t>
            </w:r>
          </w:p>
        </w:tc>
        <w:tc>
          <w:tcPr>
            <w:vAlign w:val="center"/>
          </w:tcPr>
          <w:p>
            <w:pPr>
              <w:jc w:val="right"/>
            </w:pPr>
            <w:r>
              <w:rPr>
                <w:color w:val="000000"/>
                <w:sz w:val="24"/>
              </w:rPr>
              <w:t>5,119,837.50</w:t>
            </w:r>
          </w:p>
        </w:tc>
        <w:tc>
          <w:tcPr>
            <w:vAlign w:val="center"/>
          </w:tcPr>
          <w:p>
            <w:pPr>
              <w:jc w:val="right"/>
            </w:pPr>
            <w:r>
              <w:rPr>
                <w:color w:val="000000"/>
                <w:sz w:val="24"/>
              </w:rPr>
              <w:t>0.74</w:t>
            </w:r>
          </w:p>
        </w:tc>
      </w:tr>
      <w:tr>
        <w:tc>
          <w:tcPr>
            <w:vAlign w:val="center"/>
          </w:tcPr>
          <w:p>
            <w:pPr>
              <w:jc w:val="center"/>
            </w:pPr>
            <w:r>
              <w:rPr>
                <w:color w:val="000000"/>
                <w:sz w:val="24"/>
              </w:rPr>
              <w:t>7</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134,913</w:t>
            </w:r>
          </w:p>
        </w:tc>
        <w:tc>
          <w:tcPr>
            <w:vAlign w:val="center"/>
          </w:tcPr>
          <w:p>
            <w:pPr>
              <w:jc w:val="right"/>
            </w:pPr>
            <w:r>
              <w:rPr>
                <w:color w:val="000000"/>
                <w:sz w:val="24"/>
              </w:rPr>
              <w:t>3,807,244.86</w:t>
            </w:r>
          </w:p>
        </w:tc>
        <w:tc>
          <w:tcPr>
            <w:vAlign w:val="center"/>
          </w:tcPr>
          <w:p>
            <w:pPr>
              <w:jc w:val="right"/>
            </w:pPr>
            <w:r>
              <w:rPr>
                <w:color w:val="000000"/>
                <w:sz w:val="24"/>
              </w:rPr>
              <w:t>0.55</w:t>
            </w:r>
          </w:p>
        </w:tc>
      </w:tr>
      <w:tr>
        <w:tc>
          <w:tcPr>
            <w:vAlign w:val="center"/>
          </w:tcPr>
          <w:p>
            <w:pPr>
              <w:jc w:val="center"/>
            </w:pPr>
            <w:r>
              <w:rPr>
                <w:color w:val="000000"/>
                <w:sz w:val="24"/>
              </w:rPr>
              <w:t>8</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91,213</w:t>
            </w:r>
          </w:p>
        </w:tc>
        <w:tc>
          <w:tcPr>
            <w:vAlign w:val="center"/>
          </w:tcPr>
          <w:p>
            <w:pPr>
              <w:jc w:val="right"/>
            </w:pPr>
            <w:r>
              <w:rPr>
                <w:color w:val="000000"/>
                <w:sz w:val="24"/>
              </w:rPr>
              <w:t>3,630,277.40</w:t>
            </w:r>
          </w:p>
        </w:tc>
        <w:tc>
          <w:tcPr>
            <w:vAlign w:val="center"/>
          </w:tcPr>
          <w:p>
            <w:pPr>
              <w:jc w:val="right"/>
            </w:pPr>
            <w:r>
              <w:rPr>
                <w:color w:val="000000"/>
                <w:sz w:val="24"/>
              </w:rPr>
              <w:t>0.52</w:t>
            </w:r>
          </w:p>
        </w:tc>
      </w:tr>
      <w:tr>
        <w:tc>
          <w:tcPr>
            <w:vAlign w:val="center"/>
          </w:tcPr>
          <w:p>
            <w:pPr>
              <w:jc w:val="center"/>
            </w:pPr>
            <w:r>
              <w:rPr>
                <w:color w:val="000000"/>
                <w:sz w:val="24"/>
              </w:rPr>
              <w:t>9</w:t>
            </w:r>
          </w:p>
        </w:tc>
        <w:tc>
          <w:tcPr>
            <w:vAlign w:val="center"/>
          </w:tcPr>
          <w:p>
            <w:pPr>
              <w:jc w:val="center"/>
            </w:pPr>
            <w:r>
              <w:rPr>
                <w:color w:val="000000"/>
                <w:sz w:val="24"/>
              </w:rPr>
              <w:t>001965</w:t>
            </w:r>
          </w:p>
        </w:tc>
        <w:tc>
          <w:tcPr>
            <w:vAlign w:val="center"/>
          </w:tcPr>
          <w:p>
            <w:pPr>
              <w:jc w:val="center"/>
            </w:pPr>
            <w:r>
              <w:rPr>
                <w:color w:val="000000"/>
                <w:sz w:val="24"/>
              </w:rPr>
              <w:t>招商公路</w:t>
            </w:r>
          </w:p>
        </w:tc>
        <w:tc>
          <w:tcPr>
            <w:vAlign w:val="center"/>
          </w:tcPr>
          <w:p>
            <w:pPr>
              <w:jc w:val="right"/>
            </w:pPr>
            <w:r>
              <w:rPr>
                <w:color w:val="000000"/>
                <w:sz w:val="24"/>
              </w:rPr>
              <w:t>521,200</w:t>
            </w:r>
          </w:p>
        </w:tc>
        <w:tc>
          <w:tcPr>
            <w:vAlign w:val="center"/>
          </w:tcPr>
          <w:p>
            <w:pPr>
              <w:jc w:val="right"/>
            </w:pPr>
            <w:r>
              <w:rPr>
                <w:color w:val="000000"/>
                <w:sz w:val="24"/>
              </w:rPr>
              <w:t>3,611,916.00</w:t>
            </w:r>
          </w:p>
        </w:tc>
        <w:tc>
          <w:tcPr>
            <w:vAlign w:val="center"/>
          </w:tcPr>
          <w:p>
            <w:pPr>
              <w:jc w:val="right"/>
            </w:pPr>
            <w:r>
              <w:rPr>
                <w:color w:val="000000"/>
                <w:sz w:val="24"/>
              </w:rPr>
              <w:t>0.52</w:t>
            </w:r>
          </w:p>
        </w:tc>
      </w:tr>
      <w:tr>
        <w:tc>
          <w:tcPr>
            <w:vAlign w:val="center"/>
          </w:tcPr>
          <w:p>
            <w:pPr>
              <w:jc w:val="center"/>
            </w:pPr>
            <w:r>
              <w:rPr>
                <w:color w:val="000000"/>
                <w:sz w:val="24"/>
              </w:rPr>
              <w:t>10</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313,000</w:t>
            </w:r>
          </w:p>
        </w:tc>
        <w:tc>
          <w:tcPr>
            <w:vAlign w:val="center"/>
          </w:tcPr>
          <w:p>
            <w:pPr>
              <w:jc w:val="right"/>
            </w:pPr>
            <w:r>
              <w:rPr>
                <w:color w:val="000000"/>
                <w:sz w:val="24"/>
              </w:rPr>
              <w:t>3,205,120.00</w:t>
            </w:r>
          </w:p>
        </w:tc>
        <w:tc>
          <w:tcPr>
            <w:vAlign w:val="center"/>
          </w:tcPr>
          <w:p>
            <w:pPr>
              <w:jc w:val="right"/>
            </w:pPr>
            <w:r>
              <w:rPr>
                <w:color w:val="000000"/>
                <w:sz w:val="24"/>
              </w:rPr>
              <w:t>0.46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38,486,479.00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38,486,479.00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193,619,000.00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27.99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358,173,000.00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51.78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590,279,479.00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85.34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101800211</w:t>
            </w:r>
          </w:p>
        </w:tc>
        <w:tc>
          <w:tcPr>
            <w:vAlign w:val="center"/>
          </w:tcPr>
          <w:p>
            <w:pPr>
              <w:jc w:val="center"/>
            </w:pPr>
            <w:r>
              <w:rPr>
                <w:color w:val="000000"/>
                <w:sz w:val="24"/>
              </w:rPr>
              <w:t>18浙国贸MTN001</w:t>
            </w:r>
          </w:p>
        </w:tc>
        <w:tc>
          <w:tcPr>
            <w:vAlign w:val="center"/>
          </w:tcPr>
          <w:p>
            <w:pPr>
              <w:jc w:val="right"/>
            </w:pPr>
            <w:r>
              <w:rPr>
                <w:color w:val="000000"/>
                <w:sz w:val="24"/>
              </w:rPr>
              <w:t>300,000</w:t>
            </w:r>
          </w:p>
        </w:tc>
        <w:tc>
          <w:tcPr>
            <w:vAlign w:val="center"/>
          </w:tcPr>
          <w:p>
            <w:pPr>
              <w:jc w:val="right"/>
            </w:pPr>
            <w:r>
              <w:rPr>
                <w:color w:val="000000"/>
                <w:sz w:val="24"/>
              </w:rPr>
              <w:t>30,903,000.00</w:t>
            </w:r>
          </w:p>
        </w:tc>
        <w:tc>
          <w:tcPr>
            <w:vAlign w:val="center"/>
          </w:tcPr>
          <w:p>
            <w:pPr>
              <w:jc w:val="right"/>
            </w:pPr>
            <w:r>
              <w:rPr>
                <w:color w:val="000000"/>
                <w:sz w:val="24"/>
              </w:rPr>
              <w:t>4.47</w:t>
            </w:r>
          </w:p>
        </w:tc>
      </w:tr>
      <w:tr>
        <w:tc>
          <w:tcPr>
            <w:vAlign w:val="center"/>
          </w:tcPr>
          <w:p>
            <w:pPr>
              <w:jc w:val="center"/>
            </w:pPr>
            <w:r>
              <w:rPr>
                <w:color w:val="000000"/>
                <w:sz w:val="24"/>
              </w:rPr>
              <w:t>2</w:t>
            </w:r>
          </w:p>
        </w:tc>
        <w:tc>
          <w:tcPr>
            <w:vAlign w:val="center"/>
          </w:tcPr>
          <w:p>
            <w:pPr>
              <w:jc w:val="center"/>
            </w:pPr>
            <w:r>
              <w:rPr>
                <w:color w:val="000000"/>
                <w:sz w:val="24"/>
              </w:rPr>
              <w:t>102000048</w:t>
            </w:r>
          </w:p>
        </w:tc>
        <w:tc>
          <w:tcPr>
            <w:vAlign w:val="center"/>
          </w:tcPr>
          <w:p>
            <w:pPr>
              <w:jc w:val="center"/>
            </w:pPr>
            <w:r>
              <w:rPr>
                <w:color w:val="000000"/>
                <w:sz w:val="24"/>
              </w:rPr>
              <w:t>20中金集MTN001</w:t>
            </w:r>
          </w:p>
        </w:tc>
        <w:tc>
          <w:tcPr>
            <w:vAlign w:val="center"/>
          </w:tcPr>
          <w:p>
            <w:pPr>
              <w:jc w:val="right"/>
            </w:pPr>
            <w:r>
              <w:rPr>
                <w:color w:val="000000"/>
                <w:sz w:val="24"/>
              </w:rPr>
              <w:t>300,000</w:t>
            </w:r>
          </w:p>
        </w:tc>
        <w:tc>
          <w:tcPr>
            <w:vAlign w:val="center"/>
          </w:tcPr>
          <w:p>
            <w:pPr>
              <w:jc w:val="right"/>
            </w:pPr>
            <w:r>
              <w:rPr>
                <w:color w:val="000000"/>
                <w:sz w:val="24"/>
              </w:rPr>
              <w:t>30,432,000.00</w:t>
            </w:r>
          </w:p>
        </w:tc>
        <w:tc>
          <w:tcPr>
            <w:vAlign w:val="center"/>
          </w:tcPr>
          <w:p>
            <w:pPr>
              <w:jc w:val="right"/>
            </w:pPr>
            <w:r>
              <w:rPr>
                <w:color w:val="000000"/>
                <w:sz w:val="24"/>
              </w:rPr>
              <w:t>4.40</w:t>
            </w:r>
          </w:p>
        </w:tc>
      </w:tr>
      <w:tr>
        <w:tc>
          <w:tcPr>
            <w:vAlign w:val="center"/>
          </w:tcPr>
          <w:p>
            <w:pPr>
              <w:jc w:val="center"/>
            </w:pPr>
            <w:r>
              <w:rPr>
                <w:color w:val="000000"/>
                <w:sz w:val="24"/>
              </w:rPr>
              <w:t>3</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233,620</w:t>
            </w:r>
          </w:p>
        </w:tc>
        <w:tc>
          <w:tcPr>
            <w:vAlign w:val="center"/>
          </w:tcPr>
          <w:p>
            <w:pPr>
              <w:jc w:val="right"/>
            </w:pPr>
            <w:r>
              <w:rPr>
                <w:color w:val="000000"/>
                <w:sz w:val="24"/>
              </w:rPr>
              <w:t>23,537,215.00</w:t>
            </w:r>
          </w:p>
        </w:tc>
        <w:tc>
          <w:tcPr>
            <w:vAlign w:val="center"/>
          </w:tcPr>
          <w:p>
            <w:pPr>
              <w:jc w:val="right"/>
            </w:pPr>
            <w:r>
              <w:rPr>
                <w:color w:val="000000"/>
                <w:sz w:val="24"/>
              </w:rPr>
              <w:t>3.40</w:t>
            </w:r>
          </w:p>
        </w:tc>
      </w:tr>
      <w:tr>
        <w:tc>
          <w:tcPr>
            <w:vAlign w:val="center"/>
          </w:tcPr>
          <w:p>
            <w:pPr>
              <w:jc w:val="center"/>
            </w:pPr>
            <w:r>
              <w:rPr>
                <w:color w:val="000000"/>
                <w:sz w:val="24"/>
              </w:rPr>
              <w:t>4</w:t>
            </w:r>
          </w:p>
        </w:tc>
        <w:tc>
          <w:tcPr>
            <w:vAlign w:val="center"/>
          </w:tcPr>
          <w:p>
            <w:pPr>
              <w:jc w:val="center"/>
            </w:pPr>
            <w:r>
              <w:rPr>
                <w:color w:val="000000"/>
                <w:sz w:val="24"/>
              </w:rPr>
              <w:t>101473010</w:t>
            </w:r>
          </w:p>
        </w:tc>
        <w:tc>
          <w:tcPr>
            <w:vAlign w:val="center"/>
          </w:tcPr>
          <w:p>
            <w:pPr>
              <w:jc w:val="center"/>
            </w:pPr>
            <w:r>
              <w:rPr>
                <w:color w:val="000000"/>
                <w:sz w:val="24"/>
              </w:rPr>
              <w:t>14港中旅MTN002</w:t>
            </w:r>
          </w:p>
        </w:tc>
        <w:tc>
          <w:tcPr>
            <w:vAlign w:val="center"/>
          </w:tcPr>
          <w:p>
            <w:pPr>
              <w:jc w:val="right"/>
            </w:pPr>
            <w:r>
              <w:rPr>
                <w:color w:val="000000"/>
                <w:sz w:val="24"/>
              </w:rPr>
              <w:t>200,000</w:t>
            </w:r>
          </w:p>
        </w:tc>
        <w:tc>
          <w:tcPr>
            <w:vAlign w:val="center"/>
          </w:tcPr>
          <w:p>
            <w:pPr>
              <w:jc w:val="right"/>
            </w:pPr>
            <w:r>
              <w:rPr>
                <w:color w:val="000000"/>
                <w:sz w:val="24"/>
              </w:rPr>
              <w:t>20,932,000.00</w:t>
            </w:r>
          </w:p>
        </w:tc>
        <w:tc>
          <w:tcPr>
            <w:vAlign w:val="center"/>
          </w:tcPr>
          <w:p>
            <w:pPr>
              <w:jc w:val="right"/>
            </w:pPr>
            <w:r>
              <w:rPr>
                <w:color w:val="000000"/>
                <w:sz w:val="24"/>
              </w:rPr>
              <w:t>3.03</w:t>
            </w:r>
          </w:p>
        </w:tc>
      </w:tr>
      <w:tr>
        <w:tc>
          <w:tcPr>
            <w:vAlign w:val="center"/>
          </w:tcPr>
          <w:p>
            <w:pPr>
              <w:jc w:val="center"/>
            </w:pPr>
            <w:r>
              <w:rPr>
                <w:color w:val="000000"/>
                <w:sz w:val="24"/>
              </w:rPr>
              <w:t>5</w:t>
            </w:r>
          </w:p>
        </w:tc>
        <w:tc>
          <w:tcPr>
            <w:vAlign w:val="center"/>
          </w:tcPr>
          <w:p>
            <w:pPr>
              <w:jc w:val="center"/>
            </w:pPr>
            <w:r>
              <w:rPr>
                <w:color w:val="000000"/>
                <w:sz w:val="24"/>
              </w:rPr>
              <w:t>1280043</w:t>
            </w:r>
          </w:p>
        </w:tc>
        <w:tc>
          <w:tcPr>
            <w:vAlign w:val="center"/>
          </w:tcPr>
          <w:p>
            <w:pPr>
              <w:jc w:val="center"/>
            </w:pPr>
            <w:r>
              <w:rPr>
                <w:color w:val="000000"/>
                <w:sz w:val="24"/>
              </w:rPr>
              <w:t>12中石油05</w:t>
            </w:r>
          </w:p>
        </w:tc>
        <w:tc>
          <w:tcPr>
            <w:vAlign w:val="center"/>
          </w:tcPr>
          <w:p>
            <w:pPr>
              <w:jc w:val="right"/>
            </w:pPr>
            <w:r>
              <w:rPr>
                <w:color w:val="000000"/>
                <w:sz w:val="24"/>
              </w:rPr>
              <w:t>200,000</w:t>
            </w:r>
          </w:p>
        </w:tc>
        <w:tc>
          <w:tcPr>
            <w:vAlign w:val="center"/>
          </w:tcPr>
          <w:p>
            <w:pPr>
              <w:jc w:val="right"/>
            </w:pPr>
            <w:r>
              <w:rPr>
                <w:color w:val="000000"/>
                <w:sz w:val="24"/>
              </w:rPr>
              <w:t>20,788,000.00</w:t>
            </w:r>
          </w:p>
        </w:tc>
        <w:tc>
          <w:tcPr>
            <w:vAlign w:val="center"/>
          </w:tcPr>
          <w:p>
            <w:pPr>
              <w:jc w:val="right"/>
            </w:pPr>
            <w:r>
              <w:rPr>
                <w:color w:val="000000"/>
                <w:sz w:val="24"/>
              </w:rPr>
              <w:t>3.01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13,192.88</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8,809,743.68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3,462,889.85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12,285,826.41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交银周期回报灵活配置混合A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交银周期回报灵活配置混合C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161,414,059.56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185,473,387.36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341,744,752.75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2,377,709.86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50,516,379.34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46,572,645.25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452,642,432.97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141,278,451.97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79,574,712.64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79,574,712.64</w:t>
            </w:r>
          </w:p>
        </w:tc>
        <w:tc>
          <w:tcPr>
            <w:vAlign w:val="center"/>
          </w:tcPr>
          <w:p>
            <w:pPr>
              <w:jc w:val="center"/>
            </w:pPr>
            <w:r>
              <w:rPr>
                <w:rFonts w:ascii="宋体" w:hAnsi="宋体" w:hint="eastAsia"/>
                <w:color w:val="000000"/>
                <w:kern w:val="0"/>
                <w:szCs w:val="21"/>
              </w:rPr>
              <w:t>13.40%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1、中国证监会核准交银施罗德周期回报灵活配置混合型证券投资基金募集的文件；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2、《交银施罗德周期回报灵活配置混合型证券投资基金基金合同》；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3、《交银施罗德周期回报灵活配置混合型证券投资基金招募说明书》；</w:t>
      </w:r>
    </w:p>
    <w:p>
      <w:pPr>
        <w:spacing w:before="29" w:line="288" w:lineRule="auto"/>
        <w:ind w:firstLine="480" w:firstLineChars="200"/>
        <w:rPr>
          <w:rFonts w:eastAsiaTheme="minorEastAsia"/>
          <w:color w:val="000000"/>
          <w:sz w:val="24"/>
        </w:rPr>
      </w:pPr>
      <w:r>
        <w:rPr>
          <w:rFonts w:eastAsiaTheme="minorEastAsia"/>
          <w:color w:val="000000"/>
          <w:sz w:val="24"/>
        </w:rPr>
        <w:t>4、《交银施罗德周期回报灵活配置混合型证券投资基金托管协议》；</w:t>
      </w:r>
    </w:p>
    <w:p>
      <w:pPr>
        <w:spacing w:before="29" w:line="288" w:lineRule="auto"/>
        <w:ind w:firstLine="480" w:firstLineChars="200"/>
        <w:rPr>
          <w:rFonts w:eastAsiaTheme="minorEastAsia"/>
          <w:color w:val="000000"/>
          <w:sz w:val="24"/>
        </w:rPr>
      </w:pPr>
      <w:r>
        <w:rPr>
          <w:rFonts w:eastAsiaTheme="minorEastAsia"/>
          <w:color w:val="000000"/>
          <w:sz w:val="24"/>
        </w:rPr>
        <w:t>5、关于申请募集交银施罗德周期回报灵活配置混合型证券投资基金之法律意见书；</w:t>
      </w:r>
    </w:p>
    <w:p>
      <w:pPr>
        <w:spacing w:before="29" w:line="288" w:lineRule="auto"/>
        <w:ind w:firstLine="480" w:firstLineChars="200"/>
        <w:rPr>
          <w:rFonts w:eastAsiaTheme="minorEastAsia"/>
          <w:color w:val="000000"/>
          <w:sz w:val="24"/>
        </w:rPr>
      </w:pPr>
      <w:r>
        <w:rPr>
          <w:rFonts w:eastAsiaTheme="minorEastAsia"/>
          <w:color w:val="000000"/>
          <w:sz w:val="24"/>
        </w:rPr>
        <w:t>6、基金管理人业务资格批件、营业执照；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7、基金托管人业务资格批件、营业执照；</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8、报告期内交银施罗德周期回报灵活配置混合型证券投资基金在指定报刊上各项公告的原稿。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交银施罗德周期回报灵活配置混合型证券投资基金2020年第1季度报告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