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交银施罗德股息优化混合型证券投资基金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交银股息优化混合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004868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004868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2017年8月25日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209,630,265.21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本基金主要投资于具有稳定股息收益的优质成长性上市公司，以稳健收益为目标，追求长期的资产增值。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7,997,922.44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-13,560,089.40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-0.0634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273,779,560.69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1.3060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-4.46%</w:t>
            </w:r>
          </w:p>
        </w:tc>
        <w:tc>
          <w:tcPr>
            <w:vAlign w:val="center"/>
          </w:tcPr>
          <w:p>
            <w:pPr>
              <w:jc w:val="center"/>
            </w:pPr>
            <w:r>
              <w:rPr>
                <w:color w:val="000000"/>
                <w:sz w:val="24"/>
                <w:szCs w:val="24"/>
              </w:rPr>
              <w:t>2.01%</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0.44%</w:t>
            </w:r>
          </w:p>
        </w:tc>
        <w:tc>
          <w:tcPr>
            <w:vAlign w:val="center"/>
          </w:tcPr>
          <w:p>
            <w:pPr>
              <w:jc w:val="center"/>
            </w:pPr>
            <w:r>
              <w:rPr>
                <w:color w:val="000000"/>
                <w:sz w:val="24"/>
                <w:szCs w:val="24"/>
              </w:rPr>
              <w:t>0.86%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交银施罗德股息优化混合型证券投资基金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2017年8月25日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2017-08-25</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一季度，新冠肺炎对国内国外的资本市场和经济造成了较大影响。尽管全球采取了各种货币政策、财政政策等救市措施，短期也无法弥补海外、特别是美国市场的流动性风险。A股市场在二月大幅波动后，三月的风险偏好开始大幅下降，整个市场陷入了风险偏好下降带动盈利预期下调再带动风险偏好下调的恶性循环中。从目前情况来看，海外流动性风险基本上解除，美国无限制QE政策也会导致美元指数在避险情绪消失后逐步回落，中国资产（包括货币、债券、股票）在全球市场的吸引力大幅提升。如果后续海外疫情逐步得到控制，海外资本市场稳定以后，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一季度主要以消费白马龙头作为底仓的配置思路，个股集中度依然维持在较高水平，持仓并没有发生太大变化。一季度由于疫情对消费的冲击，春节后表现相对较弱，整体落后市场。但是我们认为，随着国内疫情的逐步恢复，内需消费信心的恢复，整个消费白马全年的盈利水平整体影响不会太大，全年绝对收益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1）国内在二月按下暂停键以后，有效地控制了疫情的发展，三月已经开始复工复产。整个一季度宏观和各行业都面临较大压力，但随着国内疫情后续逐步恢复，国内正常经济活动展开和消费需求的复苏，整个内需有望出现比较明显的反弹。本基金仍然聚焦内需消费为主，结合疫情后消费复苏的节奏，适当做一些重仓股的结构调整。在追求全年绝对收益的前提下，二季度开始逐步布局市值相对低估，长期空间巨大的消费服务类龙头公司；（2）海外疫情于三月开始爆发，从欧洲到美国，对全球流动性和经济预期造成重大波动。从欧美目前情况来看，二季度整体经济影响巨大，三季度也很难出现比较明显的复苏。与海外需求高度相关的制造业等龙头企业，可能在二季度末或三季度初存在预期特别低的机会，特别是目前渗透率较低的新能源汽车和光伏等产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257,278,300.36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92.75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257,278,300.36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92.75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19,904,485.42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202,288.23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0.07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277,385,074.01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223,781,159.18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4,255,170.00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10,915,511.05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7,989,721.98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663,855.84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9,653,735.00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257,278,300.36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93.97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229,470</w:t>
            </w:r>
          </w:p>
        </w:tc>
        <w:tc>
          <w:tcPr>
            <w:vAlign w:val="center"/>
          </w:tcPr>
          <w:p>
            <w:pPr>
              <w:jc w:val="right"/>
            </w:pPr>
            <w:r>
              <w:rPr>
                <w:color w:val="000000"/>
                <w:sz w:val="24"/>
                <w:szCs w:val="24"/>
              </w:rPr>
              <w:t>26,434,944.00</w:t>
            </w:r>
          </w:p>
        </w:tc>
        <w:tc>
          <w:tcPr>
            <w:vAlign w:val="center"/>
          </w:tcPr>
          <w:p>
            <w:pPr>
              <w:jc w:val="right"/>
            </w:pPr>
            <w:r>
              <w:rPr>
                <w:color w:val="000000"/>
                <w:sz w:val="24"/>
                <w:szCs w:val="24"/>
              </w:rPr>
              <w:t>9.66</w:t>
            </w:r>
          </w:p>
        </w:tc>
      </w:tr>
      <w:tr>
        <w:tc>
          <w:tcPr>
            <w:vAlign w:val="center"/>
          </w:tcPr>
          <w:p>
            <w:pPr>
              <w:jc w:val="center"/>
            </w:pPr>
            <w:r>
              <w:rPr>
                <w:color w:val="000000"/>
                <w:sz w:val="24"/>
                <w:szCs w:val="24"/>
              </w:rPr>
              <w:t>2</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23,706</w:t>
            </w:r>
          </w:p>
        </w:tc>
        <w:tc>
          <w:tcPr>
            <w:vAlign w:val="center"/>
          </w:tcPr>
          <w:p>
            <w:pPr>
              <w:jc w:val="right"/>
            </w:pPr>
            <w:r>
              <w:rPr>
                <w:color w:val="000000"/>
                <w:sz w:val="24"/>
                <w:szCs w:val="24"/>
              </w:rPr>
              <w:t>26,337,366.00</w:t>
            </w:r>
          </w:p>
        </w:tc>
        <w:tc>
          <w:tcPr>
            <w:vAlign w:val="center"/>
          </w:tcPr>
          <w:p>
            <w:pPr>
              <w:jc w:val="right"/>
            </w:pPr>
            <w:r>
              <w:rPr>
                <w:color w:val="000000"/>
                <w:sz w:val="24"/>
                <w:szCs w:val="24"/>
              </w:rPr>
              <w:t>9.62</w:t>
            </w:r>
          </w:p>
        </w:tc>
      </w:tr>
      <w:tr>
        <w:tc>
          <w:tcPr>
            <w:vAlign w:val="center"/>
          </w:tcPr>
          <w:p>
            <w:pPr>
              <w:jc w:val="center"/>
            </w:pPr>
            <w:r>
              <w:rPr>
                <w:color w:val="000000"/>
                <w:sz w:val="24"/>
                <w:szCs w:val="24"/>
              </w:rPr>
              <w:t>3</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1,478,331</w:t>
            </w:r>
          </w:p>
        </w:tc>
        <w:tc>
          <w:tcPr>
            <w:vAlign w:val="center"/>
          </w:tcPr>
          <w:p>
            <w:pPr>
              <w:jc w:val="right"/>
            </w:pPr>
            <w:r>
              <w:rPr>
                <w:color w:val="000000"/>
                <w:sz w:val="24"/>
                <w:szCs w:val="24"/>
              </w:rPr>
              <w:t>24,821,177.49</w:t>
            </w:r>
          </w:p>
        </w:tc>
        <w:tc>
          <w:tcPr>
            <w:vAlign w:val="center"/>
          </w:tcPr>
          <w:p>
            <w:pPr>
              <w:jc w:val="right"/>
            </w:pPr>
            <w:r>
              <w:rPr>
                <w:color w:val="000000"/>
                <w:sz w:val="24"/>
                <w:szCs w:val="24"/>
              </w:rPr>
              <w:t>9.07</w:t>
            </w:r>
          </w:p>
        </w:tc>
      </w:tr>
      <w:tr>
        <w:tc>
          <w:tcPr>
            <w:vAlign w:val="center"/>
          </w:tcPr>
          <w:p>
            <w:pPr>
              <w:jc w:val="center"/>
            </w:pPr>
            <w:r>
              <w:rPr>
                <w:color w:val="000000"/>
                <w:sz w:val="24"/>
                <w:szCs w:val="24"/>
              </w:rPr>
              <w:t>4</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871,826</w:t>
            </w:r>
          </w:p>
        </w:tc>
        <w:tc>
          <w:tcPr>
            <w:vAlign w:val="center"/>
          </w:tcPr>
          <w:p>
            <w:pPr>
              <w:jc w:val="right"/>
            </w:pPr>
            <w:r>
              <w:rPr>
                <w:color w:val="000000"/>
                <w:sz w:val="24"/>
                <w:szCs w:val="24"/>
              </w:rPr>
              <w:t>24,541,901.90</w:t>
            </w:r>
          </w:p>
        </w:tc>
        <w:tc>
          <w:tcPr>
            <w:vAlign w:val="center"/>
          </w:tcPr>
          <w:p>
            <w:pPr>
              <w:jc w:val="right"/>
            </w:pPr>
            <w:r>
              <w:rPr>
                <w:color w:val="000000"/>
                <w:sz w:val="24"/>
                <w:szCs w:val="24"/>
              </w:rPr>
              <w:t>8.96</w:t>
            </w:r>
          </w:p>
        </w:tc>
      </w:tr>
      <w:tr>
        <w:tc>
          <w:tcPr>
            <w:vAlign w:val="center"/>
          </w:tcPr>
          <w:p>
            <w:pPr>
              <w:jc w:val="center"/>
            </w:pPr>
            <w:r>
              <w:rPr>
                <w:color w:val="000000"/>
                <w:sz w:val="24"/>
                <w:szCs w:val="24"/>
              </w:rPr>
              <w:t>5</w:t>
            </w:r>
          </w:p>
        </w:tc>
        <w:tc>
          <w:tcPr>
            <w:vAlign w:val="center"/>
          </w:tcPr>
          <w:p>
            <w:pPr>
              <w:jc w:val="center"/>
            </w:pPr>
            <w:r>
              <w:rPr>
                <w:color w:val="000000"/>
                <w:sz w:val="24"/>
                <w:szCs w:val="24"/>
              </w:rPr>
              <w:t>600132</w:t>
            </w:r>
          </w:p>
        </w:tc>
        <w:tc>
          <w:tcPr>
            <w:vAlign w:val="center"/>
          </w:tcPr>
          <w:p>
            <w:pPr>
              <w:jc w:val="center"/>
            </w:pPr>
            <w:r>
              <w:rPr>
                <w:color w:val="000000"/>
                <w:sz w:val="24"/>
                <w:szCs w:val="24"/>
              </w:rPr>
              <w:t>重庆啤酒</w:t>
            </w:r>
          </w:p>
        </w:tc>
        <w:tc>
          <w:tcPr>
            <w:vAlign w:val="center"/>
          </w:tcPr>
          <w:p>
            <w:pPr>
              <w:jc w:val="right"/>
            </w:pPr>
            <w:r>
              <w:rPr>
                <w:color w:val="000000"/>
                <w:sz w:val="24"/>
                <w:szCs w:val="24"/>
              </w:rPr>
              <w:t>534,620</w:t>
            </w:r>
          </w:p>
        </w:tc>
        <w:tc>
          <w:tcPr>
            <w:vAlign w:val="center"/>
          </w:tcPr>
          <w:p>
            <w:pPr>
              <w:jc w:val="right"/>
            </w:pPr>
            <w:r>
              <w:rPr>
                <w:color w:val="000000"/>
                <w:sz w:val="24"/>
                <w:szCs w:val="24"/>
              </w:rPr>
              <w:t>24,330,556.20</w:t>
            </w:r>
          </w:p>
        </w:tc>
        <w:tc>
          <w:tcPr>
            <w:vAlign w:val="center"/>
          </w:tcPr>
          <w:p>
            <w:pPr>
              <w:jc w:val="right"/>
            </w:pPr>
            <w:r>
              <w:rPr>
                <w:color w:val="000000"/>
                <w:sz w:val="24"/>
                <w:szCs w:val="24"/>
              </w:rPr>
              <w:t>8.89</w:t>
            </w:r>
          </w:p>
        </w:tc>
      </w:tr>
      <w:tr>
        <w:tc>
          <w:tcPr>
            <w:vAlign w:val="center"/>
          </w:tcPr>
          <w:p>
            <w:pPr>
              <w:jc w:val="center"/>
            </w:pPr>
            <w:r>
              <w:rPr>
                <w:color w:val="000000"/>
                <w:sz w:val="24"/>
                <w:szCs w:val="24"/>
              </w:rPr>
              <w:t>6</w:t>
            </w:r>
          </w:p>
        </w:tc>
        <w:tc>
          <w:tcPr>
            <w:vAlign w:val="center"/>
          </w:tcPr>
          <w:p>
            <w:pPr>
              <w:jc w:val="center"/>
            </w:pPr>
            <w:r>
              <w:rPr>
                <w:color w:val="000000"/>
                <w:sz w:val="24"/>
                <w:szCs w:val="24"/>
              </w:rPr>
              <w:t>002461</w:t>
            </w:r>
          </w:p>
        </w:tc>
        <w:tc>
          <w:tcPr>
            <w:vAlign w:val="center"/>
          </w:tcPr>
          <w:p>
            <w:pPr>
              <w:jc w:val="center"/>
            </w:pPr>
            <w:r>
              <w:rPr>
                <w:color w:val="000000"/>
                <w:sz w:val="24"/>
                <w:szCs w:val="24"/>
              </w:rPr>
              <w:t>珠江啤酒</w:t>
            </w:r>
          </w:p>
        </w:tc>
        <w:tc>
          <w:tcPr>
            <w:vAlign w:val="center"/>
          </w:tcPr>
          <w:p>
            <w:pPr>
              <w:jc w:val="right"/>
            </w:pPr>
            <w:r>
              <w:rPr>
                <w:color w:val="000000"/>
                <w:sz w:val="24"/>
                <w:szCs w:val="24"/>
              </w:rPr>
              <w:t>2,382,100</w:t>
            </w:r>
          </w:p>
        </w:tc>
        <w:tc>
          <w:tcPr>
            <w:vAlign w:val="center"/>
          </w:tcPr>
          <w:p>
            <w:pPr>
              <w:jc w:val="right"/>
            </w:pPr>
            <w:r>
              <w:rPr>
                <w:color w:val="000000"/>
                <w:sz w:val="24"/>
                <w:szCs w:val="24"/>
              </w:rPr>
              <w:t>16,531,774.00</w:t>
            </w:r>
          </w:p>
        </w:tc>
        <w:tc>
          <w:tcPr>
            <w:vAlign w:val="center"/>
          </w:tcPr>
          <w:p>
            <w:pPr>
              <w:jc w:val="right"/>
            </w:pPr>
            <w:r>
              <w:rPr>
                <w:color w:val="000000"/>
                <w:sz w:val="24"/>
                <w:szCs w:val="24"/>
              </w:rPr>
              <w:t>6.04</w:t>
            </w:r>
          </w:p>
        </w:tc>
      </w:tr>
      <w:tr>
        <w:tc>
          <w:tcPr>
            <w:vAlign w:val="center"/>
          </w:tcPr>
          <w:p>
            <w:pPr>
              <w:jc w:val="center"/>
            </w:pPr>
            <w:r>
              <w:rPr>
                <w:color w:val="000000"/>
                <w:sz w:val="24"/>
                <w:szCs w:val="24"/>
              </w:rPr>
              <w:t>7</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534,806</w:t>
            </w:r>
          </w:p>
        </w:tc>
        <w:tc>
          <w:tcPr>
            <w:vAlign w:val="center"/>
          </w:tcPr>
          <w:p>
            <w:pPr>
              <w:jc w:val="right"/>
            </w:pPr>
            <w:r>
              <w:rPr>
                <w:color w:val="000000"/>
                <w:sz w:val="24"/>
                <w:szCs w:val="24"/>
              </w:rPr>
              <w:t>15,969,307.16</w:t>
            </w:r>
          </w:p>
        </w:tc>
        <w:tc>
          <w:tcPr>
            <w:vAlign w:val="center"/>
          </w:tcPr>
          <w:p>
            <w:pPr>
              <w:jc w:val="right"/>
            </w:pPr>
            <w:r>
              <w:rPr>
                <w:color w:val="000000"/>
                <w:sz w:val="24"/>
                <w:szCs w:val="24"/>
              </w:rPr>
              <w:t>5.83</w:t>
            </w:r>
          </w:p>
        </w:tc>
      </w:tr>
      <w:tr>
        <w:tc>
          <w:tcPr>
            <w:vAlign w:val="center"/>
          </w:tcPr>
          <w:p>
            <w:pPr>
              <w:jc w:val="center"/>
            </w:pPr>
            <w:r>
              <w:rPr>
                <w:color w:val="000000"/>
                <w:sz w:val="24"/>
                <w:szCs w:val="24"/>
              </w:rPr>
              <w:t>8</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261,717</w:t>
            </w:r>
          </w:p>
        </w:tc>
        <w:tc>
          <w:tcPr>
            <w:vAlign w:val="center"/>
          </w:tcPr>
          <w:p>
            <w:pPr>
              <w:jc w:val="right"/>
            </w:pPr>
            <w:r>
              <w:rPr>
                <w:color w:val="000000"/>
                <w:sz w:val="24"/>
                <w:szCs w:val="24"/>
              </w:rPr>
              <w:t>13,661,627.40</w:t>
            </w:r>
          </w:p>
        </w:tc>
        <w:tc>
          <w:tcPr>
            <w:vAlign w:val="center"/>
          </w:tcPr>
          <w:p>
            <w:pPr>
              <w:jc w:val="right"/>
            </w:pPr>
            <w:r>
              <w:rPr>
                <w:color w:val="000000"/>
                <w:sz w:val="24"/>
                <w:szCs w:val="24"/>
              </w:rPr>
              <w:t>4.99</w:t>
            </w:r>
          </w:p>
        </w:tc>
      </w:tr>
      <w:tr>
        <w:tc>
          <w:tcPr>
            <w:vAlign w:val="center"/>
          </w:tcPr>
          <w:p>
            <w:pPr>
              <w:jc w:val="center"/>
            </w:pPr>
            <w:r>
              <w:rPr>
                <w:color w:val="000000"/>
                <w:sz w:val="24"/>
                <w:szCs w:val="24"/>
              </w:rPr>
              <w:t>9</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121,120</w:t>
            </w:r>
          </w:p>
        </w:tc>
        <w:tc>
          <w:tcPr>
            <w:vAlign w:val="center"/>
          </w:tcPr>
          <w:p>
            <w:pPr>
              <w:jc w:val="right"/>
            </w:pPr>
            <w:r>
              <w:rPr>
                <w:color w:val="000000"/>
                <w:sz w:val="24"/>
                <w:szCs w:val="24"/>
              </w:rPr>
              <w:t>11,146,673.60</w:t>
            </w:r>
          </w:p>
        </w:tc>
        <w:tc>
          <w:tcPr>
            <w:vAlign w:val="center"/>
          </w:tcPr>
          <w:p>
            <w:pPr>
              <w:jc w:val="right"/>
            </w:pPr>
            <w:r>
              <w:rPr>
                <w:color w:val="000000"/>
                <w:sz w:val="24"/>
                <w:szCs w:val="24"/>
              </w:rPr>
              <w:t>4.07</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330,140</w:t>
            </w:r>
          </w:p>
        </w:tc>
        <w:tc>
          <w:tcPr>
            <w:vAlign w:val="center"/>
          </w:tcPr>
          <w:p>
            <w:pPr>
              <w:jc w:val="right"/>
            </w:pPr>
            <w:r>
              <w:rPr>
                <w:color w:val="000000"/>
                <w:sz w:val="24"/>
                <w:szCs w:val="24"/>
              </w:rPr>
              <w:t>11,086,101.20</w:t>
            </w:r>
          </w:p>
        </w:tc>
        <w:tc>
          <w:tcPr>
            <w:vAlign w:val="center"/>
          </w:tcPr>
          <w:p>
            <w:pPr>
              <w:jc w:val="right"/>
            </w:pPr>
            <w:r>
              <w:rPr>
                <w:color w:val="000000"/>
                <w:sz w:val="24"/>
                <w:szCs w:val="24"/>
              </w:rPr>
              <w:t>4.05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95,017.91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4,163.57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103,106.75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202,288.23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239,379,117.77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12,523,426.66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42,272,279.22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209,630,265.21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65,374,925.46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65,374,925.46</w:t>
            </w:r>
          </w:p>
        </w:tc>
        <w:tc>
          <w:tcPr>
            <w:vAlign w:val="center"/>
          </w:tcPr>
          <w:p>
            <w:pPr>
              <w:jc w:val="center"/>
            </w:pPr>
            <w:r>
              <w:rPr>
                <w:rFonts w:ascii="宋体" w:hAnsi="宋体"/>
                <w:color w:val="000000"/>
                <w:kern w:val="0"/>
              </w:rPr>
              <w:t>31.19%</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1、中国证监会准予交银施罗德股息优化混合型证券投资基金募集注册的文件；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2、《交银施罗德股息优化混合型证券投资基金基金合同》；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3、《交银施罗德股息优化混合型证券投资基金招募说明书》；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4、《交银施罗德股息优化混合型证券投资基金托管协议》；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5、关于申请募集注册交银施罗德股息优化混合型证券投资基金的法律意见书；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8、报告期内交银施罗德股息优化混合型证券投资基金在指定报刊上各项公告的原稿。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交银施罗德股息优化混合型证券投资基金2020年第1季度报告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