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2013年4月18日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1,555,119,731.88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交银双轮动债券A/B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交银双轮动债券C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519723</w:t>
            </w:r>
            <w:r w:rsidRPr="007F52FA">
              <w:rPr>
                <w:color w:themeColor="text1" w:val="000000"/>
                <w:sz w:val="24"/>
              </w:rPr>
              <w:t>（前端）、</w:t>
            </w:r>
            <w:r w:rsidRPr="007F52FA">
              <w:rPr>
                <w:color w:themeColor="text1" w:val="000000"/>
                <w:sz w:val="24"/>
              </w:rPr>
              <w:t>519724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519725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1,516,173,224.43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38,946,507.45</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交银双轮动债券A/B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交银双轮动债券C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20,823,958.33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1,464,053.98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23,898,012.09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1,976,427.32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0.0162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0.0157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1,647,287,812.47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42,126,047.71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1.086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1.082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交银双轮动债券A/B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1.59%</w:t>
            </w:r>
          </w:p>
        </w:tc>
        <w:tc>
          <w:tcPr>
            <w:vAlign w:val="center"/>
          </w:tcPr>
          <w:p>
            <w:pPr>
              <w:jc w:val="center"/>
            </w:pPr>
            <w:r>
              <w:rPr>
                <w:color w:val="000000"/>
                <w:sz w:val="24"/>
              </w:rPr>
              <w:t>0.07%</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-0.26%</w:t>
            </w:r>
          </w:p>
        </w:tc>
        <w:tc>
          <w:tcPr>
            <w:vAlign w:val="center"/>
          </w:tcPr>
          <w:p>
            <w:pPr>
              <w:jc w:val="center"/>
            </w:pPr>
            <w:r>
              <w:rPr>
                <w:color w:val="000000"/>
                <w:sz w:val="24"/>
              </w:rPr>
              <w:t>-0.03%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交银双轮动债券C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1.50%</w:t>
            </w:r>
          </w:p>
        </w:tc>
        <w:tc>
          <w:tcPr>
            <w:vAlign w:val="center"/>
          </w:tcPr>
          <w:p>
            <w:pPr>
              <w:jc w:val="center"/>
            </w:pPr>
            <w:r>
              <w:rPr>
                <w:color w:val="000000"/>
                <w:sz w:val="24"/>
              </w:rPr>
              <w:t>0.07%</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-0.35%</w:t>
            </w:r>
          </w:p>
        </w:tc>
        <w:tc>
          <w:tcPr>
            <w:vAlign w:val="center"/>
          </w:tcPr>
          <w:p>
            <w:pPr>
              <w:jc w:val="center"/>
            </w:pPr>
            <w:r>
              <w:rPr>
                <w:color w:val="000000"/>
                <w:sz w:val="24"/>
              </w:rPr>
              <w:t>-0.03%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交银施罗德双轮动债券型证券投资基金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2013年4月18日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交银双轮动债券C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交银信用添利债券(LOF)、交银双利债券、交银双轮动债券、交银荣鑫灵活配置混合的基金经理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整体呈现震荡下行的格局，进入2020年，新冠肺炎疫情爆发、防疫措施导致经济短期停摆、海外需求不确定性增加、经济增长预期随疫情发展不断调整、央行维稳并降准、财政刺激政策预期升温等多个因素的互相交织，影响着债券市场，国内长端利率这些因素的共同影响下，出现了较大幅度的波动下行。债券收益率下行集中在一月下旬和三月上旬，主要源自新冠疫情导致国内总需求和海外需求大幅下降的预期；债券收益率小幅震荡上行集中在二月中旬和三月中旬，主要源自宽基建稳增长政策预期升温和市场降息预期调整等因素。在资金利率保持宽松的背景下，利率收益率曲线在下行过程中逐步陡峭化。</w:t>
      </w:r>
    </w:p>
    <w:p>
      <w:pPr>
        <w:spacing w:before="29" w:line="288" w:lineRule="auto"/>
        <w:ind w:firstLine="480" w:firstLineChars="200"/>
        <w:rPr>
          <w:color w:val="000000"/>
          <w:sz w:val="24"/>
        </w:rPr>
      </w:pPr>
      <w:r>
        <w:rPr>
          <w:color w:val="000000"/>
          <w:sz w:val="24"/>
        </w:rPr>
        <w:t>报告期内，本基金以信用债杠杆套息策略为主，适当提升了组合杠杆，维持中性的组合久期配置，保持信用债整体的较高仓位，在板块上增加了部分中低等级城投债品种的配置，提升底仓的静态收益。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全球疫情超预期的发展，国内外经济基本面下行压力仍然存在，货币政策预计将继续维持相对宽松，且有可能进一步降息以引导实体融资成本进一步下行。同时根据政治局会议的表态，财政政策发力可期，特别国债出台可能性较大，地方政府专项债发行量预期将明显增加，对财政方面刺激政策的预期又可能限制市场对长端利率的做多情绪。因此，我们认为2020年二季度长端利率将以震荡为主。基金策略方面，本基金将视融资成本及市场收益率变动情况，维持杠杆操作，并积极关注长端利率的波段交易机会，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2,134,857,000.00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2,134,857,000.00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2,471,406.12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45,524,477.06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2,182,852,883.18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86,202,000.00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5.10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86,202,000.00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5.10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392,549,000.00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23.24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100,195,000.00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5.93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1,555,911,000.00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92.10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2,134,857,000.00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126.37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101901368</w:t>
            </w:r>
          </w:p>
        </w:tc>
        <w:tc>
          <w:tcPr>
            <w:vAlign w:val="center"/>
          </w:tcPr>
          <w:p>
            <w:pPr>
              <w:jc w:val="center"/>
            </w:pPr>
            <w:r>
              <w:rPr>
                <w:color w:val="000000"/>
                <w:sz w:val="24"/>
              </w:rPr>
              <w:t>19蚌埠城投MTN001</w:t>
            </w:r>
          </w:p>
        </w:tc>
        <w:tc>
          <w:tcPr>
            <w:vAlign w:val="center"/>
          </w:tcPr>
          <w:p>
            <w:pPr>
              <w:jc w:val="right"/>
            </w:pPr>
            <w:r>
              <w:rPr>
                <w:color w:val="000000"/>
                <w:sz w:val="24"/>
              </w:rPr>
              <w:t>600,000</w:t>
            </w:r>
          </w:p>
        </w:tc>
        <w:tc>
          <w:tcPr>
            <w:vAlign w:val="center"/>
          </w:tcPr>
          <w:p>
            <w:pPr>
              <w:jc w:val="right"/>
            </w:pPr>
            <w:r>
              <w:rPr>
                <w:color w:val="000000"/>
                <w:sz w:val="24"/>
              </w:rPr>
              <w:t>61,092,000.00</w:t>
            </w:r>
          </w:p>
        </w:tc>
        <w:tc>
          <w:tcPr>
            <w:vAlign w:val="center"/>
          </w:tcPr>
          <w:p>
            <w:pPr>
              <w:jc w:val="right"/>
            </w:pPr>
            <w:r>
              <w:rPr>
                <w:color w:val="000000"/>
                <w:sz w:val="24"/>
              </w:rPr>
              <w:t>3.62</w:t>
            </w:r>
          </w:p>
        </w:tc>
      </w:tr>
      <w:tr>
        <w:tc>
          <w:tcPr>
            <w:vAlign w:val="center"/>
          </w:tcPr>
          <w:p>
            <w:pPr>
              <w:jc w:val="center"/>
            </w:pPr>
            <w:r>
              <w:rPr>
                <w:color w:val="000000"/>
                <w:sz w:val="24"/>
              </w:rPr>
              <w:t>2</w:t>
            </w:r>
          </w:p>
        </w:tc>
        <w:tc>
          <w:tcPr>
            <w:vAlign w:val="center"/>
          </w:tcPr>
          <w:p>
            <w:pPr>
              <w:jc w:val="center"/>
            </w:pPr>
            <w:r>
              <w:rPr>
                <w:color w:val="000000"/>
                <w:sz w:val="24"/>
              </w:rPr>
              <w:t>101900525</w:t>
            </w:r>
          </w:p>
        </w:tc>
        <w:tc>
          <w:tcPr>
            <w:vAlign w:val="center"/>
          </w:tcPr>
          <w:p>
            <w:pPr>
              <w:jc w:val="center"/>
            </w:pPr>
            <w:r>
              <w:rPr>
                <w:color w:val="000000"/>
                <w:sz w:val="24"/>
              </w:rPr>
              <w:t>19盐城城南MTN002</w:t>
            </w:r>
          </w:p>
        </w:tc>
        <w:tc>
          <w:tcPr>
            <w:vAlign w:val="center"/>
          </w:tcPr>
          <w:p>
            <w:pPr>
              <w:jc w:val="right"/>
            </w:pPr>
            <w:r>
              <w:rPr>
                <w:color w:val="000000"/>
                <w:sz w:val="24"/>
              </w:rPr>
              <w:t>500,000</w:t>
            </w:r>
          </w:p>
        </w:tc>
        <w:tc>
          <w:tcPr>
            <w:vAlign w:val="center"/>
          </w:tcPr>
          <w:p>
            <w:pPr>
              <w:jc w:val="right"/>
            </w:pPr>
            <w:r>
              <w:rPr>
                <w:color w:val="000000"/>
                <w:sz w:val="24"/>
              </w:rPr>
              <w:t>52,015,000.00</w:t>
            </w:r>
          </w:p>
        </w:tc>
        <w:tc>
          <w:tcPr>
            <w:vAlign w:val="center"/>
          </w:tcPr>
          <w:p>
            <w:pPr>
              <w:jc w:val="right"/>
            </w:pPr>
            <w:r>
              <w:rPr>
                <w:color w:val="000000"/>
                <w:sz w:val="24"/>
              </w:rPr>
              <w:t>3.08</w:t>
            </w:r>
          </w:p>
        </w:tc>
      </w:tr>
      <w:tr>
        <w:tc>
          <w:tcPr>
            <w:vAlign w:val="center"/>
          </w:tcPr>
          <w:p>
            <w:pPr>
              <w:jc w:val="center"/>
            </w:pPr>
            <w:r>
              <w:rPr>
                <w:color w:val="000000"/>
                <w:sz w:val="24"/>
              </w:rPr>
              <w:t>3</w:t>
            </w:r>
          </w:p>
        </w:tc>
        <w:tc>
          <w:tcPr>
            <w:vAlign w:val="center"/>
          </w:tcPr>
          <w:p>
            <w:pPr>
              <w:jc w:val="center"/>
            </w:pPr>
            <w:r>
              <w:rPr>
                <w:color w:val="000000"/>
                <w:sz w:val="24"/>
              </w:rPr>
              <w:t>101800369</w:t>
            </w:r>
          </w:p>
        </w:tc>
        <w:tc>
          <w:tcPr>
            <w:vAlign w:val="center"/>
          </w:tcPr>
          <w:p>
            <w:pPr>
              <w:jc w:val="center"/>
            </w:pPr>
            <w:r>
              <w:rPr>
                <w:color w:val="000000"/>
                <w:sz w:val="24"/>
              </w:rPr>
              <w:t>18豫投资MTN002</w:t>
            </w:r>
          </w:p>
        </w:tc>
        <w:tc>
          <w:tcPr>
            <w:vAlign w:val="center"/>
          </w:tcPr>
          <w:p>
            <w:pPr>
              <w:jc w:val="right"/>
            </w:pPr>
            <w:r>
              <w:rPr>
                <w:color w:val="000000"/>
                <w:sz w:val="24"/>
              </w:rPr>
              <w:t>500,000</w:t>
            </w:r>
          </w:p>
        </w:tc>
        <w:tc>
          <w:tcPr>
            <w:vAlign w:val="center"/>
          </w:tcPr>
          <w:p>
            <w:pPr>
              <w:jc w:val="right"/>
            </w:pPr>
            <w:r>
              <w:rPr>
                <w:color w:val="000000"/>
                <w:sz w:val="24"/>
              </w:rPr>
              <w:t>51,725,000.00</w:t>
            </w:r>
          </w:p>
        </w:tc>
        <w:tc>
          <w:tcPr>
            <w:vAlign w:val="center"/>
          </w:tcPr>
          <w:p>
            <w:pPr>
              <w:jc w:val="right"/>
            </w:pPr>
            <w:r>
              <w:rPr>
                <w:color w:val="000000"/>
                <w:sz w:val="24"/>
              </w:rPr>
              <w:t>3.06</w:t>
            </w:r>
          </w:p>
        </w:tc>
      </w:tr>
      <w:tr>
        <w:tc>
          <w:tcPr>
            <w:vAlign w:val="center"/>
          </w:tcPr>
          <w:p>
            <w:pPr>
              <w:jc w:val="center"/>
            </w:pPr>
            <w:r>
              <w:rPr>
                <w:color w:val="000000"/>
                <w:sz w:val="24"/>
              </w:rPr>
              <w:t>4</w:t>
            </w:r>
          </w:p>
        </w:tc>
        <w:tc>
          <w:tcPr>
            <w:vAlign w:val="center"/>
          </w:tcPr>
          <w:p>
            <w:pPr>
              <w:jc w:val="center"/>
            </w:pPr>
            <w:r>
              <w:rPr>
                <w:color w:val="000000"/>
                <w:sz w:val="24"/>
              </w:rPr>
              <w:t>101800145</w:t>
            </w:r>
          </w:p>
        </w:tc>
        <w:tc>
          <w:tcPr>
            <w:vAlign w:val="center"/>
          </w:tcPr>
          <w:p>
            <w:pPr>
              <w:jc w:val="center"/>
            </w:pPr>
            <w:r>
              <w:rPr>
                <w:color w:val="000000"/>
                <w:sz w:val="24"/>
              </w:rPr>
              <w:t>18张保实业MTN001</w:t>
            </w:r>
          </w:p>
        </w:tc>
        <w:tc>
          <w:tcPr>
            <w:vAlign w:val="center"/>
          </w:tcPr>
          <w:p>
            <w:pPr>
              <w:jc w:val="right"/>
            </w:pPr>
            <w:r>
              <w:rPr>
                <w:color w:val="000000"/>
                <w:sz w:val="24"/>
              </w:rPr>
              <w:t>500,000</w:t>
            </w:r>
          </w:p>
        </w:tc>
        <w:tc>
          <w:tcPr>
            <w:vAlign w:val="center"/>
          </w:tcPr>
          <w:p>
            <w:pPr>
              <w:jc w:val="right"/>
            </w:pPr>
            <w:r>
              <w:rPr>
                <w:color w:val="000000"/>
                <w:sz w:val="24"/>
              </w:rPr>
              <w:t>51,520,000.00</w:t>
            </w:r>
          </w:p>
        </w:tc>
        <w:tc>
          <w:tcPr>
            <w:vAlign w:val="center"/>
          </w:tcPr>
          <w:p>
            <w:pPr>
              <w:jc w:val="right"/>
            </w:pPr>
            <w:r>
              <w:rPr>
                <w:color w:val="000000"/>
                <w:sz w:val="24"/>
              </w:rPr>
              <w:t>3.05</w:t>
            </w:r>
          </w:p>
        </w:tc>
      </w:tr>
      <w:tr>
        <w:tc>
          <w:tcPr>
            <w:vAlign w:val="center"/>
          </w:tcPr>
          <w:p>
            <w:pPr>
              <w:jc w:val="center"/>
            </w:pPr>
            <w:r>
              <w:rPr>
                <w:color w:val="000000"/>
                <w:sz w:val="24"/>
              </w:rPr>
              <w:t>5</w:t>
            </w:r>
          </w:p>
        </w:tc>
        <w:tc>
          <w:tcPr>
            <w:vAlign w:val="center"/>
          </w:tcPr>
          <w:p>
            <w:pPr>
              <w:jc w:val="center"/>
            </w:pPr>
            <w:r>
              <w:rPr>
                <w:color w:val="000000"/>
                <w:sz w:val="24"/>
              </w:rPr>
              <w:t>101900041</w:t>
            </w:r>
          </w:p>
        </w:tc>
        <w:tc>
          <w:tcPr>
            <w:vAlign w:val="center"/>
          </w:tcPr>
          <w:p>
            <w:pPr>
              <w:jc w:val="center"/>
            </w:pPr>
            <w:r>
              <w:rPr>
                <w:color w:val="000000"/>
                <w:sz w:val="24"/>
              </w:rPr>
              <w:t>19娄城高新MTN001</w:t>
            </w:r>
          </w:p>
        </w:tc>
        <w:tc>
          <w:tcPr>
            <w:vAlign w:val="center"/>
          </w:tcPr>
          <w:p>
            <w:pPr>
              <w:jc w:val="right"/>
            </w:pPr>
            <w:r>
              <w:rPr>
                <w:color w:val="000000"/>
                <w:sz w:val="24"/>
              </w:rPr>
              <w:t>400,000</w:t>
            </w:r>
          </w:p>
        </w:tc>
        <w:tc>
          <w:tcPr>
            <w:vAlign w:val="center"/>
          </w:tcPr>
          <w:p>
            <w:pPr>
              <w:jc w:val="right"/>
            </w:pPr>
            <w:r>
              <w:rPr>
                <w:color w:val="000000"/>
                <w:sz w:val="24"/>
              </w:rPr>
              <w:t>42,524,000.00</w:t>
            </w:r>
          </w:p>
        </w:tc>
        <w:tc>
          <w:tcPr>
            <w:vAlign w:val="center"/>
          </w:tcPr>
          <w:p>
            <w:pPr>
              <w:jc w:val="right"/>
            </w:pPr>
            <w:r>
              <w:rPr>
                <w:color w:val="000000"/>
                <w:sz w:val="24"/>
              </w:rPr>
              <w:t>2.52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48,450.34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39,191,637.18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6,283,072.40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1,317.14</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45,524,477.06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交银双轮动债券A/B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交银双轮动债券C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1,252,390,324.83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127,916,618.21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659,380,118.98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17,921,637.28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395,597,219.38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106,891,748.04</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1,516,173,224.43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38,946,507.45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287,302,131.60</w:t>
            </w:r>
          </w:p>
        </w:tc>
        <w:tc>
          <w:tcPr>
            <w:vAlign w:val="center"/>
          </w:tcPr>
          <w:p>
            <w:pPr>
              <w:jc w:val="center"/>
            </w:pPr>
            <w:r>
              <w:rPr>
                <w:rFonts w:ascii="宋体" w:hAnsi="宋体" w:hint="eastAsia"/>
                <w:color w:val="000000"/>
                <w:kern w:val="0"/>
                <w:szCs w:val="21"/>
              </w:rPr>
              <w:t>31,029,604.50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318,331,736.10</w:t>
            </w:r>
          </w:p>
        </w:tc>
        <w:tc>
          <w:tcPr>
            <w:vAlign w:val="center"/>
          </w:tcPr>
          <w:p>
            <w:pPr>
              <w:jc w:val="center"/>
            </w:pPr>
            <w:r>
              <w:rPr>
                <w:rFonts w:ascii="宋体" w:hAnsi="宋体" w:hint="eastAsia"/>
                <w:color w:val="000000"/>
                <w:kern w:val="0"/>
                <w:szCs w:val="21"/>
              </w:rPr>
              <w:t>20.47%</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1、中国证监会批准交银施罗德双轮动债券型证券投资基金募集的文件；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2、《交银施罗德双轮动债券型证券投资基金基金合同》；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3、《交银施罗德双轮动债券型证券投资基金招募说明书》；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4、《交银施罗德双轮动债券型证券投资基金托管协议》；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5、关于募集交银施罗德双轮动债券型证券投资基金之法律意见书；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8、报告期内交银施罗德双轮动债券型证券投资基金在指定报刊上各项公告的原稿。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交银施罗德双轮动债券型证券投资基金2020年第1季度报告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