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45C58" w:rsidRDefault="009D133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263,583,497.85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r w:rsidRPr="00414345">
              <w:rPr>
                <w:color w:val="000000"/>
                <w:kern w:val="0"/>
                <w:sz w:val="24"/>
                <w:szCs w:val="24"/>
              </w:rPr>
              <w:t>×50%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D1337" w:rsidRPr="00414345" w:rsidTr="009D133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D1337" w:rsidRPr="00414345" w:rsidTr="009D13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3,979,232.48</w:t>
            </w:r>
          </w:p>
        </w:tc>
      </w:tr>
      <w:tr w:rsidR="009D1337" w:rsidRPr="00414345" w:rsidTr="009D13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718,895.77</w:t>
            </w:r>
          </w:p>
        </w:tc>
      </w:tr>
      <w:tr w:rsidR="009D1337" w:rsidRPr="00414345" w:rsidTr="009D13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0.0021</w:t>
            </w:r>
          </w:p>
        </w:tc>
      </w:tr>
      <w:tr w:rsidR="009D1337" w:rsidRPr="00414345" w:rsidTr="009D133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292,703,689.43</w:t>
            </w:r>
          </w:p>
        </w:tc>
      </w:tr>
      <w:tr w:rsidR="009D1337" w:rsidRPr="00414345" w:rsidTr="009D133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1.110</w:t>
            </w:r>
          </w:p>
        </w:tc>
      </w:tr>
    </w:tbl>
    <w:p w:rsidR="00045C58" w:rsidRDefault="009D13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45C58">
        <w:trPr>
          <w:jc w:val="center"/>
        </w:trPr>
        <w:tc>
          <w:tcPr>
            <w:tcW w:w="1701" w:type="dxa"/>
            <w:vAlign w:val="center"/>
          </w:tcPr>
          <w:p w:rsidR="00045C58" w:rsidRDefault="009D1337">
            <w:pPr>
              <w:jc w:val="left"/>
            </w:pPr>
            <w:r>
              <w:rPr>
                <w:color w:val="000000"/>
                <w:sz w:val="24"/>
                <w:szCs w:val="24"/>
              </w:rPr>
              <w:t>过去三个月</w:t>
            </w:r>
          </w:p>
        </w:tc>
        <w:tc>
          <w:tcPr>
            <w:tcW w:w="1045" w:type="dxa"/>
            <w:vAlign w:val="center"/>
          </w:tcPr>
          <w:p w:rsidR="00045C58" w:rsidRDefault="009D1337">
            <w:pPr>
              <w:jc w:val="center"/>
            </w:pPr>
            <w:r>
              <w:rPr>
                <w:color w:val="000000"/>
                <w:sz w:val="24"/>
                <w:szCs w:val="24"/>
              </w:rPr>
              <w:t>0.18%</w:t>
            </w:r>
          </w:p>
        </w:tc>
        <w:tc>
          <w:tcPr>
            <w:tcW w:w="1344" w:type="dxa"/>
            <w:vAlign w:val="center"/>
          </w:tcPr>
          <w:p w:rsidR="00045C58" w:rsidRDefault="009D1337">
            <w:pPr>
              <w:jc w:val="center"/>
            </w:pPr>
            <w:r>
              <w:rPr>
                <w:color w:val="000000"/>
                <w:sz w:val="24"/>
                <w:szCs w:val="24"/>
              </w:rPr>
              <w:t>0.39%</w:t>
            </w:r>
          </w:p>
        </w:tc>
        <w:tc>
          <w:tcPr>
            <w:tcW w:w="1194" w:type="dxa"/>
            <w:vAlign w:val="center"/>
          </w:tcPr>
          <w:p w:rsidR="00045C58" w:rsidRDefault="009D1337">
            <w:pPr>
              <w:jc w:val="center"/>
            </w:pPr>
            <w:r>
              <w:rPr>
                <w:color w:val="000000"/>
                <w:sz w:val="24"/>
                <w:szCs w:val="24"/>
              </w:rPr>
              <w:t>-3.98%</w:t>
            </w:r>
          </w:p>
        </w:tc>
        <w:tc>
          <w:tcPr>
            <w:tcW w:w="1492" w:type="dxa"/>
            <w:vAlign w:val="center"/>
          </w:tcPr>
          <w:p w:rsidR="00045C58" w:rsidRDefault="009D1337">
            <w:pPr>
              <w:jc w:val="center"/>
            </w:pPr>
            <w:r>
              <w:rPr>
                <w:color w:val="000000"/>
                <w:sz w:val="24"/>
                <w:szCs w:val="24"/>
              </w:rPr>
              <w:t>0.95%</w:t>
            </w:r>
          </w:p>
        </w:tc>
        <w:tc>
          <w:tcPr>
            <w:tcW w:w="1194" w:type="dxa"/>
            <w:vAlign w:val="center"/>
          </w:tcPr>
          <w:p w:rsidR="00045C58" w:rsidRDefault="009D1337">
            <w:pPr>
              <w:jc w:val="center"/>
            </w:pPr>
            <w:r>
              <w:rPr>
                <w:color w:val="000000"/>
                <w:sz w:val="24"/>
                <w:szCs w:val="24"/>
              </w:rPr>
              <w:t>4.16%</w:t>
            </w:r>
          </w:p>
        </w:tc>
        <w:tc>
          <w:tcPr>
            <w:tcW w:w="898" w:type="dxa"/>
            <w:vAlign w:val="center"/>
          </w:tcPr>
          <w:p w:rsidR="00045C58" w:rsidRDefault="009D1337">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注：本基金由交银施罗德荣鑫保本混合型证券投资基金转型而来。基金转型日为</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29</w:t>
      </w:r>
      <w:r w:rsidRPr="00414345">
        <w:rPr>
          <w:color w:val="000000"/>
          <w:sz w:val="24"/>
          <w:szCs w:val="24"/>
        </w:rPr>
        <w:t>日。本基金的投资转型期为交银施罗德荣鑫保本混合型证券投资基金保本周期到期期间截止日的次日（即</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29</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45C58">
        <w:trPr>
          <w:jc w:val="center"/>
        </w:trPr>
        <w:tc>
          <w:tcPr>
            <w:tcW w:w="846" w:type="dxa"/>
            <w:vAlign w:val="center"/>
          </w:tcPr>
          <w:p w:rsidR="00045C58" w:rsidRDefault="009D1337">
            <w:pPr>
              <w:jc w:val="center"/>
            </w:pPr>
            <w:r>
              <w:rPr>
                <w:color w:val="000000"/>
                <w:sz w:val="24"/>
                <w:szCs w:val="24"/>
              </w:rPr>
              <w:t>唐赟</w:t>
            </w:r>
          </w:p>
        </w:tc>
        <w:tc>
          <w:tcPr>
            <w:tcW w:w="845" w:type="dxa"/>
            <w:vAlign w:val="center"/>
          </w:tcPr>
          <w:p w:rsidR="00045C58" w:rsidRDefault="009D1337">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、交银双利债券、交银双轮动债券、交银荣鑫灵活配置混合的基金经理</w:t>
            </w:r>
          </w:p>
        </w:tc>
        <w:tc>
          <w:tcPr>
            <w:tcW w:w="1549" w:type="dxa"/>
            <w:vAlign w:val="center"/>
          </w:tcPr>
          <w:p w:rsidR="00045C58" w:rsidRDefault="009D1337">
            <w:pPr>
              <w:jc w:val="center"/>
            </w:pPr>
            <w:r>
              <w:rPr>
                <w:color w:val="000000"/>
                <w:sz w:val="24"/>
                <w:szCs w:val="24"/>
              </w:rPr>
              <w:t>2019-02-28</w:t>
            </w:r>
          </w:p>
        </w:tc>
        <w:tc>
          <w:tcPr>
            <w:tcW w:w="1548" w:type="dxa"/>
            <w:vAlign w:val="center"/>
          </w:tcPr>
          <w:p w:rsidR="00045C58" w:rsidRDefault="009D1337">
            <w:pPr>
              <w:jc w:val="center"/>
            </w:pPr>
            <w:r>
              <w:rPr>
                <w:color w:val="000000"/>
                <w:sz w:val="24"/>
                <w:szCs w:val="24"/>
              </w:rPr>
              <w:t>-</w:t>
            </w:r>
          </w:p>
        </w:tc>
        <w:tc>
          <w:tcPr>
            <w:tcW w:w="1407" w:type="dxa"/>
            <w:vAlign w:val="center"/>
          </w:tcPr>
          <w:p w:rsidR="00045C58" w:rsidRDefault="009D1337">
            <w:pPr>
              <w:jc w:val="center"/>
            </w:pPr>
            <w:r>
              <w:rPr>
                <w:color w:val="000000"/>
                <w:sz w:val="24"/>
                <w:szCs w:val="24"/>
              </w:rPr>
              <w:t>10</w:t>
            </w:r>
            <w:r>
              <w:rPr>
                <w:color w:val="000000"/>
                <w:sz w:val="24"/>
                <w:szCs w:val="24"/>
              </w:rPr>
              <w:t>年</w:t>
            </w:r>
          </w:p>
        </w:tc>
        <w:tc>
          <w:tcPr>
            <w:tcW w:w="2673" w:type="dxa"/>
            <w:vAlign w:val="center"/>
          </w:tcPr>
          <w:p w:rsidR="00045C58" w:rsidRDefault="009D1337">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13</w:t>
            </w:r>
            <w:r>
              <w:rPr>
                <w:color w:val="000000"/>
                <w:sz w:val="24"/>
                <w:szCs w:val="24"/>
              </w:rPr>
              <w:t>日担任交银施罗德安心收益债券型证券投资基金的基金经理。</w:t>
            </w:r>
          </w:p>
        </w:tc>
      </w:tr>
      <w:tr w:rsidR="00045C58">
        <w:trPr>
          <w:jc w:val="center"/>
        </w:trPr>
        <w:tc>
          <w:tcPr>
            <w:tcW w:w="846" w:type="dxa"/>
            <w:vAlign w:val="center"/>
          </w:tcPr>
          <w:p w:rsidR="00045C58" w:rsidRDefault="009D1337">
            <w:pPr>
              <w:jc w:val="center"/>
            </w:pPr>
            <w:r>
              <w:rPr>
                <w:color w:val="000000"/>
                <w:sz w:val="24"/>
                <w:szCs w:val="24"/>
              </w:rPr>
              <w:t>王艺伟</w:t>
            </w:r>
          </w:p>
        </w:tc>
        <w:tc>
          <w:tcPr>
            <w:tcW w:w="845" w:type="dxa"/>
            <w:vAlign w:val="center"/>
          </w:tcPr>
          <w:p w:rsidR="00045C58" w:rsidRDefault="009D1337">
            <w:pPr>
              <w:jc w:val="center"/>
            </w:pPr>
            <w:r>
              <w:rPr>
                <w:color w:val="000000"/>
                <w:sz w:val="24"/>
                <w:szCs w:val="24"/>
              </w:rPr>
              <w:t>交银安心收益债券、交银荣鑫灵活配置</w:t>
            </w:r>
            <w:r>
              <w:rPr>
                <w:color w:val="000000"/>
                <w:sz w:val="24"/>
                <w:szCs w:val="24"/>
              </w:rPr>
              <w:t>混合的基金经理</w:t>
            </w:r>
          </w:p>
        </w:tc>
        <w:tc>
          <w:tcPr>
            <w:tcW w:w="1549" w:type="dxa"/>
            <w:vAlign w:val="center"/>
          </w:tcPr>
          <w:p w:rsidR="00045C58" w:rsidRDefault="009D1337">
            <w:pPr>
              <w:jc w:val="center"/>
            </w:pPr>
            <w:r>
              <w:rPr>
                <w:color w:val="000000"/>
                <w:sz w:val="24"/>
                <w:szCs w:val="24"/>
              </w:rPr>
              <w:t>2019-11-28</w:t>
            </w:r>
          </w:p>
        </w:tc>
        <w:tc>
          <w:tcPr>
            <w:tcW w:w="1548" w:type="dxa"/>
            <w:vAlign w:val="center"/>
          </w:tcPr>
          <w:p w:rsidR="00045C58" w:rsidRDefault="009D1337">
            <w:pPr>
              <w:jc w:val="center"/>
            </w:pPr>
            <w:r>
              <w:rPr>
                <w:color w:val="000000"/>
                <w:sz w:val="24"/>
                <w:szCs w:val="24"/>
              </w:rPr>
              <w:t>-</w:t>
            </w:r>
          </w:p>
        </w:tc>
        <w:tc>
          <w:tcPr>
            <w:tcW w:w="1407" w:type="dxa"/>
            <w:vAlign w:val="center"/>
          </w:tcPr>
          <w:p w:rsidR="00045C58" w:rsidRDefault="009D1337">
            <w:pPr>
              <w:jc w:val="center"/>
            </w:pPr>
            <w:r>
              <w:rPr>
                <w:color w:val="000000"/>
                <w:sz w:val="24"/>
                <w:szCs w:val="24"/>
              </w:rPr>
              <w:t>8</w:t>
            </w:r>
            <w:r>
              <w:rPr>
                <w:color w:val="000000"/>
                <w:sz w:val="24"/>
                <w:szCs w:val="24"/>
              </w:rPr>
              <w:t>年</w:t>
            </w:r>
          </w:p>
        </w:tc>
        <w:tc>
          <w:tcPr>
            <w:tcW w:w="2673" w:type="dxa"/>
            <w:vAlign w:val="center"/>
          </w:tcPr>
          <w:p w:rsidR="00045C58" w:rsidRDefault="009D1337">
            <w:r>
              <w:rPr>
                <w:color w:val="000000"/>
                <w:sz w:val="24"/>
                <w:szCs w:val="24"/>
              </w:rPr>
              <w:t>王艺伟女士，北京大学经济学硕士，吉林大学经济学学士、理学学士。</w:t>
            </w:r>
            <w:r>
              <w:rPr>
                <w:color w:val="000000"/>
                <w:sz w:val="24"/>
                <w:szCs w:val="24"/>
              </w:rPr>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45C58" w:rsidRDefault="009D133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45C58" w:rsidRDefault="009D133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45C58" w:rsidRDefault="009D133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45C58" w:rsidRDefault="009D1337">
      <w:pPr>
        <w:spacing w:before="29" w:line="288" w:lineRule="auto"/>
        <w:ind w:firstLineChars="200" w:firstLine="480"/>
        <w:rPr>
          <w:color w:val="000000"/>
          <w:sz w:val="24"/>
          <w:szCs w:val="24"/>
        </w:rPr>
      </w:pPr>
      <w:r>
        <w:rPr>
          <w:color w:val="000000"/>
          <w:sz w:val="24"/>
          <w:szCs w:val="24"/>
        </w:rPr>
        <w:t>本报告期内，疫情对经济基本面的冲击以及对政策带来的挑战亦影响到大类资产价格的走势，债券收益率受经济下行压力及货币政策宽松影响而持续走低。一月初，经济企稳预期较强，不过央行通过降准、公开市场操作等方式为市场注入流动性，以熨平春节前后资金价格波动，令债市收益率相对稳定；一月下旬起，肺炎疫情扩散引发的避险情绪令债券收益率持续下行；步入三月，海外疫情加速扩散以及联储的宽松使得避险情绪进一步升温，尤其在流动性风险得到控制后，国内债</w:t>
      </w:r>
      <w:r>
        <w:rPr>
          <w:color w:val="000000"/>
          <w:sz w:val="24"/>
          <w:szCs w:val="24"/>
        </w:rPr>
        <w:t>券收益率经历短暂回调后继续下行，三月底，十年期国开债新券收益率突破</w:t>
      </w:r>
      <w:r>
        <w:rPr>
          <w:color w:val="000000"/>
          <w:sz w:val="24"/>
          <w:szCs w:val="24"/>
        </w:rPr>
        <w:t>3%</w:t>
      </w:r>
      <w:r>
        <w:rPr>
          <w:color w:val="000000"/>
          <w:sz w:val="24"/>
          <w:szCs w:val="24"/>
        </w:rPr>
        <w:t>。</w:t>
      </w:r>
    </w:p>
    <w:p w:rsidR="00045C58" w:rsidRDefault="009D1337">
      <w:pPr>
        <w:spacing w:before="29" w:line="288" w:lineRule="auto"/>
        <w:ind w:firstLineChars="200" w:firstLine="480"/>
        <w:rPr>
          <w:color w:val="000000"/>
          <w:sz w:val="24"/>
          <w:szCs w:val="24"/>
        </w:rPr>
      </w:pPr>
      <w:r>
        <w:rPr>
          <w:color w:val="000000"/>
          <w:sz w:val="24"/>
          <w:szCs w:val="24"/>
        </w:rPr>
        <w:t>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从行业看，防疫相关的医药产业、线上零售、休闲零食、农业等产业领涨，餐饮旅游、交通运输、地产产业链等板块表现相对弱势。</w:t>
      </w:r>
    </w:p>
    <w:p w:rsidR="00045C58" w:rsidRDefault="009D1337">
      <w:pPr>
        <w:spacing w:before="29" w:line="288" w:lineRule="auto"/>
        <w:ind w:firstLineChars="200" w:firstLine="480"/>
        <w:rPr>
          <w:color w:val="000000"/>
          <w:sz w:val="24"/>
          <w:szCs w:val="24"/>
        </w:rPr>
      </w:pPr>
      <w:r>
        <w:rPr>
          <w:color w:val="000000"/>
          <w:sz w:val="24"/>
          <w:szCs w:val="24"/>
        </w:rPr>
        <w:t>我们认为，在海外疫情没有看到确定性的改善信号前，经济下行的</w:t>
      </w:r>
      <w:r>
        <w:rPr>
          <w:color w:val="000000"/>
          <w:sz w:val="24"/>
          <w:szCs w:val="24"/>
        </w:rPr>
        <w:t>担忧始终存在，因此看好债券，权益市场则以结构性行情为主，相对看好低估值受益于逆周期调控政策相关行业的机会。在基金操作中，债券部分我们维持中短久期高等级信用的主仓位配置，同时小幅增配长端利率，以获取资本利得及票息收入。权益方面，组合坚守逆向左侧布局的思路，仓位以低估值受益于逆周期调控的稳健品种为主，并在海外疫情发酵前降仓科技。此外，组合继续积极参与权益和转债的一级申购，以增厚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我们认为疫情对于全球经济的冲击将逐步体现，全球政策大概率维持相对宽松。国内方面，我们将继续期待逆周期调控政策以稳定企业信心和就业。因此，我们相对看好债券的配置价值，组合底仓将以中短久期高等级信用债为主，并将择机适当增配长端利率品种。权益方面，考虑到全球疫情的不确定性以及经济基本面下行对企业盈利的冲击，没有看到相对确定的改善信号前，本基金秉承控制回撤，左侧布局的绝对收益思路，方向依然偏向低估值高分红个股，并根据市场及政策动态调整组合配置结构和仓位。本基金将继续积极参与优质权益标的一级申购，努力为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76,492,119.96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76,492,119.96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273,295,027.60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73.61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273,295,027.60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73.61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2,376,449.03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0.64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6,612,941.77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371,276,538.36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6,532,857.00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8,995,291.87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7,179,848.00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474,577.31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7,653,714.16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1,382,054.42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39,435,202.22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4,821,022.00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76,492,119.96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45C58">
        <w:trPr>
          <w:jc w:val="center"/>
        </w:trPr>
        <w:tc>
          <w:tcPr>
            <w:tcW w:w="855" w:type="dxa"/>
            <w:vAlign w:val="center"/>
          </w:tcPr>
          <w:p w:rsidR="00045C58" w:rsidRDefault="009D1337">
            <w:pPr>
              <w:jc w:val="center"/>
            </w:pPr>
            <w:r>
              <w:rPr>
                <w:color w:val="000000"/>
                <w:sz w:val="24"/>
                <w:szCs w:val="24"/>
              </w:rPr>
              <w:t>1</w:t>
            </w:r>
          </w:p>
        </w:tc>
        <w:tc>
          <w:tcPr>
            <w:tcW w:w="1334" w:type="dxa"/>
            <w:vAlign w:val="center"/>
          </w:tcPr>
          <w:p w:rsidR="00045C58" w:rsidRDefault="009D1337">
            <w:pPr>
              <w:jc w:val="center"/>
            </w:pPr>
            <w:r>
              <w:rPr>
                <w:color w:val="000000"/>
                <w:sz w:val="24"/>
                <w:szCs w:val="24"/>
              </w:rPr>
              <w:t>601288</w:t>
            </w:r>
          </w:p>
        </w:tc>
        <w:tc>
          <w:tcPr>
            <w:tcW w:w="1777" w:type="dxa"/>
            <w:vAlign w:val="center"/>
          </w:tcPr>
          <w:p w:rsidR="00045C58" w:rsidRDefault="009D1337">
            <w:pPr>
              <w:jc w:val="center"/>
            </w:pPr>
            <w:r>
              <w:rPr>
                <w:color w:val="000000"/>
                <w:sz w:val="24"/>
                <w:szCs w:val="24"/>
              </w:rPr>
              <w:t>农业银行</w:t>
            </w:r>
          </w:p>
        </w:tc>
        <w:tc>
          <w:tcPr>
            <w:tcW w:w="1334" w:type="dxa"/>
            <w:vAlign w:val="center"/>
          </w:tcPr>
          <w:p w:rsidR="00045C58" w:rsidRDefault="009D1337">
            <w:pPr>
              <w:jc w:val="right"/>
            </w:pPr>
            <w:r>
              <w:rPr>
                <w:color w:val="000000"/>
                <w:sz w:val="24"/>
                <w:szCs w:val="24"/>
              </w:rPr>
              <w:t>3,647,200</w:t>
            </w:r>
          </w:p>
        </w:tc>
        <w:tc>
          <w:tcPr>
            <w:tcW w:w="1924" w:type="dxa"/>
            <w:vAlign w:val="center"/>
          </w:tcPr>
          <w:p w:rsidR="00045C58" w:rsidRDefault="009D1337">
            <w:pPr>
              <w:jc w:val="right"/>
            </w:pPr>
            <w:r>
              <w:rPr>
                <w:color w:val="000000"/>
                <w:sz w:val="24"/>
                <w:szCs w:val="24"/>
              </w:rPr>
              <w:t>12,291,064.00</w:t>
            </w:r>
          </w:p>
        </w:tc>
        <w:tc>
          <w:tcPr>
            <w:tcW w:w="1644" w:type="dxa"/>
            <w:vAlign w:val="center"/>
          </w:tcPr>
          <w:p w:rsidR="00045C58" w:rsidRDefault="009D1337">
            <w:pPr>
              <w:jc w:val="right"/>
            </w:pPr>
            <w:r>
              <w:rPr>
                <w:color w:val="000000"/>
                <w:sz w:val="24"/>
                <w:szCs w:val="24"/>
              </w:rPr>
              <w:t>4.20</w:t>
            </w:r>
          </w:p>
        </w:tc>
      </w:tr>
      <w:tr w:rsidR="00045C58">
        <w:trPr>
          <w:jc w:val="center"/>
        </w:trPr>
        <w:tc>
          <w:tcPr>
            <w:tcW w:w="855" w:type="dxa"/>
            <w:vAlign w:val="center"/>
          </w:tcPr>
          <w:p w:rsidR="00045C58" w:rsidRDefault="009D1337">
            <w:pPr>
              <w:jc w:val="center"/>
            </w:pPr>
            <w:r>
              <w:rPr>
                <w:color w:val="000000"/>
                <w:sz w:val="24"/>
                <w:szCs w:val="24"/>
              </w:rPr>
              <w:t>2</w:t>
            </w:r>
          </w:p>
        </w:tc>
        <w:tc>
          <w:tcPr>
            <w:tcW w:w="1334" w:type="dxa"/>
            <w:vAlign w:val="center"/>
          </w:tcPr>
          <w:p w:rsidR="00045C58" w:rsidRDefault="009D1337">
            <w:pPr>
              <w:jc w:val="center"/>
            </w:pPr>
            <w:r>
              <w:rPr>
                <w:color w:val="000000"/>
                <w:sz w:val="24"/>
                <w:szCs w:val="24"/>
              </w:rPr>
              <w:t>601398</w:t>
            </w:r>
          </w:p>
        </w:tc>
        <w:tc>
          <w:tcPr>
            <w:tcW w:w="1777" w:type="dxa"/>
            <w:vAlign w:val="center"/>
          </w:tcPr>
          <w:p w:rsidR="00045C58" w:rsidRDefault="009D1337">
            <w:pPr>
              <w:jc w:val="center"/>
            </w:pPr>
            <w:r>
              <w:rPr>
                <w:color w:val="000000"/>
                <w:sz w:val="24"/>
                <w:szCs w:val="24"/>
              </w:rPr>
              <w:t>工商银行</w:t>
            </w:r>
          </w:p>
        </w:tc>
        <w:tc>
          <w:tcPr>
            <w:tcW w:w="1334" w:type="dxa"/>
            <w:vAlign w:val="center"/>
          </w:tcPr>
          <w:p w:rsidR="00045C58" w:rsidRDefault="009D1337">
            <w:pPr>
              <w:jc w:val="right"/>
            </w:pPr>
            <w:r>
              <w:rPr>
                <w:color w:val="000000"/>
                <w:sz w:val="24"/>
                <w:szCs w:val="24"/>
              </w:rPr>
              <w:t>2,137,900</w:t>
            </w:r>
          </w:p>
        </w:tc>
        <w:tc>
          <w:tcPr>
            <w:tcW w:w="1924" w:type="dxa"/>
            <w:vAlign w:val="center"/>
          </w:tcPr>
          <w:p w:rsidR="00045C58" w:rsidRDefault="009D1337">
            <w:pPr>
              <w:jc w:val="right"/>
            </w:pPr>
            <w:r>
              <w:rPr>
                <w:color w:val="000000"/>
                <w:sz w:val="24"/>
                <w:szCs w:val="24"/>
              </w:rPr>
              <w:t>11,010,185.00</w:t>
            </w:r>
          </w:p>
        </w:tc>
        <w:tc>
          <w:tcPr>
            <w:tcW w:w="1644" w:type="dxa"/>
            <w:vAlign w:val="center"/>
          </w:tcPr>
          <w:p w:rsidR="00045C58" w:rsidRDefault="009D1337">
            <w:pPr>
              <w:jc w:val="right"/>
            </w:pPr>
            <w:r>
              <w:rPr>
                <w:color w:val="000000"/>
                <w:sz w:val="24"/>
                <w:szCs w:val="24"/>
              </w:rPr>
              <w:t>3.76</w:t>
            </w:r>
          </w:p>
        </w:tc>
      </w:tr>
      <w:tr w:rsidR="00045C58">
        <w:trPr>
          <w:jc w:val="center"/>
        </w:trPr>
        <w:tc>
          <w:tcPr>
            <w:tcW w:w="855" w:type="dxa"/>
            <w:vAlign w:val="center"/>
          </w:tcPr>
          <w:p w:rsidR="00045C58" w:rsidRDefault="009D1337">
            <w:pPr>
              <w:jc w:val="center"/>
            </w:pPr>
            <w:r>
              <w:rPr>
                <w:color w:val="000000"/>
                <w:sz w:val="24"/>
                <w:szCs w:val="24"/>
              </w:rPr>
              <w:t>3</w:t>
            </w:r>
          </w:p>
        </w:tc>
        <w:tc>
          <w:tcPr>
            <w:tcW w:w="1334" w:type="dxa"/>
            <w:vAlign w:val="center"/>
          </w:tcPr>
          <w:p w:rsidR="00045C58" w:rsidRDefault="009D1337">
            <w:pPr>
              <w:jc w:val="center"/>
            </w:pPr>
            <w:r>
              <w:rPr>
                <w:color w:val="000000"/>
                <w:sz w:val="24"/>
                <w:szCs w:val="24"/>
              </w:rPr>
              <w:t>601668</w:t>
            </w:r>
          </w:p>
        </w:tc>
        <w:tc>
          <w:tcPr>
            <w:tcW w:w="1777" w:type="dxa"/>
            <w:vAlign w:val="center"/>
          </w:tcPr>
          <w:p w:rsidR="00045C58" w:rsidRDefault="009D1337">
            <w:pPr>
              <w:jc w:val="center"/>
            </w:pPr>
            <w:r>
              <w:rPr>
                <w:color w:val="000000"/>
                <w:sz w:val="24"/>
                <w:szCs w:val="24"/>
              </w:rPr>
              <w:t>中国建筑</w:t>
            </w:r>
          </w:p>
        </w:tc>
        <w:tc>
          <w:tcPr>
            <w:tcW w:w="1334" w:type="dxa"/>
            <w:vAlign w:val="center"/>
          </w:tcPr>
          <w:p w:rsidR="00045C58" w:rsidRDefault="009D1337">
            <w:pPr>
              <w:jc w:val="right"/>
            </w:pPr>
            <w:r>
              <w:rPr>
                <w:color w:val="000000"/>
                <w:sz w:val="24"/>
                <w:szCs w:val="24"/>
              </w:rPr>
              <w:t>1,362,400</w:t>
            </w:r>
          </w:p>
        </w:tc>
        <w:tc>
          <w:tcPr>
            <w:tcW w:w="1924" w:type="dxa"/>
            <w:vAlign w:val="center"/>
          </w:tcPr>
          <w:p w:rsidR="00045C58" w:rsidRDefault="009D1337">
            <w:pPr>
              <w:jc w:val="right"/>
            </w:pPr>
            <w:r>
              <w:rPr>
                <w:color w:val="000000"/>
                <w:sz w:val="24"/>
                <w:szCs w:val="24"/>
              </w:rPr>
              <w:t>7,179,848.00</w:t>
            </w:r>
          </w:p>
        </w:tc>
        <w:tc>
          <w:tcPr>
            <w:tcW w:w="1644" w:type="dxa"/>
            <w:vAlign w:val="center"/>
          </w:tcPr>
          <w:p w:rsidR="00045C58" w:rsidRDefault="009D1337">
            <w:pPr>
              <w:jc w:val="right"/>
            </w:pPr>
            <w:r>
              <w:rPr>
                <w:color w:val="000000"/>
                <w:sz w:val="24"/>
                <w:szCs w:val="24"/>
              </w:rPr>
              <w:t>2.45</w:t>
            </w:r>
          </w:p>
        </w:tc>
      </w:tr>
      <w:tr w:rsidR="00045C58">
        <w:trPr>
          <w:jc w:val="center"/>
        </w:trPr>
        <w:tc>
          <w:tcPr>
            <w:tcW w:w="855" w:type="dxa"/>
            <w:vAlign w:val="center"/>
          </w:tcPr>
          <w:p w:rsidR="00045C58" w:rsidRDefault="009D1337">
            <w:pPr>
              <w:jc w:val="center"/>
            </w:pPr>
            <w:r>
              <w:rPr>
                <w:color w:val="000000"/>
                <w:sz w:val="24"/>
                <w:szCs w:val="24"/>
              </w:rPr>
              <w:t>4</w:t>
            </w:r>
          </w:p>
        </w:tc>
        <w:tc>
          <w:tcPr>
            <w:tcW w:w="1334" w:type="dxa"/>
            <w:vAlign w:val="center"/>
          </w:tcPr>
          <w:p w:rsidR="00045C58" w:rsidRDefault="009D1337">
            <w:pPr>
              <w:jc w:val="center"/>
            </w:pPr>
            <w:r>
              <w:rPr>
                <w:color w:val="000000"/>
                <w:sz w:val="24"/>
                <w:szCs w:val="24"/>
              </w:rPr>
              <w:t>601336</w:t>
            </w:r>
          </w:p>
        </w:tc>
        <w:tc>
          <w:tcPr>
            <w:tcW w:w="1777" w:type="dxa"/>
            <w:vAlign w:val="center"/>
          </w:tcPr>
          <w:p w:rsidR="00045C58" w:rsidRDefault="009D1337">
            <w:pPr>
              <w:jc w:val="center"/>
            </w:pPr>
            <w:r>
              <w:rPr>
                <w:color w:val="000000"/>
                <w:sz w:val="24"/>
                <w:szCs w:val="24"/>
              </w:rPr>
              <w:t>新华保险</w:t>
            </w:r>
          </w:p>
        </w:tc>
        <w:tc>
          <w:tcPr>
            <w:tcW w:w="1334" w:type="dxa"/>
            <w:vAlign w:val="center"/>
          </w:tcPr>
          <w:p w:rsidR="00045C58" w:rsidRDefault="009D1337">
            <w:pPr>
              <w:jc w:val="right"/>
            </w:pPr>
            <w:r>
              <w:rPr>
                <w:color w:val="000000"/>
                <w:sz w:val="24"/>
                <w:szCs w:val="24"/>
              </w:rPr>
              <w:t>155,039</w:t>
            </w:r>
          </w:p>
        </w:tc>
        <w:tc>
          <w:tcPr>
            <w:tcW w:w="1924" w:type="dxa"/>
            <w:vAlign w:val="center"/>
          </w:tcPr>
          <w:p w:rsidR="00045C58" w:rsidRDefault="009D1337">
            <w:pPr>
              <w:jc w:val="right"/>
            </w:pPr>
            <w:r>
              <w:rPr>
                <w:color w:val="000000"/>
                <w:sz w:val="24"/>
                <w:szCs w:val="24"/>
              </w:rPr>
              <w:t>6,170,552.20</w:t>
            </w:r>
          </w:p>
        </w:tc>
        <w:tc>
          <w:tcPr>
            <w:tcW w:w="1644" w:type="dxa"/>
            <w:vAlign w:val="center"/>
          </w:tcPr>
          <w:p w:rsidR="00045C58" w:rsidRDefault="009D1337">
            <w:pPr>
              <w:jc w:val="right"/>
            </w:pPr>
            <w:r>
              <w:rPr>
                <w:color w:val="000000"/>
                <w:sz w:val="24"/>
                <w:szCs w:val="24"/>
              </w:rPr>
              <w:t>2.11</w:t>
            </w:r>
          </w:p>
        </w:tc>
      </w:tr>
      <w:tr w:rsidR="00045C58">
        <w:trPr>
          <w:jc w:val="center"/>
        </w:trPr>
        <w:tc>
          <w:tcPr>
            <w:tcW w:w="855" w:type="dxa"/>
            <w:vAlign w:val="center"/>
          </w:tcPr>
          <w:p w:rsidR="00045C58" w:rsidRDefault="009D1337">
            <w:pPr>
              <w:jc w:val="center"/>
            </w:pPr>
            <w:r>
              <w:rPr>
                <w:color w:val="000000"/>
                <w:sz w:val="24"/>
                <w:szCs w:val="24"/>
              </w:rPr>
              <w:t>5</w:t>
            </w:r>
          </w:p>
        </w:tc>
        <w:tc>
          <w:tcPr>
            <w:tcW w:w="1334" w:type="dxa"/>
            <w:vAlign w:val="center"/>
          </w:tcPr>
          <w:p w:rsidR="00045C58" w:rsidRDefault="009D1337">
            <w:pPr>
              <w:jc w:val="center"/>
            </w:pPr>
            <w:r>
              <w:rPr>
                <w:color w:val="000000"/>
                <w:sz w:val="24"/>
                <w:szCs w:val="24"/>
              </w:rPr>
              <w:t>601238</w:t>
            </w:r>
          </w:p>
        </w:tc>
        <w:tc>
          <w:tcPr>
            <w:tcW w:w="1777" w:type="dxa"/>
            <w:vAlign w:val="center"/>
          </w:tcPr>
          <w:p w:rsidR="00045C58" w:rsidRDefault="009D1337">
            <w:pPr>
              <w:jc w:val="center"/>
            </w:pPr>
            <w:r>
              <w:rPr>
                <w:color w:val="000000"/>
                <w:sz w:val="24"/>
                <w:szCs w:val="24"/>
              </w:rPr>
              <w:t>广汽集团</w:t>
            </w:r>
          </w:p>
        </w:tc>
        <w:tc>
          <w:tcPr>
            <w:tcW w:w="1334" w:type="dxa"/>
            <w:vAlign w:val="center"/>
          </w:tcPr>
          <w:p w:rsidR="00045C58" w:rsidRDefault="009D1337">
            <w:pPr>
              <w:jc w:val="right"/>
            </w:pPr>
            <w:r>
              <w:rPr>
                <w:color w:val="000000"/>
                <w:sz w:val="24"/>
                <w:szCs w:val="24"/>
              </w:rPr>
              <w:t>532,190</w:t>
            </w:r>
          </w:p>
        </w:tc>
        <w:tc>
          <w:tcPr>
            <w:tcW w:w="1924" w:type="dxa"/>
            <w:vAlign w:val="center"/>
          </w:tcPr>
          <w:p w:rsidR="00045C58" w:rsidRDefault="009D1337">
            <w:pPr>
              <w:jc w:val="right"/>
            </w:pPr>
            <w:r>
              <w:rPr>
                <w:color w:val="000000"/>
                <w:sz w:val="24"/>
                <w:szCs w:val="24"/>
              </w:rPr>
              <w:t>5,614,604.50</w:t>
            </w:r>
          </w:p>
        </w:tc>
        <w:tc>
          <w:tcPr>
            <w:tcW w:w="1644" w:type="dxa"/>
            <w:vAlign w:val="center"/>
          </w:tcPr>
          <w:p w:rsidR="00045C58" w:rsidRDefault="009D1337">
            <w:pPr>
              <w:jc w:val="right"/>
            </w:pPr>
            <w:r>
              <w:rPr>
                <w:color w:val="000000"/>
                <w:sz w:val="24"/>
                <w:szCs w:val="24"/>
              </w:rPr>
              <w:t>1.92</w:t>
            </w:r>
          </w:p>
        </w:tc>
      </w:tr>
      <w:tr w:rsidR="00045C58">
        <w:trPr>
          <w:jc w:val="center"/>
        </w:trPr>
        <w:tc>
          <w:tcPr>
            <w:tcW w:w="855" w:type="dxa"/>
            <w:vAlign w:val="center"/>
          </w:tcPr>
          <w:p w:rsidR="00045C58" w:rsidRDefault="009D1337">
            <w:pPr>
              <w:jc w:val="center"/>
            </w:pPr>
            <w:r>
              <w:rPr>
                <w:color w:val="000000"/>
                <w:sz w:val="24"/>
                <w:szCs w:val="24"/>
              </w:rPr>
              <w:t>6</w:t>
            </w:r>
          </w:p>
        </w:tc>
        <w:tc>
          <w:tcPr>
            <w:tcW w:w="1334" w:type="dxa"/>
            <w:vAlign w:val="center"/>
          </w:tcPr>
          <w:p w:rsidR="00045C58" w:rsidRDefault="009D1337">
            <w:pPr>
              <w:jc w:val="center"/>
            </w:pPr>
            <w:r>
              <w:rPr>
                <w:color w:val="000000"/>
                <w:sz w:val="24"/>
                <w:szCs w:val="24"/>
              </w:rPr>
              <w:t>000001</w:t>
            </w:r>
          </w:p>
        </w:tc>
        <w:tc>
          <w:tcPr>
            <w:tcW w:w="1777" w:type="dxa"/>
            <w:vAlign w:val="center"/>
          </w:tcPr>
          <w:p w:rsidR="00045C58" w:rsidRDefault="009D1337">
            <w:pPr>
              <w:jc w:val="center"/>
            </w:pPr>
            <w:r>
              <w:rPr>
                <w:color w:val="000000"/>
                <w:sz w:val="24"/>
                <w:szCs w:val="24"/>
              </w:rPr>
              <w:t>平安银行</w:t>
            </w:r>
          </w:p>
        </w:tc>
        <w:tc>
          <w:tcPr>
            <w:tcW w:w="1334" w:type="dxa"/>
            <w:vAlign w:val="center"/>
          </w:tcPr>
          <w:p w:rsidR="00045C58" w:rsidRDefault="009D1337">
            <w:pPr>
              <w:jc w:val="right"/>
            </w:pPr>
            <w:r>
              <w:rPr>
                <w:color w:val="000000"/>
                <w:sz w:val="24"/>
                <w:szCs w:val="24"/>
              </w:rPr>
              <w:t>350,000</w:t>
            </w:r>
          </w:p>
        </w:tc>
        <w:tc>
          <w:tcPr>
            <w:tcW w:w="1924" w:type="dxa"/>
            <w:vAlign w:val="center"/>
          </w:tcPr>
          <w:p w:rsidR="00045C58" w:rsidRDefault="009D1337">
            <w:pPr>
              <w:jc w:val="right"/>
            </w:pPr>
            <w:r>
              <w:rPr>
                <w:color w:val="000000"/>
                <w:sz w:val="24"/>
                <w:szCs w:val="24"/>
              </w:rPr>
              <w:t>4,480,000.00</w:t>
            </w:r>
          </w:p>
        </w:tc>
        <w:tc>
          <w:tcPr>
            <w:tcW w:w="1644" w:type="dxa"/>
            <w:vAlign w:val="center"/>
          </w:tcPr>
          <w:p w:rsidR="00045C58" w:rsidRDefault="009D1337">
            <w:pPr>
              <w:jc w:val="right"/>
            </w:pPr>
            <w:r>
              <w:rPr>
                <w:color w:val="000000"/>
                <w:sz w:val="24"/>
                <w:szCs w:val="24"/>
              </w:rPr>
              <w:t>1.53</w:t>
            </w:r>
          </w:p>
        </w:tc>
      </w:tr>
      <w:tr w:rsidR="00045C58">
        <w:trPr>
          <w:jc w:val="center"/>
        </w:trPr>
        <w:tc>
          <w:tcPr>
            <w:tcW w:w="855" w:type="dxa"/>
            <w:vAlign w:val="center"/>
          </w:tcPr>
          <w:p w:rsidR="00045C58" w:rsidRDefault="009D1337">
            <w:pPr>
              <w:jc w:val="center"/>
            </w:pPr>
            <w:r>
              <w:rPr>
                <w:color w:val="000000"/>
                <w:sz w:val="24"/>
                <w:szCs w:val="24"/>
              </w:rPr>
              <w:t>7</w:t>
            </w:r>
          </w:p>
        </w:tc>
        <w:tc>
          <w:tcPr>
            <w:tcW w:w="1334" w:type="dxa"/>
            <w:vAlign w:val="center"/>
          </w:tcPr>
          <w:p w:rsidR="00045C58" w:rsidRDefault="009D1337">
            <w:pPr>
              <w:jc w:val="center"/>
            </w:pPr>
            <w:r>
              <w:rPr>
                <w:color w:val="000000"/>
                <w:sz w:val="24"/>
                <w:szCs w:val="24"/>
              </w:rPr>
              <w:t>002120</w:t>
            </w:r>
          </w:p>
        </w:tc>
        <w:tc>
          <w:tcPr>
            <w:tcW w:w="1777" w:type="dxa"/>
            <w:vAlign w:val="center"/>
          </w:tcPr>
          <w:p w:rsidR="00045C58" w:rsidRDefault="009D1337">
            <w:pPr>
              <w:jc w:val="center"/>
            </w:pPr>
            <w:r>
              <w:rPr>
                <w:color w:val="000000"/>
                <w:sz w:val="24"/>
                <w:szCs w:val="24"/>
              </w:rPr>
              <w:t>韵达股份</w:t>
            </w:r>
          </w:p>
        </w:tc>
        <w:tc>
          <w:tcPr>
            <w:tcW w:w="1334" w:type="dxa"/>
            <w:vAlign w:val="center"/>
          </w:tcPr>
          <w:p w:rsidR="00045C58" w:rsidRDefault="009D1337">
            <w:pPr>
              <w:jc w:val="right"/>
            </w:pPr>
            <w:r>
              <w:rPr>
                <w:color w:val="000000"/>
                <w:sz w:val="24"/>
                <w:szCs w:val="24"/>
              </w:rPr>
              <w:t>135,000</w:t>
            </w:r>
          </w:p>
        </w:tc>
        <w:tc>
          <w:tcPr>
            <w:tcW w:w="1924" w:type="dxa"/>
            <w:vAlign w:val="center"/>
          </w:tcPr>
          <w:p w:rsidR="00045C58" w:rsidRDefault="009D1337">
            <w:pPr>
              <w:jc w:val="right"/>
            </w:pPr>
            <w:r>
              <w:rPr>
                <w:color w:val="000000"/>
                <w:sz w:val="24"/>
                <w:szCs w:val="24"/>
              </w:rPr>
              <w:t>4,159,350.00</w:t>
            </w:r>
          </w:p>
        </w:tc>
        <w:tc>
          <w:tcPr>
            <w:tcW w:w="1644" w:type="dxa"/>
            <w:vAlign w:val="center"/>
          </w:tcPr>
          <w:p w:rsidR="00045C58" w:rsidRDefault="009D1337">
            <w:pPr>
              <w:jc w:val="right"/>
            </w:pPr>
            <w:r>
              <w:rPr>
                <w:color w:val="000000"/>
                <w:sz w:val="24"/>
                <w:szCs w:val="24"/>
              </w:rPr>
              <w:t>1.42</w:t>
            </w:r>
          </w:p>
        </w:tc>
      </w:tr>
      <w:tr w:rsidR="00045C58">
        <w:trPr>
          <w:jc w:val="center"/>
        </w:trPr>
        <w:tc>
          <w:tcPr>
            <w:tcW w:w="855" w:type="dxa"/>
            <w:vAlign w:val="center"/>
          </w:tcPr>
          <w:p w:rsidR="00045C58" w:rsidRDefault="009D1337">
            <w:pPr>
              <w:jc w:val="center"/>
            </w:pPr>
            <w:r>
              <w:rPr>
                <w:color w:val="000000"/>
                <w:sz w:val="24"/>
                <w:szCs w:val="24"/>
              </w:rPr>
              <w:t>8</w:t>
            </w:r>
          </w:p>
        </w:tc>
        <w:tc>
          <w:tcPr>
            <w:tcW w:w="1334" w:type="dxa"/>
            <w:vAlign w:val="center"/>
          </w:tcPr>
          <w:p w:rsidR="00045C58" w:rsidRDefault="009D1337">
            <w:pPr>
              <w:jc w:val="center"/>
            </w:pPr>
            <w:r>
              <w:rPr>
                <w:color w:val="000000"/>
                <w:sz w:val="24"/>
                <w:szCs w:val="24"/>
              </w:rPr>
              <w:t>601601</w:t>
            </w:r>
          </w:p>
        </w:tc>
        <w:tc>
          <w:tcPr>
            <w:tcW w:w="1777" w:type="dxa"/>
            <w:vAlign w:val="center"/>
          </w:tcPr>
          <w:p w:rsidR="00045C58" w:rsidRDefault="009D1337">
            <w:pPr>
              <w:jc w:val="center"/>
            </w:pPr>
            <w:r>
              <w:rPr>
                <w:color w:val="000000"/>
                <w:sz w:val="24"/>
                <w:szCs w:val="24"/>
              </w:rPr>
              <w:t>中国太保</w:t>
            </w:r>
          </w:p>
        </w:tc>
        <w:tc>
          <w:tcPr>
            <w:tcW w:w="1334" w:type="dxa"/>
            <w:vAlign w:val="center"/>
          </w:tcPr>
          <w:p w:rsidR="00045C58" w:rsidRDefault="009D1337">
            <w:pPr>
              <w:jc w:val="right"/>
            </w:pPr>
            <w:r>
              <w:rPr>
                <w:color w:val="000000"/>
                <w:sz w:val="24"/>
                <w:szCs w:val="24"/>
              </w:rPr>
              <w:t>121,200</w:t>
            </w:r>
          </w:p>
        </w:tc>
        <w:tc>
          <w:tcPr>
            <w:tcW w:w="1924" w:type="dxa"/>
            <w:vAlign w:val="center"/>
          </w:tcPr>
          <w:p w:rsidR="00045C58" w:rsidRDefault="009D1337">
            <w:pPr>
              <w:jc w:val="right"/>
            </w:pPr>
            <w:r>
              <w:rPr>
                <w:color w:val="000000"/>
                <w:sz w:val="24"/>
                <w:szCs w:val="24"/>
              </w:rPr>
              <w:t>3,420,264.00</w:t>
            </w:r>
          </w:p>
        </w:tc>
        <w:tc>
          <w:tcPr>
            <w:tcW w:w="1644" w:type="dxa"/>
            <w:vAlign w:val="center"/>
          </w:tcPr>
          <w:p w:rsidR="00045C58" w:rsidRDefault="009D1337">
            <w:pPr>
              <w:jc w:val="right"/>
            </w:pPr>
            <w:r>
              <w:rPr>
                <w:color w:val="000000"/>
                <w:sz w:val="24"/>
                <w:szCs w:val="24"/>
              </w:rPr>
              <w:t>1.17</w:t>
            </w:r>
          </w:p>
        </w:tc>
      </w:tr>
      <w:tr w:rsidR="00045C58">
        <w:trPr>
          <w:jc w:val="center"/>
        </w:trPr>
        <w:tc>
          <w:tcPr>
            <w:tcW w:w="855" w:type="dxa"/>
            <w:vAlign w:val="center"/>
          </w:tcPr>
          <w:p w:rsidR="00045C58" w:rsidRDefault="009D1337">
            <w:pPr>
              <w:jc w:val="center"/>
            </w:pPr>
            <w:r>
              <w:rPr>
                <w:color w:val="000000"/>
                <w:sz w:val="24"/>
                <w:szCs w:val="24"/>
              </w:rPr>
              <w:t>9</w:t>
            </w:r>
          </w:p>
        </w:tc>
        <w:tc>
          <w:tcPr>
            <w:tcW w:w="1334" w:type="dxa"/>
            <w:vAlign w:val="center"/>
          </w:tcPr>
          <w:p w:rsidR="00045C58" w:rsidRDefault="009D1337">
            <w:pPr>
              <w:jc w:val="center"/>
            </w:pPr>
            <w:r>
              <w:rPr>
                <w:color w:val="000000"/>
                <w:sz w:val="24"/>
                <w:szCs w:val="24"/>
              </w:rPr>
              <w:t>600028</w:t>
            </w:r>
          </w:p>
        </w:tc>
        <w:tc>
          <w:tcPr>
            <w:tcW w:w="1777" w:type="dxa"/>
            <w:vAlign w:val="center"/>
          </w:tcPr>
          <w:p w:rsidR="00045C58" w:rsidRDefault="009D1337">
            <w:pPr>
              <w:jc w:val="center"/>
            </w:pPr>
            <w:r>
              <w:rPr>
                <w:color w:val="000000"/>
                <w:sz w:val="24"/>
                <w:szCs w:val="24"/>
              </w:rPr>
              <w:t>中国石化</w:t>
            </w:r>
          </w:p>
        </w:tc>
        <w:tc>
          <w:tcPr>
            <w:tcW w:w="1334" w:type="dxa"/>
            <w:vAlign w:val="center"/>
          </w:tcPr>
          <w:p w:rsidR="00045C58" w:rsidRDefault="009D1337">
            <w:pPr>
              <w:jc w:val="right"/>
            </w:pPr>
            <w:r>
              <w:rPr>
                <w:color w:val="000000"/>
                <w:sz w:val="24"/>
                <w:szCs w:val="24"/>
              </w:rPr>
              <w:t>754,700</w:t>
            </w:r>
          </w:p>
        </w:tc>
        <w:tc>
          <w:tcPr>
            <w:tcW w:w="1924" w:type="dxa"/>
            <w:vAlign w:val="center"/>
          </w:tcPr>
          <w:p w:rsidR="00045C58" w:rsidRDefault="009D1337">
            <w:pPr>
              <w:jc w:val="right"/>
            </w:pPr>
            <w:r>
              <w:rPr>
                <w:color w:val="000000"/>
                <w:sz w:val="24"/>
                <w:szCs w:val="24"/>
              </w:rPr>
              <w:t>3,343,321.00</w:t>
            </w:r>
          </w:p>
        </w:tc>
        <w:tc>
          <w:tcPr>
            <w:tcW w:w="1644" w:type="dxa"/>
            <w:vAlign w:val="center"/>
          </w:tcPr>
          <w:p w:rsidR="00045C58" w:rsidRDefault="009D1337">
            <w:pPr>
              <w:jc w:val="right"/>
            </w:pPr>
            <w:r>
              <w:rPr>
                <w:color w:val="000000"/>
                <w:sz w:val="24"/>
                <w:szCs w:val="24"/>
              </w:rPr>
              <w:t>1.14</w:t>
            </w:r>
          </w:p>
        </w:tc>
      </w:tr>
      <w:tr w:rsidR="00045C58">
        <w:trPr>
          <w:jc w:val="center"/>
        </w:trPr>
        <w:tc>
          <w:tcPr>
            <w:tcW w:w="855" w:type="dxa"/>
            <w:vAlign w:val="center"/>
          </w:tcPr>
          <w:p w:rsidR="00045C58" w:rsidRDefault="009D1337">
            <w:pPr>
              <w:jc w:val="center"/>
            </w:pPr>
            <w:r>
              <w:rPr>
                <w:color w:val="000000"/>
                <w:sz w:val="24"/>
                <w:szCs w:val="24"/>
              </w:rPr>
              <w:t>10</w:t>
            </w:r>
          </w:p>
        </w:tc>
        <w:tc>
          <w:tcPr>
            <w:tcW w:w="1334" w:type="dxa"/>
            <w:vAlign w:val="center"/>
          </w:tcPr>
          <w:p w:rsidR="00045C58" w:rsidRDefault="009D1337">
            <w:pPr>
              <w:jc w:val="center"/>
            </w:pPr>
            <w:r>
              <w:rPr>
                <w:color w:val="000000"/>
                <w:sz w:val="24"/>
                <w:szCs w:val="24"/>
              </w:rPr>
              <w:t>601088</w:t>
            </w:r>
          </w:p>
        </w:tc>
        <w:tc>
          <w:tcPr>
            <w:tcW w:w="1777" w:type="dxa"/>
            <w:vAlign w:val="center"/>
          </w:tcPr>
          <w:p w:rsidR="00045C58" w:rsidRDefault="009D1337">
            <w:pPr>
              <w:jc w:val="center"/>
            </w:pPr>
            <w:r>
              <w:rPr>
                <w:color w:val="000000"/>
                <w:sz w:val="24"/>
                <w:szCs w:val="24"/>
              </w:rPr>
              <w:t>中国神华</w:t>
            </w:r>
          </w:p>
        </w:tc>
        <w:tc>
          <w:tcPr>
            <w:tcW w:w="1334" w:type="dxa"/>
            <w:vAlign w:val="center"/>
          </w:tcPr>
          <w:p w:rsidR="00045C58" w:rsidRDefault="009D1337">
            <w:pPr>
              <w:jc w:val="right"/>
            </w:pPr>
            <w:r>
              <w:rPr>
                <w:color w:val="000000"/>
                <w:sz w:val="24"/>
                <w:szCs w:val="24"/>
              </w:rPr>
              <w:t>196,400</w:t>
            </w:r>
          </w:p>
        </w:tc>
        <w:tc>
          <w:tcPr>
            <w:tcW w:w="1924" w:type="dxa"/>
            <w:vAlign w:val="center"/>
          </w:tcPr>
          <w:p w:rsidR="00045C58" w:rsidRDefault="009D1337">
            <w:pPr>
              <w:jc w:val="right"/>
            </w:pPr>
            <w:r>
              <w:rPr>
                <w:color w:val="000000"/>
                <w:sz w:val="24"/>
                <w:szCs w:val="24"/>
              </w:rPr>
              <w:t>3,189,536.00</w:t>
            </w:r>
          </w:p>
        </w:tc>
        <w:tc>
          <w:tcPr>
            <w:tcW w:w="1644" w:type="dxa"/>
            <w:vAlign w:val="center"/>
          </w:tcPr>
          <w:p w:rsidR="00045C58" w:rsidRDefault="009D1337">
            <w:pPr>
              <w:jc w:val="right"/>
            </w:pPr>
            <w:r>
              <w:rPr>
                <w:color w:val="000000"/>
                <w:sz w:val="24"/>
                <w:szCs w:val="24"/>
              </w:rPr>
              <w:t>1.09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13,378,112.40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15,112,500.00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15,112,500.00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131,451,000.00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44.91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112,168,000.00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38.32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1,185,415.20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273,295,027.60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45C58">
        <w:trPr>
          <w:jc w:val="center"/>
        </w:trPr>
        <w:tc>
          <w:tcPr>
            <w:tcW w:w="850" w:type="dxa"/>
            <w:vAlign w:val="center"/>
          </w:tcPr>
          <w:p w:rsidR="00045C58" w:rsidRDefault="009D1337">
            <w:pPr>
              <w:jc w:val="center"/>
            </w:pPr>
            <w:r>
              <w:rPr>
                <w:color w:val="000000"/>
                <w:sz w:val="24"/>
                <w:szCs w:val="24"/>
              </w:rPr>
              <w:t>1</w:t>
            </w:r>
          </w:p>
        </w:tc>
        <w:tc>
          <w:tcPr>
            <w:tcW w:w="1475" w:type="dxa"/>
            <w:vAlign w:val="center"/>
          </w:tcPr>
          <w:p w:rsidR="00045C58" w:rsidRDefault="009D1337">
            <w:pPr>
              <w:jc w:val="center"/>
            </w:pPr>
            <w:r>
              <w:rPr>
                <w:color w:val="000000"/>
                <w:sz w:val="24"/>
                <w:szCs w:val="24"/>
              </w:rPr>
              <w:t>018007</w:t>
            </w:r>
          </w:p>
        </w:tc>
        <w:tc>
          <w:tcPr>
            <w:tcW w:w="1769" w:type="dxa"/>
            <w:vAlign w:val="center"/>
          </w:tcPr>
          <w:p w:rsidR="00045C58" w:rsidRDefault="009D1337">
            <w:pPr>
              <w:jc w:val="center"/>
            </w:pPr>
            <w:r>
              <w:rPr>
                <w:color w:val="000000"/>
                <w:sz w:val="24"/>
                <w:szCs w:val="24"/>
              </w:rPr>
              <w:t>国开</w:t>
            </w:r>
            <w:r>
              <w:rPr>
                <w:color w:val="000000"/>
                <w:sz w:val="24"/>
                <w:szCs w:val="24"/>
              </w:rPr>
              <w:t>1801</w:t>
            </w:r>
          </w:p>
        </w:tc>
        <w:tc>
          <w:tcPr>
            <w:tcW w:w="1387" w:type="dxa"/>
            <w:vAlign w:val="center"/>
          </w:tcPr>
          <w:p w:rsidR="00045C58" w:rsidRDefault="009D1337">
            <w:pPr>
              <w:jc w:val="right"/>
            </w:pPr>
            <w:r>
              <w:rPr>
                <w:color w:val="000000"/>
                <w:sz w:val="24"/>
                <w:szCs w:val="24"/>
              </w:rPr>
              <w:t>150,000</w:t>
            </w:r>
          </w:p>
        </w:tc>
        <w:tc>
          <w:tcPr>
            <w:tcW w:w="2150" w:type="dxa"/>
            <w:vAlign w:val="center"/>
          </w:tcPr>
          <w:p w:rsidR="00045C58" w:rsidRDefault="009D1337">
            <w:pPr>
              <w:jc w:val="right"/>
            </w:pPr>
            <w:r>
              <w:rPr>
                <w:color w:val="000000"/>
                <w:sz w:val="24"/>
                <w:szCs w:val="24"/>
              </w:rPr>
              <w:t>15,112,500.00</w:t>
            </w:r>
          </w:p>
        </w:tc>
        <w:tc>
          <w:tcPr>
            <w:tcW w:w="1237" w:type="dxa"/>
            <w:vAlign w:val="center"/>
          </w:tcPr>
          <w:p w:rsidR="00045C58" w:rsidRDefault="009D1337">
            <w:pPr>
              <w:jc w:val="right"/>
            </w:pPr>
            <w:r>
              <w:rPr>
                <w:color w:val="000000"/>
                <w:sz w:val="24"/>
                <w:szCs w:val="24"/>
              </w:rPr>
              <w:t>5.16</w:t>
            </w:r>
          </w:p>
        </w:tc>
      </w:tr>
      <w:tr w:rsidR="00045C58">
        <w:trPr>
          <w:jc w:val="center"/>
        </w:trPr>
        <w:tc>
          <w:tcPr>
            <w:tcW w:w="850" w:type="dxa"/>
            <w:vAlign w:val="center"/>
          </w:tcPr>
          <w:p w:rsidR="00045C58" w:rsidRDefault="009D1337">
            <w:pPr>
              <w:jc w:val="center"/>
            </w:pPr>
            <w:r>
              <w:rPr>
                <w:color w:val="000000"/>
                <w:sz w:val="24"/>
                <w:szCs w:val="24"/>
              </w:rPr>
              <w:t>2</w:t>
            </w:r>
          </w:p>
        </w:tc>
        <w:tc>
          <w:tcPr>
            <w:tcW w:w="1475" w:type="dxa"/>
            <w:vAlign w:val="center"/>
          </w:tcPr>
          <w:p w:rsidR="00045C58" w:rsidRDefault="009D1337">
            <w:pPr>
              <w:jc w:val="center"/>
            </w:pPr>
            <w:r>
              <w:rPr>
                <w:color w:val="000000"/>
                <w:sz w:val="24"/>
                <w:szCs w:val="24"/>
              </w:rPr>
              <w:t>190015</w:t>
            </w:r>
          </w:p>
        </w:tc>
        <w:tc>
          <w:tcPr>
            <w:tcW w:w="1769" w:type="dxa"/>
            <w:vAlign w:val="center"/>
          </w:tcPr>
          <w:p w:rsidR="00045C58" w:rsidRDefault="009D1337">
            <w:pPr>
              <w:jc w:val="center"/>
            </w:pPr>
            <w:r>
              <w:rPr>
                <w:color w:val="000000"/>
                <w:sz w:val="24"/>
                <w:szCs w:val="24"/>
              </w:rPr>
              <w:t>19</w:t>
            </w:r>
            <w:r>
              <w:rPr>
                <w:color w:val="000000"/>
                <w:sz w:val="24"/>
                <w:szCs w:val="24"/>
              </w:rPr>
              <w:t>附息国债</w:t>
            </w:r>
            <w:r>
              <w:rPr>
                <w:color w:val="000000"/>
                <w:sz w:val="24"/>
                <w:szCs w:val="24"/>
              </w:rPr>
              <w:t>15</w:t>
            </w:r>
          </w:p>
        </w:tc>
        <w:tc>
          <w:tcPr>
            <w:tcW w:w="1387" w:type="dxa"/>
            <w:vAlign w:val="center"/>
          </w:tcPr>
          <w:p w:rsidR="00045C58" w:rsidRDefault="009D1337">
            <w:pPr>
              <w:jc w:val="right"/>
            </w:pPr>
            <w:r>
              <w:rPr>
                <w:color w:val="000000"/>
                <w:sz w:val="24"/>
                <w:szCs w:val="24"/>
              </w:rPr>
              <w:t>100,000</w:t>
            </w:r>
          </w:p>
        </w:tc>
        <w:tc>
          <w:tcPr>
            <w:tcW w:w="2150" w:type="dxa"/>
            <w:vAlign w:val="center"/>
          </w:tcPr>
          <w:p w:rsidR="00045C58" w:rsidRDefault="009D1337">
            <w:pPr>
              <w:jc w:val="right"/>
            </w:pPr>
            <w:r>
              <w:rPr>
                <w:color w:val="000000"/>
                <w:sz w:val="24"/>
                <w:szCs w:val="24"/>
              </w:rPr>
              <w:t>10,462,000.00</w:t>
            </w:r>
          </w:p>
        </w:tc>
        <w:tc>
          <w:tcPr>
            <w:tcW w:w="1237" w:type="dxa"/>
            <w:vAlign w:val="center"/>
          </w:tcPr>
          <w:p w:rsidR="00045C58" w:rsidRDefault="009D1337">
            <w:pPr>
              <w:jc w:val="right"/>
            </w:pPr>
            <w:r>
              <w:rPr>
                <w:color w:val="000000"/>
                <w:sz w:val="24"/>
                <w:szCs w:val="24"/>
              </w:rPr>
              <w:t>3.57</w:t>
            </w:r>
          </w:p>
        </w:tc>
      </w:tr>
      <w:tr w:rsidR="00045C58">
        <w:trPr>
          <w:jc w:val="center"/>
        </w:trPr>
        <w:tc>
          <w:tcPr>
            <w:tcW w:w="850" w:type="dxa"/>
            <w:vAlign w:val="center"/>
          </w:tcPr>
          <w:p w:rsidR="00045C58" w:rsidRDefault="009D1337">
            <w:pPr>
              <w:jc w:val="center"/>
            </w:pPr>
            <w:r>
              <w:rPr>
                <w:color w:val="000000"/>
                <w:sz w:val="24"/>
                <w:szCs w:val="24"/>
              </w:rPr>
              <w:t>3</w:t>
            </w:r>
          </w:p>
        </w:tc>
        <w:tc>
          <w:tcPr>
            <w:tcW w:w="1475" w:type="dxa"/>
            <w:vAlign w:val="center"/>
          </w:tcPr>
          <w:p w:rsidR="00045C58" w:rsidRDefault="009D1337">
            <w:pPr>
              <w:jc w:val="center"/>
            </w:pPr>
            <w:r>
              <w:rPr>
                <w:color w:val="000000"/>
                <w:sz w:val="24"/>
                <w:szCs w:val="24"/>
              </w:rPr>
              <w:t>101800369</w:t>
            </w:r>
          </w:p>
        </w:tc>
        <w:tc>
          <w:tcPr>
            <w:tcW w:w="1769" w:type="dxa"/>
            <w:vAlign w:val="center"/>
          </w:tcPr>
          <w:p w:rsidR="00045C58" w:rsidRDefault="009D1337">
            <w:pPr>
              <w:jc w:val="center"/>
            </w:pPr>
            <w:r>
              <w:rPr>
                <w:color w:val="000000"/>
                <w:sz w:val="24"/>
                <w:szCs w:val="24"/>
              </w:rPr>
              <w:t>18</w:t>
            </w:r>
            <w:r>
              <w:rPr>
                <w:color w:val="000000"/>
                <w:sz w:val="24"/>
                <w:szCs w:val="24"/>
              </w:rPr>
              <w:t>豫投资</w:t>
            </w:r>
            <w:r>
              <w:rPr>
                <w:color w:val="000000"/>
                <w:sz w:val="24"/>
                <w:szCs w:val="24"/>
              </w:rPr>
              <w:t>MTN002</w:t>
            </w:r>
          </w:p>
        </w:tc>
        <w:tc>
          <w:tcPr>
            <w:tcW w:w="1387" w:type="dxa"/>
            <w:vAlign w:val="center"/>
          </w:tcPr>
          <w:p w:rsidR="00045C58" w:rsidRDefault="009D1337">
            <w:pPr>
              <w:jc w:val="right"/>
            </w:pPr>
            <w:r>
              <w:rPr>
                <w:color w:val="000000"/>
                <w:sz w:val="24"/>
                <w:szCs w:val="24"/>
              </w:rPr>
              <w:t>100,000</w:t>
            </w:r>
          </w:p>
        </w:tc>
        <w:tc>
          <w:tcPr>
            <w:tcW w:w="2150" w:type="dxa"/>
            <w:vAlign w:val="center"/>
          </w:tcPr>
          <w:p w:rsidR="00045C58" w:rsidRDefault="009D1337">
            <w:pPr>
              <w:jc w:val="right"/>
            </w:pPr>
            <w:r>
              <w:rPr>
                <w:color w:val="000000"/>
                <w:sz w:val="24"/>
                <w:szCs w:val="24"/>
              </w:rPr>
              <w:t>10,345,000.00</w:t>
            </w:r>
          </w:p>
        </w:tc>
        <w:tc>
          <w:tcPr>
            <w:tcW w:w="1237" w:type="dxa"/>
            <w:vAlign w:val="center"/>
          </w:tcPr>
          <w:p w:rsidR="00045C58" w:rsidRDefault="009D1337">
            <w:pPr>
              <w:jc w:val="right"/>
            </w:pPr>
            <w:r>
              <w:rPr>
                <w:color w:val="000000"/>
                <w:sz w:val="24"/>
                <w:szCs w:val="24"/>
              </w:rPr>
              <w:t>3.53</w:t>
            </w:r>
          </w:p>
        </w:tc>
      </w:tr>
      <w:tr w:rsidR="00045C58">
        <w:trPr>
          <w:jc w:val="center"/>
        </w:trPr>
        <w:tc>
          <w:tcPr>
            <w:tcW w:w="850" w:type="dxa"/>
            <w:vAlign w:val="center"/>
          </w:tcPr>
          <w:p w:rsidR="00045C58" w:rsidRDefault="009D1337">
            <w:pPr>
              <w:jc w:val="center"/>
            </w:pPr>
            <w:r>
              <w:rPr>
                <w:color w:val="000000"/>
                <w:sz w:val="24"/>
                <w:szCs w:val="24"/>
              </w:rPr>
              <w:t>4</w:t>
            </w:r>
          </w:p>
        </w:tc>
        <w:tc>
          <w:tcPr>
            <w:tcW w:w="1475" w:type="dxa"/>
            <w:vAlign w:val="center"/>
          </w:tcPr>
          <w:p w:rsidR="00045C58" w:rsidRDefault="009D1337">
            <w:pPr>
              <w:jc w:val="center"/>
            </w:pPr>
            <w:r>
              <w:rPr>
                <w:color w:val="000000"/>
                <w:sz w:val="24"/>
                <w:szCs w:val="24"/>
              </w:rPr>
              <w:t>101800415</w:t>
            </w:r>
          </w:p>
        </w:tc>
        <w:tc>
          <w:tcPr>
            <w:tcW w:w="1769" w:type="dxa"/>
            <w:vAlign w:val="center"/>
          </w:tcPr>
          <w:p w:rsidR="00045C58" w:rsidRDefault="009D1337">
            <w:pPr>
              <w:jc w:val="center"/>
            </w:pPr>
            <w:r>
              <w:rPr>
                <w:color w:val="000000"/>
                <w:sz w:val="24"/>
                <w:szCs w:val="24"/>
              </w:rPr>
              <w:t>18</w:t>
            </w:r>
            <w:r>
              <w:rPr>
                <w:color w:val="000000"/>
                <w:sz w:val="24"/>
                <w:szCs w:val="24"/>
              </w:rPr>
              <w:t>兆润投资</w:t>
            </w:r>
            <w:r>
              <w:rPr>
                <w:color w:val="000000"/>
                <w:sz w:val="24"/>
                <w:szCs w:val="24"/>
              </w:rPr>
              <w:t>MTN001</w:t>
            </w:r>
          </w:p>
        </w:tc>
        <w:tc>
          <w:tcPr>
            <w:tcW w:w="1387" w:type="dxa"/>
            <w:vAlign w:val="center"/>
          </w:tcPr>
          <w:p w:rsidR="00045C58" w:rsidRDefault="009D1337">
            <w:pPr>
              <w:jc w:val="right"/>
            </w:pPr>
            <w:r>
              <w:rPr>
                <w:color w:val="000000"/>
                <w:sz w:val="24"/>
                <w:szCs w:val="24"/>
              </w:rPr>
              <w:t>100,000</w:t>
            </w:r>
          </w:p>
        </w:tc>
        <w:tc>
          <w:tcPr>
            <w:tcW w:w="2150" w:type="dxa"/>
            <w:vAlign w:val="center"/>
          </w:tcPr>
          <w:p w:rsidR="00045C58" w:rsidRDefault="009D1337">
            <w:pPr>
              <w:jc w:val="right"/>
            </w:pPr>
            <w:r>
              <w:rPr>
                <w:color w:val="000000"/>
                <w:sz w:val="24"/>
                <w:szCs w:val="24"/>
              </w:rPr>
              <w:t>10,314,000.00</w:t>
            </w:r>
          </w:p>
        </w:tc>
        <w:tc>
          <w:tcPr>
            <w:tcW w:w="1237" w:type="dxa"/>
            <w:vAlign w:val="center"/>
          </w:tcPr>
          <w:p w:rsidR="00045C58" w:rsidRDefault="009D1337">
            <w:pPr>
              <w:jc w:val="right"/>
            </w:pPr>
            <w:r>
              <w:rPr>
                <w:color w:val="000000"/>
                <w:sz w:val="24"/>
                <w:szCs w:val="24"/>
              </w:rPr>
              <w:t>3.52</w:t>
            </w:r>
          </w:p>
        </w:tc>
      </w:tr>
      <w:tr w:rsidR="00045C58">
        <w:trPr>
          <w:jc w:val="center"/>
        </w:trPr>
        <w:tc>
          <w:tcPr>
            <w:tcW w:w="850" w:type="dxa"/>
            <w:vAlign w:val="center"/>
          </w:tcPr>
          <w:p w:rsidR="00045C58" w:rsidRDefault="009D1337">
            <w:pPr>
              <w:jc w:val="center"/>
            </w:pPr>
            <w:r>
              <w:rPr>
                <w:color w:val="000000"/>
                <w:sz w:val="24"/>
                <w:szCs w:val="24"/>
              </w:rPr>
              <w:t>5</w:t>
            </w:r>
          </w:p>
        </w:tc>
        <w:tc>
          <w:tcPr>
            <w:tcW w:w="1475" w:type="dxa"/>
            <w:vAlign w:val="center"/>
          </w:tcPr>
          <w:p w:rsidR="00045C58" w:rsidRDefault="009D1337">
            <w:pPr>
              <w:jc w:val="center"/>
            </w:pPr>
            <w:r>
              <w:rPr>
                <w:color w:val="000000"/>
                <w:sz w:val="24"/>
                <w:szCs w:val="24"/>
              </w:rPr>
              <w:t>101900630</w:t>
            </w:r>
          </w:p>
        </w:tc>
        <w:tc>
          <w:tcPr>
            <w:tcW w:w="1769" w:type="dxa"/>
            <w:vAlign w:val="center"/>
          </w:tcPr>
          <w:p w:rsidR="00045C58" w:rsidRDefault="009D1337">
            <w:pPr>
              <w:jc w:val="center"/>
            </w:pPr>
            <w:r>
              <w:rPr>
                <w:color w:val="000000"/>
                <w:sz w:val="24"/>
                <w:szCs w:val="24"/>
              </w:rPr>
              <w:t>19</w:t>
            </w:r>
            <w:r>
              <w:rPr>
                <w:color w:val="000000"/>
                <w:sz w:val="24"/>
                <w:szCs w:val="24"/>
              </w:rPr>
              <w:t>京国资</w:t>
            </w:r>
            <w:r>
              <w:rPr>
                <w:color w:val="000000"/>
                <w:sz w:val="24"/>
                <w:szCs w:val="24"/>
              </w:rPr>
              <w:t>MTN001</w:t>
            </w:r>
          </w:p>
        </w:tc>
        <w:tc>
          <w:tcPr>
            <w:tcW w:w="1387" w:type="dxa"/>
            <w:vAlign w:val="center"/>
          </w:tcPr>
          <w:p w:rsidR="00045C58" w:rsidRDefault="009D1337">
            <w:pPr>
              <w:jc w:val="right"/>
            </w:pPr>
            <w:r>
              <w:rPr>
                <w:color w:val="000000"/>
                <w:sz w:val="24"/>
                <w:szCs w:val="24"/>
              </w:rPr>
              <w:t>100,000</w:t>
            </w:r>
          </w:p>
        </w:tc>
        <w:tc>
          <w:tcPr>
            <w:tcW w:w="2150" w:type="dxa"/>
            <w:vAlign w:val="center"/>
          </w:tcPr>
          <w:p w:rsidR="00045C58" w:rsidRDefault="009D1337">
            <w:pPr>
              <w:jc w:val="right"/>
            </w:pPr>
            <w:r>
              <w:rPr>
                <w:color w:val="000000"/>
                <w:sz w:val="24"/>
                <w:szCs w:val="24"/>
              </w:rPr>
              <w:t>10,281,000.00</w:t>
            </w:r>
          </w:p>
        </w:tc>
        <w:tc>
          <w:tcPr>
            <w:tcW w:w="1237" w:type="dxa"/>
            <w:vAlign w:val="center"/>
          </w:tcPr>
          <w:p w:rsidR="00045C58" w:rsidRDefault="009D1337">
            <w:pPr>
              <w:jc w:val="right"/>
            </w:pPr>
            <w:r>
              <w:rPr>
                <w:color w:val="000000"/>
                <w:sz w:val="24"/>
                <w:szCs w:val="24"/>
              </w:rPr>
              <w:t>3.51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w:t>
      </w:r>
      <w:r w:rsidRPr="00AA3969">
        <w:rPr>
          <w:bCs/>
          <w:color w:val="000000"/>
          <w:kern w:val="0"/>
          <w:sz w:val="24"/>
          <w:szCs w:val="24"/>
        </w:rPr>
        <w:t>18</w:t>
      </w:r>
      <w:r w:rsidRPr="00AA3969">
        <w:rPr>
          <w:bCs/>
          <w:color w:val="000000"/>
          <w:kern w:val="0"/>
          <w:sz w:val="24"/>
          <w:szCs w:val="24"/>
        </w:rPr>
        <w:t>招商</w:t>
      </w:r>
      <w:r w:rsidRPr="00AA3969">
        <w:rPr>
          <w:bCs/>
          <w:color w:val="000000"/>
          <w:kern w:val="0"/>
          <w:sz w:val="24"/>
          <w:szCs w:val="24"/>
        </w:rPr>
        <w:t>G8</w:t>
      </w:r>
      <w:r w:rsidRPr="00AA3969">
        <w:rPr>
          <w:bCs/>
          <w:color w:val="000000"/>
          <w:kern w:val="0"/>
          <w:sz w:val="24"/>
          <w:szCs w:val="24"/>
        </w:rPr>
        <w:t>（证券代码：</w:t>
      </w:r>
      <w:r w:rsidRPr="00AA3969">
        <w:rPr>
          <w:bCs/>
          <w:color w:val="000000"/>
          <w:kern w:val="0"/>
          <w:sz w:val="24"/>
          <w:szCs w:val="24"/>
        </w:rPr>
        <w:t>143762</w:t>
      </w:r>
      <w:r w:rsidRPr="00AA3969">
        <w:rPr>
          <w:bCs/>
          <w:color w:val="000000"/>
          <w:kern w:val="0"/>
          <w:sz w:val="24"/>
          <w:szCs w:val="24"/>
        </w:rPr>
        <w:t>）外，未出现被监管部门立案调查，或在报告编制日前一年内受到公开谴责、处罚的情形。</w:t>
      </w:r>
    </w:p>
    <w:p w:rsidR="00045C58" w:rsidRDefault="009D1337">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招商</w:t>
      </w:r>
      <w:r>
        <w:rPr>
          <w:bCs/>
          <w:color w:val="000000"/>
          <w:kern w:val="0"/>
          <w:sz w:val="24"/>
          <w:szCs w:val="24"/>
        </w:rPr>
        <w:t>G8</w:t>
      </w:r>
      <w:r>
        <w:rPr>
          <w:bCs/>
          <w:color w:val="000000"/>
          <w:kern w:val="0"/>
          <w:sz w:val="24"/>
          <w:szCs w:val="24"/>
        </w:rPr>
        <w:t>（证券代码：</w:t>
      </w:r>
      <w:r>
        <w:rPr>
          <w:bCs/>
          <w:color w:val="000000"/>
          <w:kern w:val="0"/>
          <w:sz w:val="24"/>
          <w:szCs w:val="24"/>
        </w:rPr>
        <w:t>143762</w:t>
      </w:r>
      <w:r>
        <w:rPr>
          <w:bCs/>
          <w:color w:val="000000"/>
          <w:kern w:val="0"/>
          <w:sz w:val="24"/>
          <w:szCs w:val="24"/>
        </w:rPr>
        <w:t>）的发行主体招商证券于</w:t>
      </w:r>
      <w:r>
        <w:rPr>
          <w:bCs/>
          <w:color w:val="000000"/>
          <w:kern w:val="0"/>
          <w:sz w:val="24"/>
          <w:szCs w:val="24"/>
        </w:rPr>
        <w:t>2019</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29</w:t>
      </w:r>
      <w:r>
        <w:rPr>
          <w:bCs/>
          <w:color w:val="000000"/>
          <w:kern w:val="0"/>
          <w:sz w:val="24"/>
          <w:szCs w:val="24"/>
        </w:rPr>
        <w:t>日公告，因全资子公司招商证券（香港）有限公司在担任中国金属再生资源（控股）有限公司上市申请的联席保荐人时（</w:t>
      </w:r>
      <w:r>
        <w:rPr>
          <w:bCs/>
          <w:color w:val="000000"/>
          <w:kern w:val="0"/>
          <w:sz w:val="24"/>
          <w:szCs w:val="24"/>
        </w:rPr>
        <w:t>2008</w:t>
      </w:r>
      <w:r>
        <w:rPr>
          <w:bCs/>
          <w:color w:val="000000"/>
          <w:kern w:val="0"/>
          <w:sz w:val="24"/>
          <w:szCs w:val="24"/>
        </w:rPr>
        <w:t>年</w:t>
      </w:r>
      <w:r>
        <w:rPr>
          <w:bCs/>
          <w:color w:val="000000"/>
          <w:kern w:val="0"/>
          <w:sz w:val="24"/>
          <w:szCs w:val="24"/>
        </w:rPr>
        <w:t>11</w:t>
      </w:r>
      <w:r>
        <w:rPr>
          <w:bCs/>
          <w:color w:val="000000"/>
          <w:kern w:val="0"/>
          <w:sz w:val="24"/>
          <w:szCs w:val="24"/>
        </w:rPr>
        <w:t>月至</w:t>
      </w:r>
      <w:r>
        <w:rPr>
          <w:bCs/>
          <w:color w:val="000000"/>
          <w:kern w:val="0"/>
          <w:sz w:val="24"/>
          <w:szCs w:val="24"/>
        </w:rPr>
        <w:t>2009</w:t>
      </w:r>
      <w:r>
        <w:rPr>
          <w:bCs/>
          <w:color w:val="000000"/>
          <w:kern w:val="0"/>
          <w:sz w:val="24"/>
          <w:szCs w:val="24"/>
        </w:rPr>
        <w:t>年</w:t>
      </w:r>
      <w:r>
        <w:rPr>
          <w:bCs/>
          <w:color w:val="000000"/>
          <w:kern w:val="0"/>
          <w:sz w:val="24"/>
          <w:szCs w:val="24"/>
        </w:rPr>
        <w:t>6</w:t>
      </w:r>
      <w:r>
        <w:rPr>
          <w:bCs/>
          <w:color w:val="000000"/>
          <w:kern w:val="0"/>
          <w:sz w:val="24"/>
          <w:szCs w:val="24"/>
        </w:rPr>
        <w:t>月）没有履行其应尽的尽职审查责任，近日香港证券及期货事务监察委员会对招商证券（香港）有限公司采取纪律行动，包括处以罚款</w:t>
      </w:r>
      <w:r>
        <w:rPr>
          <w:bCs/>
          <w:color w:val="000000"/>
          <w:kern w:val="0"/>
          <w:sz w:val="24"/>
          <w:szCs w:val="24"/>
        </w:rPr>
        <w:t>2700</w:t>
      </w:r>
      <w:r>
        <w:rPr>
          <w:bCs/>
          <w:color w:val="000000"/>
          <w:kern w:val="0"/>
          <w:sz w:val="24"/>
          <w:szCs w:val="24"/>
        </w:rPr>
        <w:t>万元港币；公司于</w:t>
      </w:r>
      <w:r>
        <w:rPr>
          <w:bCs/>
          <w:color w:val="000000"/>
          <w:kern w:val="0"/>
          <w:sz w:val="24"/>
          <w:szCs w:val="24"/>
        </w:rPr>
        <w:t>2019</w:t>
      </w:r>
      <w:r>
        <w:rPr>
          <w:bCs/>
          <w:color w:val="000000"/>
          <w:kern w:val="0"/>
          <w:sz w:val="24"/>
          <w:szCs w:val="24"/>
        </w:rPr>
        <w:t>年</w:t>
      </w:r>
      <w:r>
        <w:rPr>
          <w:bCs/>
          <w:color w:val="000000"/>
          <w:kern w:val="0"/>
          <w:sz w:val="24"/>
          <w:szCs w:val="24"/>
        </w:rPr>
        <w:t>6</w:t>
      </w:r>
      <w:r>
        <w:rPr>
          <w:bCs/>
          <w:color w:val="000000"/>
          <w:kern w:val="0"/>
          <w:sz w:val="24"/>
          <w:szCs w:val="24"/>
        </w:rPr>
        <w:t>月</w:t>
      </w:r>
      <w:r>
        <w:rPr>
          <w:bCs/>
          <w:color w:val="000000"/>
          <w:kern w:val="0"/>
          <w:sz w:val="24"/>
          <w:szCs w:val="24"/>
        </w:rPr>
        <w:t>1</w:t>
      </w:r>
      <w:r>
        <w:rPr>
          <w:bCs/>
          <w:color w:val="000000"/>
          <w:kern w:val="0"/>
          <w:sz w:val="24"/>
          <w:szCs w:val="24"/>
        </w:rPr>
        <w:t>日公告，因全资子公司招商证券（香港）有限公司错误处理客户款项</w:t>
      </w:r>
      <w:r>
        <w:rPr>
          <w:bCs/>
          <w:color w:val="000000"/>
          <w:kern w:val="0"/>
          <w:sz w:val="24"/>
          <w:szCs w:val="24"/>
        </w:rPr>
        <w:t>(</w:t>
      </w:r>
      <w:r>
        <w:rPr>
          <w:bCs/>
          <w:color w:val="000000"/>
          <w:kern w:val="0"/>
          <w:sz w:val="24"/>
          <w:szCs w:val="24"/>
        </w:rPr>
        <w:t>发生于</w:t>
      </w:r>
      <w:r>
        <w:rPr>
          <w:bCs/>
          <w:color w:val="000000"/>
          <w:kern w:val="0"/>
          <w:sz w:val="24"/>
          <w:szCs w:val="24"/>
        </w:rPr>
        <w:t>2011</w:t>
      </w:r>
      <w:r>
        <w:rPr>
          <w:bCs/>
          <w:color w:val="000000"/>
          <w:kern w:val="0"/>
          <w:sz w:val="24"/>
          <w:szCs w:val="24"/>
        </w:rPr>
        <w:t>年</w:t>
      </w:r>
      <w:r>
        <w:rPr>
          <w:bCs/>
          <w:color w:val="000000"/>
          <w:kern w:val="0"/>
          <w:sz w:val="24"/>
          <w:szCs w:val="24"/>
        </w:rPr>
        <w:t>10</w:t>
      </w:r>
      <w:r>
        <w:rPr>
          <w:bCs/>
          <w:color w:val="000000"/>
          <w:kern w:val="0"/>
          <w:sz w:val="24"/>
          <w:szCs w:val="24"/>
        </w:rPr>
        <w:t>月至</w:t>
      </w:r>
      <w:r>
        <w:rPr>
          <w:bCs/>
          <w:color w:val="000000"/>
          <w:kern w:val="0"/>
          <w:sz w:val="24"/>
          <w:szCs w:val="24"/>
        </w:rPr>
        <w:t>2014</w:t>
      </w:r>
      <w:r>
        <w:rPr>
          <w:bCs/>
          <w:color w:val="000000"/>
          <w:kern w:val="0"/>
          <w:sz w:val="24"/>
          <w:szCs w:val="24"/>
        </w:rPr>
        <w:t>年</w:t>
      </w:r>
      <w:r>
        <w:rPr>
          <w:bCs/>
          <w:color w:val="000000"/>
          <w:kern w:val="0"/>
          <w:sz w:val="24"/>
          <w:szCs w:val="24"/>
        </w:rPr>
        <w:t>9</w:t>
      </w:r>
      <w:r>
        <w:rPr>
          <w:bCs/>
          <w:color w:val="000000"/>
          <w:kern w:val="0"/>
          <w:sz w:val="24"/>
          <w:szCs w:val="24"/>
        </w:rPr>
        <w:t>月期间</w:t>
      </w:r>
      <w:r>
        <w:rPr>
          <w:bCs/>
          <w:color w:val="000000"/>
          <w:kern w:val="0"/>
          <w:sz w:val="24"/>
          <w:szCs w:val="24"/>
        </w:rPr>
        <w:t>)</w:t>
      </w:r>
      <w:r>
        <w:rPr>
          <w:bCs/>
          <w:color w:val="000000"/>
          <w:kern w:val="0"/>
          <w:sz w:val="24"/>
          <w:szCs w:val="24"/>
        </w:rPr>
        <w:t>，</w:t>
      </w:r>
      <w:r>
        <w:rPr>
          <w:bCs/>
          <w:color w:val="000000"/>
          <w:kern w:val="0"/>
          <w:sz w:val="24"/>
          <w:szCs w:val="24"/>
        </w:rPr>
        <w:t>近日香港证券及期货事务监察委员会对招商证券（香港）有限公司采取纪律行动，包括处以罚款</w:t>
      </w:r>
      <w:r>
        <w:rPr>
          <w:bCs/>
          <w:color w:val="000000"/>
          <w:kern w:val="0"/>
          <w:sz w:val="24"/>
          <w:szCs w:val="24"/>
        </w:rPr>
        <w:t>500</w:t>
      </w:r>
      <w:r>
        <w:rPr>
          <w:bCs/>
          <w:color w:val="000000"/>
          <w:kern w:val="0"/>
          <w:sz w:val="24"/>
          <w:szCs w:val="24"/>
        </w:rPr>
        <w:t>万元港币。</w:t>
      </w:r>
    </w:p>
    <w:p w:rsidR="00045C58" w:rsidRDefault="009D1337">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w:t>
      </w:r>
      <w:r>
        <w:rPr>
          <w:bCs/>
          <w:color w:val="000000"/>
          <w:kern w:val="0"/>
          <w:sz w:val="24"/>
          <w:szCs w:val="24"/>
        </w:rPr>
        <w:t>和投资价值的判断。</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18,456.69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2,227,083.66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4,366,905.39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496.03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6,612,941.77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bookmarkStart w:id="0" w:name="_GoBack"/>
      <w:bookmarkEnd w:id="0"/>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335,587,375.39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45,086,206.60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117,090,084.14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263,583,497.85</w:t>
            </w:r>
          </w:p>
        </w:tc>
      </w:tr>
    </w:tbl>
    <w:p w:rsidR="00045C58" w:rsidRDefault="009D13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045C58">
        <w:tc>
          <w:tcPr>
            <w:tcW w:w="993" w:type="dxa"/>
            <w:vMerge w:val="restart"/>
          </w:tcPr>
          <w:p w:rsidR="00045C58" w:rsidRDefault="00045C58"/>
          <w:p w:rsidR="00045C58" w:rsidRDefault="009D1337">
            <w:r>
              <w:rPr>
                <w:rFonts w:ascii="宋体" w:hAnsi="宋体" w:hint="eastAsia"/>
                <w:bCs/>
                <w:color w:val="000000"/>
                <w:kern w:val="0"/>
              </w:rPr>
              <w:t>机构</w:t>
            </w:r>
          </w:p>
        </w:tc>
        <w:tc>
          <w:tcPr>
            <w:tcW w:w="992" w:type="dxa"/>
            <w:vAlign w:val="center"/>
          </w:tcPr>
          <w:p w:rsidR="00045C58" w:rsidRDefault="009D1337">
            <w:pPr>
              <w:jc w:val="center"/>
            </w:pPr>
            <w:r>
              <w:rPr>
                <w:rFonts w:ascii="宋体" w:hAnsi="宋体"/>
                <w:color w:val="000000"/>
                <w:kern w:val="0"/>
              </w:rPr>
              <w:t>1</w:t>
            </w:r>
          </w:p>
        </w:tc>
        <w:tc>
          <w:tcPr>
            <w:tcW w:w="1843" w:type="dxa"/>
            <w:vAlign w:val="center"/>
          </w:tcPr>
          <w:p w:rsidR="00045C58" w:rsidRDefault="009D1337">
            <w:pPr>
              <w:jc w:val="center"/>
            </w:pPr>
            <w:r>
              <w:rPr>
                <w:rFonts w:ascii="宋体" w:hAnsi="宋体"/>
                <w:color w:val="000000"/>
                <w:kern w:val="0"/>
              </w:rPr>
              <w:t>2020/1/1-2020/3/31</w:t>
            </w:r>
          </w:p>
        </w:tc>
        <w:tc>
          <w:tcPr>
            <w:tcW w:w="851" w:type="dxa"/>
            <w:vAlign w:val="center"/>
          </w:tcPr>
          <w:p w:rsidR="00045C58" w:rsidRDefault="009D1337">
            <w:pPr>
              <w:jc w:val="center"/>
            </w:pPr>
            <w:r>
              <w:rPr>
                <w:rFonts w:ascii="宋体" w:hAnsi="宋体"/>
                <w:color w:val="000000"/>
                <w:kern w:val="0"/>
              </w:rPr>
              <w:t>95,968,330.13</w:t>
            </w:r>
          </w:p>
        </w:tc>
        <w:tc>
          <w:tcPr>
            <w:tcW w:w="850" w:type="dxa"/>
            <w:vAlign w:val="center"/>
          </w:tcPr>
          <w:p w:rsidR="00045C58" w:rsidRDefault="009D1337">
            <w:pPr>
              <w:jc w:val="center"/>
            </w:pPr>
            <w:r>
              <w:rPr>
                <w:rFonts w:ascii="宋体" w:hAnsi="宋体"/>
                <w:color w:val="000000"/>
                <w:kern w:val="0"/>
              </w:rPr>
              <w:t>-</w:t>
            </w:r>
          </w:p>
        </w:tc>
        <w:tc>
          <w:tcPr>
            <w:tcW w:w="1134" w:type="dxa"/>
            <w:vAlign w:val="center"/>
          </w:tcPr>
          <w:p w:rsidR="00045C58" w:rsidRDefault="009D1337">
            <w:pPr>
              <w:jc w:val="center"/>
            </w:pPr>
            <w:r>
              <w:rPr>
                <w:rFonts w:ascii="宋体" w:hAnsi="宋体"/>
                <w:color w:val="000000"/>
                <w:kern w:val="0"/>
              </w:rPr>
              <w:t>-</w:t>
            </w:r>
          </w:p>
        </w:tc>
        <w:tc>
          <w:tcPr>
            <w:tcW w:w="1419" w:type="dxa"/>
            <w:vAlign w:val="center"/>
          </w:tcPr>
          <w:p w:rsidR="00045C58" w:rsidRDefault="009D1337">
            <w:pPr>
              <w:jc w:val="center"/>
            </w:pPr>
            <w:r>
              <w:rPr>
                <w:rFonts w:ascii="宋体" w:hAnsi="宋体"/>
                <w:color w:val="000000"/>
                <w:kern w:val="0"/>
              </w:rPr>
              <w:t>95,968,330.13</w:t>
            </w:r>
          </w:p>
        </w:tc>
        <w:tc>
          <w:tcPr>
            <w:tcW w:w="1130" w:type="dxa"/>
            <w:vAlign w:val="center"/>
          </w:tcPr>
          <w:p w:rsidR="00045C58" w:rsidRDefault="009D1337">
            <w:pPr>
              <w:jc w:val="center"/>
            </w:pPr>
            <w:r>
              <w:rPr>
                <w:rFonts w:ascii="宋体" w:hAnsi="宋体"/>
                <w:color w:val="000000"/>
                <w:kern w:val="0"/>
              </w:rPr>
              <w:t>36.41%</w:t>
            </w:r>
          </w:p>
        </w:tc>
      </w:tr>
      <w:tr w:rsidR="00045C58">
        <w:tc>
          <w:tcPr>
            <w:tcW w:w="993" w:type="dxa"/>
            <w:vMerge/>
          </w:tcPr>
          <w:p w:rsidR="00045C58" w:rsidRDefault="00045C58"/>
        </w:tc>
        <w:tc>
          <w:tcPr>
            <w:tcW w:w="992" w:type="dxa"/>
            <w:vAlign w:val="center"/>
          </w:tcPr>
          <w:p w:rsidR="00045C58" w:rsidRDefault="009D1337">
            <w:pPr>
              <w:jc w:val="center"/>
            </w:pPr>
            <w:r>
              <w:rPr>
                <w:rFonts w:ascii="宋体" w:hAnsi="宋体"/>
                <w:color w:val="000000"/>
                <w:kern w:val="0"/>
              </w:rPr>
              <w:t>2</w:t>
            </w:r>
          </w:p>
        </w:tc>
        <w:tc>
          <w:tcPr>
            <w:tcW w:w="1843" w:type="dxa"/>
            <w:vAlign w:val="center"/>
          </w:tcPr>
          <w:p w:rsidR="00045C58" w:rsidRDefault="009D1337">
            <w:pPr>
              <w:jc w:val="center"/>
            </w:pPr>
            <w:r>
              <w:rPr>
                <w:rFonts w:ascii="宋体" w:hAnsi="宋体"/>
                <w:color w:val="000000"/>
                <w:kern w:val="0"/>
              </w:rPr>
              <w:t>2020/1/1-2020/3/31</w:t>
            </w:r>
          </w:p>
        </w:tc>
        <w:tc>
          <w:tcPr>
            <w:tcW w:w="851" w:type="dxa"/>
            <w:vAlign w:val="center"/>
          </w:tcPr>
          <w:p w:rsidR="00045C58" w:rsidRDefault="009D1337">
            <w:pPr>
              <w:jc w:val="center"/>
            </w:pPr>
            <w:r>
              <w:rPr>
                <w:rFonts w:ascii="宋体" w:hAnsi="宋体"/>
                <w:color w:val="000000"/>
                <w:kern w:val="0"/>
              </w:rPr>
              <w:t>95,968,330.13</w:t>
            </w:r>
          </w:p>
        </w:tc>
        <w:tc>
          <w:tcPr>
            <w:tcW w:w="850" w:type="dxa"/>
            <w:vAlign w:val="center"/>
          </w:tcPr>
          <w:p w:rsidR="00045C58" w:rsidRDefault="009D1337">
            <w:pPr>
              <w:jc w:val="center"/>
            </w:pPr>
            <w:r>
              <w:rPr>
                <w:rFonts w:ascii="宋体" w:hAnsi="宋体"/>
                <w:color w:val="000000"/>
                <w:kern w:val="0"/>
              </w:rPr>
              <w:t>-</w:t>
            </w:r>
          </w:p>
        </w:tc>
        <w:tc>
          <w:tcPr>
            <w:tcW w:w="1134" w:type="dxa"/>
            <w:vAlign w:val="center"/>
          </w:tcPr>
          <w:p w:rsidR="00045C58" w:rsidRDefault="009D1337">
            <w:pPr>
              <w:jc w:val="center"/>
            </w:pPr>
            <w:r>
              <w:rPr>
                <w:rFonts w:ascii="宋体" w:hAnsi="宋体"/>
                <w:color w:val="000000"/>
                <w:kern w:val="0"/>
              </w:rPr>
              <w:t>-</w:t>
            </w:r>
          </w:p>
        </w:tc>
        <w:tc>
          <w:tcPr>
            <w:tcW w:w="1419" w:type="dxa"/>
            <w:vAlign w:val="center"/>
          </w:tcPr>
          <w:p w:rsidR="00045C58" w:rsidRDefault="009D1337">
            <w:pPr>
              <w:jc w:val="center"/>
            </w:pPr>
            <w:r>
              <w:rPr>
                <w:rFonts w:ascii="宋体" w:hAnsi="宋体"/>
                <w:color w:val="000000"/>
                <w:kern w:val="0"/>
              </w:rPr>
              <w:t>95,968,330.13</w:t>
            </w:r>
          </w:p>
        </w:tc>
        <w:tc>
          <w:tcPr>
            <w:tcW w:w="1130" w:type="dxa"/>
            <w:vAlign w:val="center"/>
          </w:tcPr>
          <w:p w:rsidR="00045C58" w:rsidRDefault="009D1337">
            <w:pPr>
              <w:jc w:val="center"/>
            </w:pPr>
            <w:r>
              <w:rPr>
                <w:rFonts w:ascii="宋体" w:hAnsi="宋体"/>
                <w:color w:val="000000"/>
                <w:kern w:val="0"/>
              </w:rPr>
              <w:t>36.41%</w:t>
            </w:r>
          </w:p>
        </w:tc>
      </w:tr>
      <w:tr w:rsidR="00045C58">
        <w:tc>
          <w:tcPr>
            <w:tcW w:w="993" w:type="dxa"/>
            <w:vMerge/>
          </w:tcPr>
          <w:p w:rsidR="00045C58" w:rsidRDefault="00045C58"/>
        </w:tc>
        <w:tc>
          <w:tcPr>
            <w:tcW w:w="992" w:type="dxa"/>
            <w:vAlign w:val="center"/>
          </w:tcPr>
          <w:p w:rsidR="00045C58" w:rsidRDefault="009D1337">
            <w:pPr>
              <w:jc w:val="center"/>
            </w:pPr>
            <w:r>
              <w:rPr>
                <w:rFonts w:ascii="宋体" w:hAnsi="宋体"/>
                <w:color w:val="000000"/>
                <w:kern w:val="0"/>
              </w:rPr>
              <w:t>3</w:t>
            </w:r>
          </w:p>
        </w:tc>
        <w:tc>
          <w:tcPr>
            <w:tcW w:w="1843" w:type="dxa"/>
            <w:vAlign w:val="center"/>
          </w:tcPr>
          <w:p w:rsidR="00045C58" w:rsidRDefault="009D1337">
            <w:pPr>
              <w:jc w:val="center"/>
            </w:pPr>
            <w:r>
              <w:rPr>
                <w:rFonts w:ascii="宋体" w:hAnsi="宋体"/>
                <w:color w:val="000000"/>
                <w:kern w:val="0"/>
              </w:rPr>
              <w:t>2020/1/1-2020/3/31</w:t>
            </w:r>
          </w:p>
        </w:tc>
        <w:tc>
          <w:tcPr>
            <w:tcW w:w="851" w:type="dxa"/>
            <w:vAlign w:val="center"/>
          </w:tcPr>
          <w:p w:rsidR="00045C58" w:rsidRDefault="009D1337">
            <w:pPr>
              <w:jc w:val="center"/>
            </w:pPr>
            <w:r>
              <w:rPr>
                <w:rFonts w:ascii="宋体" w:hAnsi="宋体"/>
                <w:color w:val="000000"/>
                <w:kern w:val="0"/>
              </w:rPr>
              <w:t>55,095,000.30</w:t>
            </w:r>
          </w:p>
        </w:tc>
        <w:tc>
          <w:tcPr>
            <w:tcW w:w="850" w:type="dxa"/>
            <w:vAlign w:val="center"/>
          </w:tcPr>
          <w:p w:rsidR="00045C58" w:rsidRDefault="009D1337">
            <w:pPr>
              <w:jc w:val="center"/>
            </w:pPr>
            <w:r>
              <w:rPr>
                <w:rFonts w:ascii="宋体" w:hAnsi="宋体"/>
                <w:color w:val="000000"/>
                <w:kern w:val="0"/>
              </w:rPr>
              <w:t>44,922,731.36</w:t>
            </w:r>
          </w:p>
        </w:tc>
        <w:tc>
          <w:tcPr>
            <w:tcW w:w="1134" w:type="dxa"/>
            <w:vAlign w:val="center"/>
          </w:tcPr>
          <w:p w:rsidR="00045C58" w:rsidRDefault="009D1337">
            <w:pPr>
              <w:jc w:val="center"/>
            </w:pPr>
            <w:r>
              <w:rPr>
                <w:rFonts w:ascii="宋体" w:hAnsi="宋体"/>
                <w:color w:val="000000"/>
                <w:kern w:val="0"/>
              </w:rPr>
              <w:t>100,017,731.66</w:t>
            </w:r>
          </w:p>
        </w:tc>
        <w:tc>
          <w:tcPr>
            <w:tcW w:w="1419" w:type="dxa"/>
            <w:vAlign w:val="center"/>
          </w:tcPr>
          <w:p w:rsidR="00045C58" w:rsidRDefault="009D1337">
            <w:pPr>
              <w:jc w:val="center"/>
            </w:pPr>
            <w:r>
              <w:rPr>
                <w:rFonts w:ascii="宋体" w:hAnsi="宋体"/>
                <w:color w:val="000000"/>
                <w:kern w:val="0"/>
              </w:rPr>
              <w:t>-</w:t>
            </w:r>
          </w:p>
        </w:tc>
        <w:tc>
          <w:tcPr>
            <w:tcW w:w="1130" w:type="dxa"/>
            <w:vAlign w:val="center"/>
          </w:tcPr>
          <w:p w:rsidR="00045C58" w:rsidRDefault="009D1337">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45C58" w:rsidRDefault="009D133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、《交银施罗德荣鑫灵活配置混合型证券投资基金基金合同》；</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、《交银施罗德荣鑫灵活配置混合型证券投资基金招募说明书》；</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、《交银施罗德荣鑫灵活配置混合型证券投资基金托管协议》；</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、《交银施罗德荣鑫保本混合型证券投资基金基金合同》；</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、《交银施罗德荣鑫保本混合型证券投资基金招募说明书》；</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、《交银施罗德荣鑫保本混合型证券投资基金托管协议》；</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w:t>
      </w:r>
      <w:r>
        <w:rPr>
          <w:color w:val="000000"/>
          <w:sz w:val="24"/>
          <w:szCs w:val="24"/>
        </w:rPr>
        <w:t>金保证合同》；</w:t>
      </w:r>
    </w:p>
    <w:p w:rsidR="00045C58" w:rsidRDefault="009D1337">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、关于申请募集注册交银施罗德荣鑫保本混合型证券投资基金的法律意见书；</w:t>
      </w:r>
      <w:r>
        <w:rPr>
          <w:color w:val="000000"/>
          <w:sz w:val="24"/>
          <w:szCs w:val="24"/>
        </w:rPr>
        <w:t xml:space="preserve"> </w:t>
      </w:r>
    </w:p>
    <w:p w:rsidR="00045C58" w:rsidRDefault="009D1337">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、关于修改《交银施罗德荣鑫保本混合型证券投资基金基金合同》的法律意见书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、报告期内交银施罗德荣鑫保本混合型证券投资基金、交银施罗德荣鑫灵活配置混合型证券投资基金在指定报刊上各项公告的原稿。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45C58" w:rsidRDefault="009D133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D1337">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D1337">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交银施罗德荣鑫灵活配置混合型证券投资基金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5C58"/>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337"/>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5B9C-18D1-4085-90F5-940F68FC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13</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601</cp:revision>
  <dcterms:created xsi:type="dcterms:W3CDTF">2012-10-16T06:07:00Z</dcterms:created>
  <dcterms:modified xsi:type="dcterms:W3CDTF">2020-04-10T07:39:00Z</dcterms:modified>
</cp:coreProperties>
</file>