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交银施罗德持续成长主题混合型证券投资基金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C0FDE" w:rsidRDefault="00A8703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2,514,853,678.78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w:t>
            </w:r>
            <w:r w:rsidRPr="00414345">
              <w:rPr>
                <w:color w:val="000000"/>
                <w:kern w:val="0"/>
                <w:sz w:val="24"/>
                <w:szCs w:val="24"/>
              </w:rPr>
              <w:lastRenderedPageBreak/>
              <w:t>评价，精选个股，力争实现基金资产的长期稳定增值。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60FE2" w:rsidRPr="00414345" w:rsidTr="00960FE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60FE2" w:rsidRPr="00414345" w:rsidTr="00960FE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335,546,623.89</w:t>
            </w:r>
          </w:p>
        </w:tc>
      </w:tr>
      <w:tr w:rsidR="00960FE2" w:rsidRPr="00414345" w:rsidTr="00960FE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26,216,351.92</w:t>
            </w:r>
          </w:p>
        </w:tc>
      </w:tr>
      <w:tr w:rsidR="00960FE2" w:rsidRPr="00414345" w:rsidTr="00960FE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0.0101</w:t>
            </w:r>
          </w:p>
        </w:tc>
      </w:tr>
      <w:tr w:rsidR="00960FE2" w:rsidRPr="00414345" w:rsidTr="00960FE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3,378,901,036.84</w:t>
            </w:r>
          </w:p>
        </w:tc>
      </w:tr>
      <w:tr w:rsidR="00960FE2" w:rsidRPr="00414345" w:rsidTr="00960FE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1.3436</w:t>
            </w:r>
          </w:p>
        </w:tc>
      </w:tr>
    </w:tbl>
    <w:p w:rsidR="003C0FDE" w:rsidRDefault="00A870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3C0FDE" w:rsidRDefault="00A87035">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C0FDE">
        <w:trPr>
          <w:jc w:val="center"/>
        </w:trPr>
        <w:tc>
          <w:tcPr>
            <w:tcW w:w="1701" w:type="dxa"/>
            <w:vAlign w:val="center"/>
          </w:tcPr>
          <w:p w:rsidR="003C0FDE" w:rsidRDefault="00A87035">
            <w:pPr>
              <w:jc w:val="left"/>
            </w:pPr>
            <w:r>
              <w:rPr>
                <w:color w:val="000000"/>
                <w:sz w:val="24"/>
                <w:szCs w:val="24"/>
              </w:rPr>
              <w:t>过去三个月</w:t>
            </w:r>
          </w:p>
        </w:tc>
        <w:tc>
          <w:tcPr>
            <w:tcW w:w="1045" w:type="dxa"/>
            <w:vAlign w:val="center"/>
          </w:tcPr>
          <w:p w:rsidR="003C0FDE" w:rsidRDefault="00A87035">
            <w:pPr>
              <w:jc w:val="center"/>
            </w:pPr>
            <w:r>
              <w:rPr>
                <w:color w:val="000000"/>
                <w:sz w:val="24"/>
                <w:szCs w:val="24"/>
              </w:rPr>
              <w:t>0.35%</w:t>
            </w:r>
          </w:p>
        </w:tc>
        <w:tc>
          <w:tcPr>
            <w:tcW w:w="1344" w:type="dxa"/>
            <w:vAlign w:val="center"/>
          </w:tcPr>
          <w:p w:rsidR="003C0FDE" w:rsidRDefault="00A87035">
            <w:pPr>
              <w:jc w:val="center"/>
            </w:pPr>
            <w:r>
              <w:rPr>
                <w:color w:val="000000"/>
                <w:sz w:val="24"/>
                <w:szCs w:val="24"/>
              </w:rPr>
              <w:t>1.73%</w:t>
            </w:r>
          </w:p>
        </w:tc>
        <w:tc>
          <w:tcPr>
            <w:tcW w:w="1194" w:type="dxa"/>
            <w:vAlign w:val="center"/>
          </w:tcPr>
          <w:p w:rsidR="003C0FDE" w:rsidRDefault="00A87035">
            <w:pPr>
              <w:jc w:val="center"/>
            </w:pPr>
            <w:r>
              <w:rPr>
                <w:color w:val="000000"/>
                <w:sz w:val="24"/>
                <w:szCs w:val="24"/>
              </w:rPr>
              <w:t>-6.81%</w:t>
            </w:r>
          </w:p>
        </w:tc>
        <w:tc>
          <w:tcPr>
            <w:tcW w:w="1492" w:type="dxa"/>
            <w:vAlign w:val="center"/>
          </w:tcPr>
          <w:p w:rsidR="003C0FDE" w:rsidRDefault="00A87035">
            <w:pPr>
              <w:jc w:val="center"/>
            </w:pPr>
            <w:r>
              <w:rPr>
                <w:color w:val="000000"/>
                <w:sz w:val="24"/>
                <w:szCs w:val="24"/>
              </w:rPr>
              <w:t>1.45%</w:t>
            </w:r>
          </w:p>
        </w:tc>
        <w:tc>
          <w:tcPr>
            <w:tcW w:w="1194" w:type="dxa"/>
            <w:vAlign w:val="center"/>
          </w:tcPr>
          <w:p w:rsidR="003C0FDE" w:rsidRDefault="00A87035">
            <w:pPr>
              <w:jc w:val="center"/>
            </w:pPr>
            <w:r>
              <w:rPr>
                <w:color w:val="000000"/>
                <w:sz w:val="24"/>
                <w:szCs w:val="24"/>
              </w:rPr>
              <w:t>7.16%</w:t>
            </w:r>
          </w:p>
        </w:tc>
        <w:tc>
          <w:tcPr>
            <w:tcW w:w="898" w:type="dxa"/>
            <w:vAlign w:val="center"/>
          </w:tcPr>
          <w:p w:rsidR="003C0FDE" w:rsidRDefault="00A87035">
            <w:pPr>
              <w:jc w:val="center"/>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交银施罗德持续成长主题混合型证券投资基金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C0FDE">
        <w:trPr>
          <w:jc w:val="center"/>
        </w:trPr>
        <w:tc>
          <w:tcPr>
            <w:tcW w:w="846" w:type="dxa"/>
            <w:vAlign w:val="center"/>
          </w:tcPr>
          <w:p w:rsidR="003C0FDE" w:rsidRDefault="00A87035">
            <w:pPr>
              <w:jc w:val="center"/>
            </w:pPr>
            <w:r>
              <w:rPr>
                <w:color w:val="000000"/>
                <w:sz w:val="24"/>
                <w:szCs w:val="24"/>
              </w:rPr>
              <w:t>何帅</w:t>
            </w:r>
          </w:p>
        </w:tc>
        <w:tc>
          <w:tcPr>
            <w:tcW w:w="845" w:type="dxa"/>
            <w:vAlign w:val="center"/>
          </w:tcPr>
          <w:p w:rsidR="003C0FDE" w:rsidRDefault="00A87035">
            <w:pPr>
              <w:jc w:val="center"/>
            </w:pPr>
            <w:r>
              <w:rPr>
                <w:color w:val="000000"/>
                <w:sz w:val="24"/>
                <w:szCs w:val="24"/>
              </w:rPr>
              <w:t>交银优势行业混合、交银阿尔法核心混合、交银持续成长主题混合的基金经理</w:t>
            </w:r>
          </w:p>
        </w:tc>
        <w:tc>
          <w:tcPr>
            <w:tcW w:w="1549" w:type="dxa"/>
            <w:vAlign w:val="center"/>
          </w:tcPr>
          <w:p w:rsidR="003C0FDE" w:rsidRDefault="00A87035">
            <w:pPr>
              <w:jc w:val="center"/>
            </w:pPr>
            <w:r>
              <w:rPr>
                <w:color w:val="000000"/>
                <w:sz w:val="24"/>
                <w:szCs w:val="24"/>
              </w:rPr>
              <w:t>2018-01-12</w:t>
            </w:r>
          </w:p>
        </w:tc>
        <w:tc>
          <w:tcPr>
            <w:tcW w:w="1548" w:type="dxa"/>
            <w:vAlign w:val="center"/>
          </w:tcPr>
          <w:p w:rsidR="003C0FDE" w:rsidRDefault="00A87035">
            <w:pPr>
              <w:jc w:val="center"/>
            </w:pPr>
            <w:r>
              <w:rPr>
                <w:color w:val="000000"/>
                <w:sz w:val="24"/>
                <w:szCs w:val="24"/>
              </w:rPr>
              <w:t>-</w:t>
            </w:r>
          </w:p>
        </w:tc>
        <w:tc>
          <w:tcPr>
            <w:tcW w:w="1407" w:type="dxa"/>
            <w:vAlign w:val="center"/>
          </w:tcPr>
          <w:p w:rsidR="003C0FDE" w:rsidRDefault="00A87035">
            <w:pPr>
              <w:jc w:val="center"/>
            </w:pPr>
            <w:r>
              <w:rPr>
                <w:color w:val="000000"/>
                <w:sz w:val="24"/>
                <w:szCs w:val="24"/>
              </w:rPr>
              <w:t>10</w:t>
            </w:r>
            <w:r>
              <w:rPr>
                <w:color w:val="000000"/>
                <w:sz w:val="24"/>
                <w:szCs w:val="24"/>
              </w:rPr>
              <w:t>年</w:t>
            </w:r>
          </w:p>
        </w:tc>
        <w:tc>
          <w:tcPr>
            <w:tcW w:w="2673" w:type="dxa"/>
            <w:vAlign w:val="center"/>
          </w:tcPr>
          <w:p w:rsidR="003C0FDE" w:rsidRDefault="00A87035">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C0FDE" w:rsidRDefault="00A8703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C0FDE" w:rsidRDefault="00A8703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C0FDE" w:rsidRDefault="00A8703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C0FDE" w:rsidRDefault="00A87035">
      <w:pPr>
        <w:spacing w:before="29" w:line="288" w:lineRule="auto"/>
        <w:ind w:firstLineChars="200" w:firstLine="480"/>
        <w:rPr>
          <w:color w:val="000000"/>
          <w:sz w:val="24"/>
          <w:szCs w:val="24"/>
        </w:rPr>
      </w:pPr>
      <w:r>
        <w:rPr>
          <w:color w:val="000000"/>
          <w:sz w:val="24"/>
          <w:szCs w:val="24"/>
        </w:rPr>
        <w:t>对于大多数人而言，</w:t>
      </w:r>
      <w:r>
        <w:rPr>
          <w:color w:val="000000"/>
          <w:sz w:val="24"/>
          <w:szCs w:val="24"/>
        </w:rPr>
        <w:t>2020</w:t>
      </w:r>
      <w:r>
        <w:rPr>
          <w:color w:val="000000"/>
          <w:sz w:val="24"/>
          <w:szCs w:val="24"/>
        </w:rPr>
        <w:t>年一季度无疑是艰难及不寻常的，而对于基金份额持有人而言，我们度过了巨大波动的一个季度。市场先扬后抑，在春节后波动明显加大。</w:t>
      </w:r>
    </w:p>
    <w:p w:rsidR="003C0FDE" w:rsidRDefault="00A87035">
      <w:pPr>
        <w:spacing w:before="29" w:line="288" w:lineRule="auto"/>
        <w:ind w:firstLineChars="200" w:firstLine="480"/>
        <w:rPr>
          <w:color w:val="000000"/>
          <w:sz w:val="24"/>
          <w:szCs w:val="24"/>
        </w:rPr>
      </w:pPr>
      <w:r>
        <w:rPr>
          <w:color w:val="000000"/>
          <w:sz w:val="24"/>
          <w:szCs w:val="24"/>
        </w:rPr>
        <w:t>我们在年初仓位不高，主要担心不少个股估值已经饱和，一至二月不少个股估值继续扩张，但这些并不会使我们产生困扰，我们会坚持在较好的安全边际下获得超额收益。但是三月以来，海外疫情加速，明显超过了市场的预期和判断；至今海外疫情依然还在延续。我们在三月将仓位继续下降，原因在于，第一我们并不</w:t>
      </w:r>
      <w:r>
        <w:rPr>
          <w:color w:val="000000"/>
          <w:sz w:val="24"/>
          <w:szCs w:val="24"/>
        </w:rPr>
        <w:t>“</w:t>
      </w:r>
      <w:r>
        <w:rPr>
          <w:color w:val="000000"/>
          <w:sz w:val="24"/>
          <w:szCs w:val="24"/>
        </w:rPr>
        <w:t>看空</w:t>
      </w:r>
      <w:r>
        <w:rPr>
          <w:color w:val="000000"/>
          <w:sz w:val="24"/>
          <w:szCs w:val="24"/>
        </w:rPr>
        <w:t>”</w:t>
      </w:r>
      <w:r>
        <w:rPr>
          <w:color w:val="000000"/>
          <w:sz w:val="24"/>
          <w:szCs w:val="24"/>
        </w:rPr>
        <w:t>市场，而是</w:t>
      </w:r>
      <w:r>
        <w:rPr>
          <w:color w:val="000000"/>
          <w:sz w:val="24"/>
          <w:szCs w:val="24"/>
        </w:rPr>
        <w:t>“</w:t>
      </w:r>
      <w:r>
        <w:rPr>
          <w:color w:val="000000"/>
          <w:sz w:val="24"/>
          <w:szCs w:val="24"/>
        </w:rPr>
        <w:t>看不清</w:t>
      </w:r>
      <w:r>
        <w:rPr>
          <w:color w:val="000000"/>
          <w:sz w:val="24"/>
          <w:szCs w:val="24"/>
        </w:rPr>
        <w:t>”</w:t>
      </w:r>
      <w:r>
        <w:rPr>
          <w:color w:val="000000"/>
          <w:sz w:val="24"/>
          <w:szCs w:val="24"/>
        </w:rPr>
        <w:t>；由于全球的扩散，此次疫情最终的影响超过大多数人的判断能力。我们能够尽力判断一家公司的生意模式、竞争壁垒及未来几年内的成长空间，但是面对较大的外部不确定性，虽然公司本身的优势不会变化，但未来几年的成长节奏和空间存在较大波动的可能性，同时我们观察目前估值不具优势，也就是市场没有给这样的不确定给予足够</w:t>
      </w:r>
      <w:r>
        <w:rPr>
          <w:color w:val="000000"/>
          <w:sz w:val="24"/>
          <w:szCs w:val="24"/>
        </w:rPr>
        <w:t>“</w:t>
      </w:r>
      <w:r>
        <w:rPr>
          <w:color w:val="000000"/>
          <w:sz w:val="24"/>
          <w:szCs w:val="24"/>
        </w:rPr>
        <w:t>补偿</w:t>
      </w:r>
      <w:r>
        <w:rPr>
          <w:color w:val="000000"/>
          <w:sz w:val="24"/>
          <w:szCs w:val="24"/>
        </w:rPr>
        <w:t>”</w:t>
      </w:r>
      <w:r>
        <w:rPr>
          <w:color w:val="000000"/>
          <w:sz w:val="24"/>
          <w:szCs w:val="24"/>
        </w:rPr>
        <w:t>。第二，我们一直强调以持有人利益为先，但每个持有人的风险偏好、性格和预期收益率都是不同的；我们很难符合所有人的要求，在面对不确定性时需要做出选择。暂时，我们的选择是，降低仓位然后看清这次影响对于公司未来可预期时间段内的自由现金流影响，从而重新给公司进行估值。这可能面临短期</w:t>
      </w:r>
      <w:r>
        <w:rPr>
          <w:color w:val="000000"/>
          <w:sz w:val="24"/>
          <w:szCs w:val="24"/>
        </w:rPr>
        <w:t>“</w:t>
      </w:r>
      <w:r>
        <w:rPr>
          <w:color w:val="000000"/>
          <w:sz w:val="24"/>
          <w:szCs w:val="24"/>
        </w:rPr>
        <w:t>踏空</w:t>
      </w:r>
      <w:r>
        <w:rPr>
          <w:color w:val="000000"/>
          <w:sz w:val="24"/>
          <w:szCs w:val="24"/>
        </w:rPr>
        <w:t>”</w:t>
      </w:r>
      <w:r>
        <w:rPr>
          <w:color w:val="000000"/>
          <w:sz w:val="24"/>
          <w:szCs w:val="24"/>
        </w:rPr>
        <w:t>的可能，但是规避了大幅回撤的风险。</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我们希望通过深度研究及较好的投资纪律，在较好的安全边际下，长期地为持有人获得超额收益。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0B6479" w:rsidRDefault="000B6479" w:rsidP="000B6479">
      <w:pPr>
        <w:spacing w:before="29" w:line="288" w:lineRule="auto"/>
        <w:rPr>
          <w:color w:val="000000"/>
          <w:sz w:val="24"/>
          <w:szCs w:val="24"/>
        </w:rPr>
      </w:pPr>
    </w:p>
    <w:p w:rsidR="000B6479" w:rsidRPr="000B6479" w:rsidRDefault="000B6479" w:rsidP="000B6479">
      <w:pPr>
        <w:spacing w:before="29" w:line="288" w:lineRule="auto"/>
        <w:rPr>
          <w:rFonts w:hint="eastAsia"/>
          <w:b/>
          <w:color w:val="000000"/>
          <w:kern w:val="0"/>
          <w:sz w:val="24"/>
        </w:rPr>
      </w:pPr>
      <w:r w:rsidRPr="000B6479">
        <w:rPr>
          <w:rFonts w:hint="eastAsia"/>
          <w:b/>
          <w:color w:val="000000"/>
          <w:kern w:val="0"/>
          <w:sz w:val="24"/>
        </w:rPr>
        <w:t>4.6</w:t>
      </w:r>
      <w:r w:rsidRPr="000B6479">
        <w:rPr>
          <w:rFonts w:hint="eastAsia"/>
          <w:b/>
          <w:color w:val="000000"/>
          <w:kern w:val="0"/>
          <w:sz w:val="24"/>
        </w:rPr>
        <w:t>报告期内基金持有人数或基金资产净值预警说明</w:t>
      </w:r>
    </w:p>
    <w:p w:rsidR="000B6479" w:rsidRPr="00414345" w:rsidRDefault="000B6479" w:rsidP="000B6479">
      <w:pPr>
        <w:spacing w:before="29" w:line="288" w:lineRule="auto"/>
        <w:ind w:firstLineChars="150" w:firstLine="360"/>
        <w:rPr>
          <w:rFonts w:hint="eastAsia"/>
          <w:color w:val="000000"/>
          <w:sz w:val="24"/>
          <w:szCs w:val="24"/>
        </w:rPr>
      </w:pPr>
      <w:bookmarkStart w:id="0" w:name="_GoBack"/>
      <w:bookmarkEnd w:id="0"/>
      <w:r w:rsidRPr="000B6479">
        <w:rPr>
          <w:rFonts w:hint="eastAsia"/>
          <w:color w:val="000000"/>
          <w:sz w:val="24"/>
          <w:szCs w:val="24"/>
        </w:rPr>
        <w:t>本基金本报告期内无需预警说明。</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960FE2"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960FE2">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2,078,043,990.79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61.27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2,078,043,990.79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61.27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190,531,000.00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190,531,000.00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5.62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1,104,580,492.07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18,376,725.93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0.54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3,391,532,208.79</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712,034,851.55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84,694,582.63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23,558,462.91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313,052,663.90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668,457,232.34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19.78</w:t>
            </w:r>
          </w:p>
        </w:tc>
      </w:tr>
      <w:tr w:rsidR="00531F10" w:rsidRPr="00414345" w:rsidTr="00960F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29,468,640.00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0.87</w:t>
            </w:r>
          </w:p>
        </w:tc>
      </w:tr>
      <w:tr w:rsidR="00531F10" w:rsidRPr="00414345" w:rsidTr="00960FE2">
        <w:trPr>
          <w:trHeight w:val="285"/>
          <w:jc w:val="center"/>
        </w:trPr>
        <w:tc>
          <w:tcPr>
            <w:tcW w:w="845"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auto"/>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auto"/>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13,305,552.98</w:t>
            </w:r>
          </w:p>
        </w:tc>
        <w:tc>
          <w:tcPr>
            <w:tcW w:w="1638" w:type="dxa"/>
            <w:tcBorders>
              <w:top w:val="single" w:sz="4" w:space="0" w:color="000000"/>
              <w:left w:val="single" w:sz="4" w:space="0" w:color="000000"/>
              <w:bottom w:val="single" w:sz="4" w:space="0" w:color="auto"/>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0.39</w:t>
            </w:r>
          </w:p>
        </w:tc>
      </w:tr>
      <w:tr w:rsidR="00531F10" w:rsidRPr="00414345" w:rsidTr="00960FE2">
        <w:trPr>
          <w:trHeight w:val="285"/>
          <w:jc w:val="center"/>
        </w:trPr>
        <w:tc>
          <w:tcPr>
            <w:tcW w:w="845"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auto"/>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auto"/>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auto"/>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124,361,898.20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109,110,106.28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2,078,043,990.79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61.50</w:t>
            </w:r>
          </w:p>
        </w:tc>
      </w:tr>
    </w:tbl>
    <w:p w:rsidR="00960FE2" w:rsidRDefault="00960FE2"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C0FDE">
        <w:trPr>
          <w:jc w:val="center"/>
        </w:trPr>
        <w:tc>
          <w:tcPr>
            <w:tcW w:w="855" w:type="dxa"/>
            <w:vAlign w:val="center"/>
          </w:tcPr>
          <w:p w:rsidR="003C0FDE" w:rsidRDefault="00A87035">
            <w:pPr>
              <w:jc w:val="center"/>
            </w:pPr>
            <w:r>
              <w:rPr>
                <w:color w:val="000000"/>
                <w:sz w:val="24"/>
                <w:szCs w:val="24"/>
              </w:rPr>
              <w:t>1</w:t>
            </w:r>
          </w:p>
        </w:tc>
        <w:tc>
          <w:tcPr>
            <w:tcW w:w="1334" w:type="dxa"/>
            <w:vAlign w:val="center"/>
          </w:tcPr>
          <w:p w:rsidR="003C0FDE" w:rsidRDefault="00A87035">
            <w:pPr>
              <w:jc w:val="center"/>
            </w:pPr>
            <w:r>
              <w:rPr>
                <w:color w:val="000000"/>
                <w:sz w:val="24"/>
                <w:szCs w:val="24"/>
              </w:rPr>
              <w:t>000002</w:t>
            </w:r>
          </w:p>
        </w:tc>
        <w:tc>
          <w:tcPr>
            <w:tcW w:w="1777" w:type="dxa"/>
            <w:vAlign w:val="center"/>
          </w:tcPr>
          <w:p w:rsidR="003C0FDE" w:rsidRDefault="00A87035">
            <w:pPr>
              <w:jc w:val="center"/>
            </w:pPr>
            <w:r>
              <w:rPr>
                <w:color w:val="000000"/>
                <w:sz w:val="24"/>
                <w:szCs w:val="24"/>
              </w:rPr>
              <w:t>万科</w:t>
            </w:r>
            <w:r>
              <w:rPr>
                <w:color w:val="000000"/>
                <w:sz w:val="24"/>
                <w:szCs w:val="24"/>
              </w:rPr>
              <w:t>A</w:t>
            </w:r>
          </w:p>
        </w:tc>
        <w:tc>
          <w:tcPr>
            <w:tcW w:w="1334" w:type="dxa"/>
            <w:vAlign w:val="center"/>
          </w:tcPr>
          <w:p w:rsidR="003C0FDE" w:rsidRDefault="00A87035">
            <w:pPr>
              <w:jc w:val="right"/>
            </w:pPr>
            <w:r>
              <w:rPr>
                <w:color w:val="000000"/>
                <w:sz w:val="24"/>
                <w:szCs w:val="24"/>
              </w:rPr>
              <w:t>11,073,335</w:t>
            </w:r>
          </w:p>
        </w:tc>
        <w:tc>
          <w:tcPr>
            <w:tcW w:w="1924" w:type="dxa"/>
            <w:vAlign w:val="center"/>
          </w:tcPr>
          <w:p w:rsidR="003C0FDE" w:rsidRDefault="00A87035">
            <w:pPr>
              <w:jc w:val="right"/>
            </w:pPr>
            <w:r>
              <w:rPr>
                <w:color w:val="000000"/>
                <w:sz w:val="24"/>
                <w:szCs w:val="24"/>
              </w:rPr>
              <w:t>284,031,042.75</w:t>
            </w:r>
          </w:p>
        </w:tc>
        <w:tc>
          <w:tcPr>
            <w:tcW w:w="1644" w:type="dxa"/>
            <w:vAlign w:val="center"/>
          </w:tcPr>
          <w:p w:rsidR="003C0FDE" w:rsidRDefault="00A87035">
            <w:pPr>
              <w:jc w:val="right"/>
            </w:pPr>
            <w:r>
              <w:rPr>
                <w:color w:val="000000"/>
                <w:sz w:val="24"/>
                <w:szCs w:val="24"/>
              </w:rPr>
              <w:t>8.41</w:t>
            </w:r>
          </w:p>
        </w:tc>
      </w:tr>
      <w:tr w:rsidR="003C0FDE">
        <w:trPr>
          <w:jc w:val="center"/>
        </w:trPr>
        <w:tc>
          <w:tcPr>
            <w:tcW w:w="855" w:type="dxa"/>
            <w:vAlign w:val="center"/>
          </w:tcPr>
          <w:p w:rsidR="003C0FDE" w:rsidRDefault="00A87035">
            <w:pPr>
              <w:jc w:val="center"/>
            </w:pPr>
            <w:r>
              <w:rPr>
                <w:color w:val="000000"/>
                <w:sz w:val="24"/>
                <w:szCs w:val="24"/>
              </w:rPr>
              <w:t>2</w:t>
            </w:r>
          </w:p>
        </w:tc>
        <w:tc>
          <w:tcPr>
            <w:tcW w:w="1334" w:type="dxa"/>
            <w:vAlign w:val="center"/>
          </w:tcPr>
          <w:p w:rsidR="003C0FDE" w:rsidRDefault="00A87035">
            <w:pPr>
              <w:jc w:val="center"/>
            </w:pPr>
            <w:r>
              <w:rPr>
                <w:color w:val="000000"/>
                <w:sz w:val="24"/>
                <w:szCs w:val="24"/>
              </w:rPr>
              <w:t>600048</w:t>
            </w:r>
          </w:p>
        </w:tc>
        <w:tc>
          <w:tcPr>
            <w:tcW w:w="1777" w:type="dxa"/>
            <w:vAlign w:val="center"/>
          </w:tcPr>
          <w:p w:rsidR="003C0FDE" w:rsidRDefault="00A87035">
            <w:pPr>
              <w:jc w:val="center"/>
            </w:pPr>
            <w:r>
              <w:rPr>
                <w:color w:val="000000"/>
                <w:sz w:val="24"/>
                <w:szCs w:val="24"/>
              </w:rPr>
              <w:t>保利地产</w:t>
            </w:r>
          </w:p>
        </w:tc>
        <w:tc>
          <w:tcPr>
            <w:tcW w:w="1334" w:type="dxa"/>
            <w:vAlign w:val="center"/>
          </w:tcPr>
          <w:p w:rsidR="003C0FDE" w:rsidRDefault="00A87035">
            <w:pPr>
              <w:jc w:val="right"/>
            </w:pPr>
            <w:r>
              <w:rPr>
                <w:color w:val="000000"/>
                <w:sz w:val="24"/>
                <w:szCs w:val="24"/>
              </w:rPr>
              <w:t>13,327,400</w:t>
            </w:r>
          </w:p>
        </w:tc>
        <w:tc>
          <w:tcPr>
            <w:tcW w:w="1924" w:type="dxa"/>
            <w:vAlign w:val="center"/>
          </w:tcPr>
          <w:p w:rsidR="003C0FDE" w:rsidRDefault="00A87035">
            <w:pPr>
              <w:jc w:val="right"/>
            </w:pPr>
            <w:r>
              <w:rPr>
                <w:color w:val="000000"/>
                <w:sz w:val="24"/>
                <w:szCs w:val="24"/>
              </w:rPr>
              <w:t>198,178,438.00</w:t>
            </w:r>
          </w:p>
        </w:tc>
        <w:tc>
          <w:tcPr>
            <w:tcW w:w="1644" w:type="dxa"/>
            <w:vAlign w:val="center"/>
          </w:tcPr>
          <w:p w:rsidR="003C0FDE" w:rsidRDefault="00A87035">
            <w:pPr>
              <w:jc w:val="right"/>
            </w:pPr>
            <w:r>
              <w:rPr>
                <w:color w:val="000000"/>
                <w:sz w:val="24"/>
                <w:szCs w:val="24"/>
              </w:rPr>
              <w:t>5.87</w:t>
            </w:r>
          </w:p>
        </w:tc>
      </w:tr>
      <w:tr w:rsidR="003C0FDE">
        <w:trPr>
          <w:jc w:val="center"/>
        </w:trPr>
        <w:tc>
          <w:tcPr>
            <w:tcW w:w="855" w:type="dxa"/>
            <w:vAlign w:val="center"/>
          </w:tcPr>
          <w:p w:rsidR="003C0FDE" w:rsidRDefault="00A87035">
            <w:pPr>
              <w:jc w:val="center"/>
            </w:pPr>
            <w:r>
              <w:rPr>
                <w:color w:val="000000"/>
                <w:sz w:val="24"/>
                <w:szCs w:val="24"/>
              </w:rPr>
              <w:t>3</w:t>
            </w:r>
          </w:p>
        </w:tc>
        <w:tc>
          <w:tcPr>
            <w:tcW w:w="1334" w:type="dxa"/>
            <w:vAlign w:val="center"/>
          </w:tcPr>
          <w:p w:rsidR="003C0FDE" w:rsidRDefault="00A87035">
            <w:pPr>
              <w:jc w:val="center"/>
            </w:pPr>
            <w:r>
              <w:rPr>
                <w:color w:val="000000"/>
                <w:sz w:val="24"/>
                <w:szCs w:val="24"/>
              </w:rPr>
              <w:t>002050</w:t>
            </w:r>
          </w:p>
        </w:tc>
        <w:tc>
          <w:tcPr>
            <w:tcW w:w="1777" w:type="dxa"/>
            <w:vAlign w:val="center"/>
          </w:tcPr>
          <w:p w:rsidR="003C0FDE" w:rsidRDefault="00A87035">
            <w:pPr>
              <w:jc w:val="center"/>
            </w:pPr>
            <w:r>
              <w:rPr>
                <w:color w:val="000000"/>
                <w:sz w:val="24"/>
                <w:szCs w:val="24"/>
              </w:rPr>
              <w:t>三花智控</w:t>
            </w:r>
          </w:p>
        </w:tc>
        <w:tc>
          <w:tcPr>
            <w:tcW w:w="1334" w:type="dxa"/>
            <w:vAlign w:val="center"/>
          </w:tcPr>
          <w:p w:rsidR="003C0FDE" w:rsidRDefault="00A87035">
            <w:pPr>
              <w:jc w:val="right"/>
            </w:pPr>
            <w:r>
              <w:rPr>
                <w:color w:val="000000"/>
                <w:sz w:val="24"/>
                <w:szCs w:val="24"/>
              </w:rPr>
              <w:t>11,037,708</w:t>
            </w:r>
          </w:p>
        </w:tc>
        <w:tc>
          <w:tcPr>
            <w:tcW w:w="1924" w:type="dxa"/>
            <w:vAlign w:val="center"/>
          </w:tcPr>
          <w:p w:rsidR="003C0FDE" w:rsidRDefault="00A87035">
            <w:pPr>
              <w:jc w:val="right"/>
            </w:pPr>
            <w:r>
              <w:rPr>
                <w:color w:val="000000"/>
                <w:sz w:val="24"/>
                <w:szCs w:val="24"/>
              </w:rPr>
              <w:t>177,375,967.56</w:t>
            </w:r>
          </w:p>
        </w:tc>
        <w:tc>
          <w:tcPr>
            <w:tcW w:w="1644" w:type="dxa"/>
            <w:vAlign w:val="center"/>
          </w:tcPr>
          <w:p w:rsidR="003C0FDE" w:rsidRDefault="00A87035">
            <w:pPr>
              <w:jc w:val="right"/>
            </w:pPr>
            <w:r>
              <w:rPr>
                <w:color w:val="000000"/>
                <w:sz w:val="24"/>
                <w:szCs w:val="24"/>
              </w:rPr>
              <w:t>5.25</w:t>
            </w:r>
          </w:p>
        </w:tc>
      </w:tr>
      <w:tr w:rsidR="003C0FDE">
        <w:trPr>
          <w:jc w:val="center"/>
        </w:trPr>
        <w:tc>
          <w:tcPr>
            <w:tcW w:w="855" w:type="dxa"/>
            <w:vAlign w:val="center"/>
          </w:tcPr>
          <w:p w:rsidR="003C0FDE" w:rsidRDefault="00A87035">
            <w:pPr>
              <w:jc w:val="center"/>
            </w:pPr>
            <w:r>
              <w:rPr>
                <w:color w:val="000000"/>
                <w:sz w:val="24"/>
                <w:szCs w:val="24"/>
              </w:rPr>
              <w:t>4</w:t>
            </w:r>
          </w:p>
        </w:tc>
        <w:tc>
          <w:tcPr>
            <w:tcW w:w="1334" w:type="dxa"/>
            <w:vAlign w:val="center"/>
          </w:tcPr>
          <w:p w:rsidR="003C0FDE" w:rsidRDefault="00A87035">
            <w:pPr>
              <w:jc w:val="center"/>
            </w:pPr>
            <w:r>
              <w:rPr>
                <w:color w:val="000000"/>
                <w:sz w:val="24"/>
                <w:szCs w:val="24"/>
              </w:rPr>
              <w:t>600383</w:t>
            </w:r>
          </w:p>
        </w:tc>
        <w:tc>
          <w:tcPr>
            <w:tcW w:w="1777" w:type="dxa"/>
            <w:vAlign w:val="center"/>
          </w:tcPr>
          <w:p w:rsidR="003C0FDE" w:rsidRDefault="00A87035">
            <w:pPr>
              <w:jc w:val="center"/>
            </w:pPr>
            <w:r>
              <w:rPr>
                <w:color w:val="000000"/>
                <w:sz w:val="24"/>
                <w:szCs w:val="24"/>
              </w:rPr>
              <w:t>金地集团</w:t>
            </w:r>
          </w:p>
        </w:tc>
        <w:tc>
          <w:tcPr>
            <w:tcW w:w="1334" w:type="dxa"/>
            <w:vAlign w:val="center"/>
          </w:tcPr>
          <w:p w:rsidR="003C0FDE" w:rsidRDefault="00A87035">
            <w:pPr>
              <w:jc w:val="right"/>
            </w:pPr>
            <w:r>
              <w:rPr>
                <w:color w:val="000000"/>
                <w:sz w:val="24"/>
                <w:szCs w:val="24"/>
              </w:rPr>
              <w:t>11,418,219</w:t>
            </w:r>
          </w:p>
        </w:tc>
        <w:tc>
          <w:tcPr>
            <w:tcW w:w="1924" w:type="dxa"/>
            <w:vAlign w:val="center"/>
          </w:tcPr>
          <w:p w:rsidR="003C0FDE" w:rsidRDefault="00A87035">
            <w:pPr>
              <w:jc w:val="right"/>
            </w:pPr>
            <w:r>
              <w:rPr>
                <w:color w:val="000000"/>
                <w:sz w:val="24"/>
                <w:szCs w:val="24"/>
              </w:rPr>
              <w:t>160,882,705.71</w:t>
            </w:r>
          </w:p>
        </w:tc>
        <w:tc>
          <w:tcPr>
            <w:tcW w:w="1644" w:type="dxa"/>
            <w:vAlign w:val="center"/>
          </w:tcPr>
          <w:p w:rsidR="003C0FDE" w:rsidRDefault="00A87035">
            <w:pPr>
              <w:jc w:val="right"/>
            </w:pPr>
            <w:r>
              <w:rPr>
                <w:color w:val="000000"/>
                <w:sz w:val="24"/>
                <w:szCs w:val="24"/>
              </w:rPr>
              <w:t>4.76</w:t>
            </w:r>
          </w:p>
        </w:tc>
      </w:tr>
      <w:tr w:rsidR="003C0FDE">
        <w:trPr>
          <w:jc w:val="center"/>
        </w:trPr>
        <w:tc>
          <w:tcPr>
            <w:tcW w:w="855" w:type="dxa"/>
            <w:vAlign w:val="center"/>
          </w:tcPr>
          <w:p w:rsidR="003C0FDE" w:rsidRDefault="00A87035">
            <w:pPr>
              <w:jc w:val="center"/>
            </w:pPr>
            <w:r>
              <w:rPr>
                <w:color w:val="000000"/>
                <w:sz w:val="24"/>
                <w:szCs w:val="24"/>
              </w:rPr>
              <w:t>5</w:t>
            </w:r>
          </w:p>
        </w:tc>
        <w:tc>
          <w:tcPr>
            <w:tcW w:w="1334" w:type="dxa"/>
            <w:vAlign w:val="center"/>
          </w:tcPr>
          <w:p w:rsidR="003C0FDE" w:rsidRDefault="00A87035">
            <w:pPr>
              <w:jc w:val="center"/>
            </w:pPr>
            <w:r>
              <w:rPr>
                <w:color w:val="000000"/>
                <w:sz w:val="24"/>
                <w:szCs w:val="24"/>
              </w:rPr>
              <w:t>300188</w:t>
            </w:r>
          </w:p>
        </w:tc>
        <w:tc>
          <w:tcPr>
            <w:tcW w:w="1777" w:type="dxa"/>
            <w:vAlign w:val="center"/>
          </w:tcPr>
          <w:p w:rsidR="003C0FDE" w:rsidRDefault="00A87035">
            <w:pPr>
              <w:jc w:val="center"/>
            </w:pPr>
            <w:r>
              <w:rPr>
                <w:color w:val="000000"/>
                <w:sz w:val="24"/>
                <w:szCs w:val="24"/>
              </w:rPr>
              <w:t>美亚柏科</w:t>
            </w:r>
          </w:p>
        </w:tc>
        <w:tc>
          <w:tcPr>
            <w:tcW w:w="1334" w:type="dxa"/>
            <w:vAlign w:val="center"/>
          </w:tcPr>
          <w:p w:rsidR="003C0FDE" w:rsidRDefault="00A87035">
            <w:pPr>
              <w:jc w:val="right"/>
            </w:pPr>
            <w:r>
              <w:rPr>
                <w:color w:val="000000"/>
                <w:sz w:val="24"/>
                <w:szCs w:val="24"/>
              </w:rPr>
              <w:t>7,686,070</w:t>
            </w:r>
          </w:p>
        </w:tc>
        <w:tc>
          <w:tcPr>
            <w:tcW w:w="1924" w:type="dxa"/>
            <w:vAlign w:val="center"/>
          </w:tcPr>
          <w:p w:rsidR="003C0FDE" w:rsidRDefault="00A87035">
            <w:pPr>
              <w:jc w:val="right"/>
            </w:pPr>
            <w:r>
              <w:rPr>
                <w:color w:val="000000"/>
                <w:sz w:val="24"/>
                <w:szCs w:val="24"/>
              </w:rPr>
              <w:t>156,257,803.10</w:t>
            </w:r>
          </w:p>
        </w:tc>
        <w:tc>
          <w:tcPr>
            <w:tcW w:w="1644" w:type="dxa"/>
            <w:vAlign w:val="center"/>
          </w:tcPr>
          <w:p w:rsidR="003C0FDE" w:rsidRDefault="00A87035">
            <w:pPr>
              <w:jc w:val="right"/>
            </w:pPr>
            <w:r>
              <w:rPr>
                <w:color w:val="000000"/>
                <w:sz w:val="24"/>
                <w:szCs w:val="24"/>
              </w:rPr>
              <w:t>4.62</w:t>
            </w:r>
          </w:p>
        </w:tc>
      </w:tr>
      <w:tr w:rsidR="003C0FDE">
        <w:trPr>
          <w:jc w:val="center"/>
        </w:trPr>
        <w:tc>
          <w:tcPr>
            <w:tcW w:w="855" w:type="dxa"/>
            <w:vAlign w:val="center"/>
          </w:tcPr>
          <w:p w:rsidR="003C0FDE" w:rsidRDefault="00A87035">
            <w:pPr>
              <w:jc w:val="center"/>
            </w:pPr>
            <w:r>
              <w:rPr>
                <w:color w:val="000000"/>
                <w:sz w:val="24"/>
                <w:szCs w:val="24"/>
              </w:rPr>
              <w:t>6</w:t>
            </w:r>
          </w:p>
        </w:tc>
        <w:tc>
          <w:tcPr>
            <w:tcW w:w="1334" w:type="dxa"/>
            <w:vAlign w:val="center"/>
          </w:tcPr>
          <w:p w:rsidR="003C0FDE" w:rsidRDefault="00A87035">
            <w:pPr>
              <w:jc w:val="center"/>
            </w:pPr>
            <w:r>
              <w:rPr>
                <w:color w:val="000000"/>
                <w:sz w:val="24"/>
                <w:szCs w:val="24"/>
              </w:rPr>
              <w:t>300271</w:t>
            </w:r>
          </w:p>
        </w:tc>
        <w:tc>
          <w:tcPr>
            <w:tcW w:w="1777" w:type="dxa"/>
            <w:vAlign w:val="center"/>
          </w:tcPr>
          <w:p w:rsidR="003C0FDE" w:rsidRDefault="00A87035">
            <w:pPr>
              <w:jc w:val="center"/>
            </w:pPr>
            <w:r>
              <w:rPr>
                <w:color w:val="000000"/>
                <w:sz w:val="24"/>
                <w:szCs w:val="24"/>
              </w:rPr>
              <w:t>华宇软件</w:t>
            </w:r>
          </w:p>
        </w:tc>
        <w:tc>
          <w:tcPr>
            <w:tcW w:w="1334" w:type="dxa"/>
            <w:vAlign w:val="center"/>
          </w:tcPr>
          <w:p w:rsidR="003C0FDE" w:rsidRDefault="00A87035">
            <w:pPr>
              <w:jc w:val="right"/>
            </w:pPr>
            <w:r>
              <w:rPr>
                <w:color w:val="000000"/>
                <w:sz w:val="24"/>
                <w:szCs w:val="24"/>
              </w:rPr>
              <w:t>6,040,686</w:t>
            </w:r>
          </w:p>
        </w:tc>
        <w:tc>
          <w:tcPr>
            <w:tcW w:w="1924" w:type="dxa"/>
            <w:vAlign w:val="center"/>
          </w:tcPr>
          <w:p w:rsidR="003C0FDE" w:rsidRDefault="00A87035">
            <w:pPr>
              <w:jc w:val="right"/>
            </w:pPr>
            <w:r>
              <w:rPr>
                <w:color w:val="000000"/>
                <w:sz w:val="24"/>
                <w:szCs w:val="24"/>
              </w:rPr>
              <w:t>155,849,698.80</w:t>
            </w:r>
          </w:p>
        </w:tc>
        <w:tc>
          <w:tcPr>
            <w:tcW w:w="1644" w:type="dxa"/>
            <w:vAlign w:val="center"/>
          </w:tcPr>
          <w:p w:rsidR="003C0FDE" w:rsidRDefault="00A87035">
            <w:pPr>
              <w:jc w:val="right"/>
            </w:pPr>
            <w:r>
              <w:rPr>
                <w:color w:val="000000"/>
                <w:sz w:val="24"/>
                <w:szCs w:val="24"/>
              </w:rPr>
              <w:t>4.61</w:t>
            </w:r>
          </w:p>
        </w:tc>
      </w:tr>
      <w:tr w:rsidR="003C0FDE">
        <w:trPr>
          <w:jc w:val="center"/>
        </w:trPr>
        <w:tc>
          <w:tcPr>
            <w:tcW w:w="855" w:type="dxa"/>
            <w:vAlign w:val="center"/>
          </w:tcPr>
          <w:p w:rsidR="003C0FDE" w:rsidRDefault="00A87035">
            <w:pPr>
              <w:jc w:val="center"/>
            </w:pPr>
            <w:r>
              <w:rPr>
                <w:color w:val="000000"/>
                <w:sz w:val="24"/>
                <w:szCs w:val="24"/>
              </w:rPr>
              <w:t>7</w:t>
            </w:r>
          </w:p>
        </w:tc>
        <w:tc>
          <w:tcPr>
            <w:tcW w:w="1334" w:type="dxa"/>
            <w:vAlign w:val="center"/>
          </w:tcPr>
          <w:p w:rsidR="003C0FDE" w:rsidRDefault="00A87035">
            <w:pPr>
              <w:jc w:val="center"/>
            </w:pPr>
            <w:r>
              <w:rPr>
                <w:color w:val="000000"/>
                <w:sz w:val="24"/>
                <w:szCs w:val="24"/>
              </w:rPr>
              <w:t>600529</w:t>
            </w:r>
          </w:p>
        </w:tc>
        <w:tc>
          <w:tcPr>
            <w:tcW w:w="1777" w:type="dxa"/>
            <w:vAlign w:val="center"/>
          </w:tcPr>
          <w:p w:rsidR="003C0FDE" w:rsidRDefault="00A87035">
            <w:pPr>
              <w:jc w:val="center"/>
            </w:pPr>
            <w:r>
              <w:rPr>
                <w:color w:val="000000"/>
                <w:sz w:val="24"/>
                <w:szCs w:val="24"/>
              </w:rPr>
              <w:t>山东药玻</w:t>
            </w:r>
          </w:p>
        </w:tc>
        <w:tc>
          <w:tcPr>
            <w:tcW w:w="1334" w:type="dxa"/>
            <w:vAlign w:val="center"/>
          </w:tcPr>
          <w:p w:rsidR="003C0FDE" w:rsidRDefault="00A87035">
            <w:pPr>
              <w:jc w:val="right"/>
            </w:pPr>
            <w:r>
              <w:rPr>
                <w:color w:val="000000"/>
                <w:sz w:val="24"/>
                <w:szCs w:val="24"/>
              </w:rPr>
              <w:t>3,737,305</w:t>
            </w:r>
          </w:p>
        </w:tc>
        <w:tc>
          <w:tcPr>
            <w:tcW w:w="1924" w:type="dxa"/>
            <w:vAlign w:val="center"/>
          </w:tcPr>
          <w:p w:rsidR="003C0FDE" w:rsidRDefault="00A87035">
            <w:pPr>
              <w:jc w:val="right"/>
            </w:pPr>
            <w:r>
              <w:rPr>
                <w:color w:val="000000"/>
                <w:sz w:val="24"/>
                <w:szCs w:val="24"/>
              </w:rPr>
              <w:t>125,165,701.90</w:t>
            </w:r>
          </w:p>
        </w:tc>
        <w:tc>
          <w:tcPr>
            <w:tcW w:w="1644" w:type="dxa"/>
            <w:vAlign w:val="center"/>
          </w:tcPr>
          <w:p w:rsidR="003C0FDE" w:rsidRDefault="00A87035">
            <w:pPr>
              <w:jc w:val="right"/>
            </w:pPr>
            <w:r>
              <w:rPr>
                <w:color w:val="000000"/>
                <w:sz w:val="24"/>
                <w:szCs w:val="24"/>
              </w:rPr>
              <w:t>3.70</w:t>
            </w:r>
          </w:p>
        </w:tc>
      </w:tr>
      <w:tr w:rsidR="003C0FDE">
        <w:trPr>
          <w:jc w:val="center"/>
        </w:trPr>
        <w:tc>
          <w:tcPr>
            <w:tcW w:w="855" w:type="dxa"/>
            <w:vAlign w:val="center"/>
          </w:tcPr>
          <w:p w:rsidR="003C0FDE" w:rsidRDefault="00A87035">
            <w:pPr>
              <w:jc w:val="center"/>
            </w:pPr>
            <w:r>
              <w:rPr>
                <w:color w:val="000000"/>
                <w:sz w:val="24"/>
                <w:szCs w:val="24"/>
              </w:rPr>
              <w:t>8</w:t>
            </w:r>
          </w:p>
        </w:tc>
        <w:tc>
          <w:tcPr>
            <w:tcW w:w="1334" w:type="dxa"/>
            <w:vAlign w:val="center"/>
          </w:tcPr>
          <w:p w:rsidR="003C0FDE" w:rsidRDefault="00A87035">
            <w:pPr>
              <w:jc w:val="center"/>
            </w:pPr>
            <w:r>
              <w:rPr>
                <w:color w:val="000000"/>
                <w:sz w:val="24"/>
                <w:szCs w:val="24"/>
              </w:rPr>
              <w:t>002044</w:t>
            </w:r>
          </w:p>
        </w:tc>
        <w:tc>
          <w:tcPr>
            <w:tcW w:w="1777" w:type="dxa"/>
            <w:vAlign w:val="center"/>
          </w:tcPr>
          <w:p w:rsidR="003C0FDE" w:rsidRDefault="00A87035">
            <w:pPr>
              <w:jc w:val="center"/>
            </w:pPr>
            <w:r>
              <w:rPr>
                <w:color w:val="000000"/>
                <w:sz w:val="24"/>
                <w:szCs w:val="24"/>
              </w:rPr>
              <w:t>美年健康</w:t>
            </w:r>
          </w:p>
        </w:tc>
        <w:tc>
          <w:tcPr>
            <w:tcW w:w="1334" w:type="dxa"/>
            <w:vAlign w:val="center"/>
          </w:tcPr>
          <w:p w:rsidR="003C0FDE" w:rsidRDefault="00A87035">
            <w:pPr>
              <w:jc w:val="right"/>
            </w:pPr>
            <w:r>
              <w:rPr>
                <w:color w:val="000000"/>
                <w:sz w:val="24"/>
                <w:szCs w:val="24"/>
              </w:rPr>
              <w:t>10,530,220</w:t>
            </w:r>
          </w:p>
        </w:tc>
        <w:tc>
          <w:tcPr>
            <w:tcW w:w="1924" w:type="dxa"/>
            <w:vAlign w:val="center"/>
          </w:tcPr>
          <w:p w:rsidR="003C0FDE" w:rsidRDefault="00A87035">
            <w:pPr>
              <w:jc w:val="right"/>
            </w:pPr>
            <w:r>
              <w:rPr>
                <w:color w:val="000000"/>
                <w:sz w:val="24"/>
                <w:szCs w:val="24"/>
              </w:rPr>
              <w:t>124,361,898.20</w:t>
            </w:r>
          </w:p>
        </w:tc>
        <w:tc>
          <w:tcPr>
            <w:tcW w:w="1644" w:type="dxa"/>
            <w:vAlign w:val="center"/>
          </w:tcPr>
          <w:p w:rsidR="003C0FDE" w:rsidRDefault="00A87035">
            <w:pPr>
              <w:jc w:val="right"/>
            </w:pPr>
            <w:r>
              <w:rPr>
                <w:color w:val="000000"/>
                <w:sz w:val="24"/>
                <w:szCs w:val="24"/>
              </w:rPr>
              <w:t>3.68</w:t>
            </w:r>
          </w:p>
        </w:tc>
      </w:tr>
      <w:tr w:rsidR="003C0FDE">
        <w:trPr>
          <w:jc w:val="center"/>
        </w:trPr>
        <w:tc>
          <w:tcPr>
            <w:tcW w:w="855" w:type="dxa"/>
            <w:vAlign w:val="center"/>
          </w:tcPr>
          <w:p w:rsidR="003C0FDE" w:rsidRDefault="00A87035">
            <w:pPr>
              <w:jc w:val="center"/>
            </w:pPr>
            <w:r>
              <w:rPr>
                <w:color w:val="000000"/>
                <w:sz w:val="24"/>
                <w:szCs w:val="24"/>
              </w:rPr>
              <w:t>9</w:t>
            </w:r>
          </w:p>
        </w:tc>
        <w:tc>
          <w:tcPr>
            <w:tcW w:w="1334" w:type="dxa"/>
            <w:vAlign w:val="center"/>
          </w:tcPr>
          <w:p w:rsidR="003C0FDE" w:rsidRDefault="00A87035">
            <w:pPr>
              <w:jc w:val="center"/>
            </w:pPr>
            <w:r>
              <w:rPr>
                <w:color w:val="000000"/>
                <w:sz w:val="24"/>
                <w:szCs w:val="24"/>
              </w:rPr>
              <w:t>000501</w:t>
            </w:r>
          </w:p>
        </w:tc>
        <w:tc>
          <w:tcPr>
            <w:tcW w:w="1777" w:type="dxa"/>
            <w:vAlign w:val="center"/>
          </w:tcPr>
          <w:p w:rsidR="003C0FDE" w:rsidRDefault="00A87035">
            <w:pPr>
              <w:jc w:val="center"/>
            </w:pPr>
            <w:r>
              <w:rPr>
                <w:color w:val="000000"/>
                <w:sz w:val="24"/>
                <w:szCs w:val="24"/>
              </w:rPr>
              <w:t>鄂武商</w:t>
            </w:r>
            <w:r>
              <w:rPr>
                <w:color w:val="000000"/>
                <w:sz w:val="24"/>
                <w:szCs w:val="24"/>
              </w:rPr>
              <w:t>A</w:t>
            </w:r>
          </w:p>
        </w:tc>
        <w:tc>
          <w:tcPr>
            <w:tcW w:w="1334" w:type="dxa"/>
            <w:vAlign w:val="center"/>
          </w:tcPr>
          <w:p w:rsidR="003C0FDE" w:rsidRDefault="00A87035">
            <w:pPr>
              <w:jc w:val="right"/>
            </w:pPr>
            <w:r>
              <w:rPr>
                <w:color w:val="000000"/>
                <w:sz w:val="24"/>
                <w:szCs w:val="24"/>
              </w:rPr>
              <w:t>7,375,909</w:t>
            </w:r>
          </w:p>
        </w:tc>
        <w:tc>
          <w:tcPr>
            <w:tcW w:w="1924" w:type="dxa"/>
            <w:vAlign w:val="center"/>
          </w:tcPr>
          <w:p w:rsidR="003C0FDE" w:rsidRDefault="00A87035">
            <w:pPr>
              <w:jc w:val="right"/>
            </w:pPr>
            <w:r>
              <w:rPr>
                <w:color w:val="000000"/>
                <w:sz w:val="24"/>
                <w:szCs w:val="24"/>
              </w:rPr>
              <w:t>84,675,435.32</w:t>
            </w:r>
          </w:p>
        </w:tc>
        <w:tc>
          <w:tcPr>
            <w:tcW w:w="1644" w:type="dxa"/>
            <w:vAlign w:val="center"/>
          </w:tcPr>
          <w:p w:rsidR="003C0FDE" w:rsidRDefault="00A87035">
            <w:pPr>
              <w:jc w:val="right"/>
            </w:pPr>
            <w:r>
              <w:rPr>
                <w:color w:val="000000"/>
                <w:sz w:val="24"/>
                <w:szCs w:val="24"/>
              </w:rPr>
              <w:t>2.51</w:t>
            </w:r>
          </w:p>
        </w:tc>
      </w:tr>
      <w:tr w:rsidR="003C0FDE">
        <w:trPr>
          <w:jc w:val="center"/>
        </w:trPr>
        <w:tc>
          <w:tcPr>
            <w:tcW w:w="855" w:type="dxa"/>
            <w:vAlign w:val="center"/>
          </w:tcPr>
          <w:p w:rsidR="003C0FDE" w:rsidRDefault="00A87035">
            <w:pPr>
              <w:jc w:val="center"/>
            </w:pPr>
            <w:r>
              <w:rPr>
                <w:color w:val="000000"/>
                <w:sz w:val="24"/>
                <w:szCs w:val="24"/>
              </w:rPr>
              <w:t>10</w:t>
            </w:r>
          </w:p>
        </w:tc>
        <w:tc>
          <w:tcPr>
            <w:tcW w:w="1334" w:type="dxa"/>
            <w:vAlign w:val="center"/>
          </w:tcPr>
          <w:p w:rsidR="003C0FDE" w:rsidRDefault="00A87035">
            <w:pPr>
              <w:jc w:val="center"/>
            </w:pPr>
            <w:r>
              <w:rPr>
                <w:color w:val="000000"/>
                <w:sz w:val="24"/>
                <w:szCs w:val="24"/>
              </w:rPr>
              <w:t>603096</w:t>
            </w:r>
          </w:p>
        </w:tc>
        <w:tc>
          <w:tcPr>
            <w:tcW w:w="1777" w:type="dxa"/>
            <w:vAlign w:val="center"/>
          </w:tcPr>
          <w:p w:rsidR="003C0FDE" w:rsidRDefault="00A87035">
            <w:pPr>
              <w:jc w:val="center"/>
            </w:pPr>
            <w:r>
              <w:rPr>
                <w:color w:val="000000"/>
                <w:sz w:val="24"/>
                <w:szCs w:val="24"/>
              </w:rPr>
              <w:t>新经典</w:t>
            </w:r>
          </w:p>
        </w:tc>
        <w:tc>
          <w:tcPr>
            <w:tcW w:w="1334" w:type="dxa"/>
            <w:vAlign w:val="center"/>
          </w:tcPr>
          <w:p w:rsidR="003C0FDE" w:rsidRDefault="00A87035">
            <w:pPr>
              <w:jc w:val="right"/>
            </w:pPr>
            <w:r>
              <w:rPr>
                <w:color w:val="000000"/>
                <w:sz w:val="24"/>
                <w:szCs w:val="24"/>
              </w:rPr>
              <w:t>1,609,253</w:t>
            </w:r>
          </w:p>
        </w:tc>
        <w:tc>
          <w:tcPr>
            <w:tcW w:w="1924" w:type="dxa"/>
            <w:vAlign w:val="center"/>
          </w:tcPr>
          <w:p w:rsidR="003C0FDE" w:rsidRDefault="00A87035">
            <w:pPr>
              <w:jc w:val="right"/>
            </w:pPr>
            <w:r>
              <w:rPr>
                <w:color w:val="000000"/>
                <w:sz w:val="24"/>
                <w:szCs w:val="24"/>
              </w:rPr>
              <w:t>82,477,284.68</w:t>
            </w:r>
          </w:p>
        </w:tc>
        <w:tc>
          <w:tcPr>
            <w:tcW w:w="1644" w:type="dxa"/>
            <w:vAlign w:val="center"/>
          </w:tcPr>
          <w:p w:rsidR="003C0FDE" w:rsidRDefault="00A87035">
            <w:pPr>
              <w:jc w:val="right"/>
            </w:pPr>
            <w:r>
              <w:rPr>
                <w:color w:val="000000"/>
                <w:sz w:val="24"/>
                <w:szCs w:val="24"/>
              </w:rPr>
              <w:t>2.44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190,531,000.00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190,531,000.00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5.64</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190,531,000.00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5.64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C0FDE">
        <w:trPr>
          <w:jc w:val="center"/>
        </w:trPr>
        <w:tc>
          <w:tcPr>
            <w:tcW w:w="850" w:type="dxa"/>
            <w:vAlign w:val="center"/>
          </w:tcPr>
          <w:p w:rsidR="003C0FDE" w:rsidRDefault="00A87035">
            <w:pPr>
              <w:jc w:val="center"/>
            </w:pPr>
            <w:r>
              <w:rPr>
                <w:color w:val="000000"/>
                <w:sz w:val="24"/>
                <w:szCs w:val="24"/>
              </w:rPr>
              <w:t>1</w:t>
            </w:r>
          </w:p>
        </w:tc>
        <w:tc>
          <w:tcPr>
            <w:tcW w:w="1475" w:type="dxa"/>
            <w:vAlign w:val="center"/>
          </w:tcPr>
          <w:p w:rsidR="003C0FDE" w:rsidRDefault="00A87035">
            <w:pPr>
              <w:jc w:val="center"/>
            </w:pPr>
            <w:r>
              <w:rPr>
                <w:color w:val="000000"/>
                <w:sz w:val="24"/>
                <w:szCs w:val="24"/>
              </w:rPr>
              <w:t>190405</w:t>
            </w:r>
          </w:p>
        </w:tc>
        <w:tc>
          <w:tcPr>
            <w:tcW w:w="1769" w:type="dxa"/>
            <w:vAlign w:val="center"/>
          </w:tcPr>
          <w:p w:rsidR="003C0FDE" w:rsidRDefault="00A87035">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3C0FDE" w:rsidRDefault="00A87035">
            <w:pPr>
              <w:jc w:val="right"/>
            </w:pPr>
            <w:r>
              <w:rPr>
                <w:color w:val="000000"/>
                <w:sz w:val="24"/>
                <w:szCs w:val="24"/>
              </w:rPr>
              <w:t>1,100,000</w:t>
            </w:r>
          </w:p>
        </w:tc>
        <w:tc>
          <w:tcPr>
            <w:tcW w:w="2150" w:type="dxa"/>
            <w:vAlign w:val="center"/>
          </w:tcPr>
          <w:p w:rsidR="003C0FDE" w:rsidRDefault="00A87035">
            <w:pPr>
              <w:jc w:val="right"/>
            </w:pPr>
            <w:r>
              <w:rPr>
                <w:color w:val="000000"/>
                <w:sz w:val="24"/>
                <w:szCs w:val="24"/>
              </w:rPr>
              <w:t>110,275,000.00</w:t>
            </w:r>
          </w:p>
        </w:tc>
        <w:tc>
          <w:tcPr>
            <w:tcW w:w="1237" w:type="dxa"/>
            <w:vAlign w:val="center"/>
          </w:tcPr>
          <w:p w:rsidR="003C0FDE" w:rsidRDefault="00A87035">
            <w:pPr>
              <w:jc w:val="right"/>
            </w:pPr>
            <w:r>
              <w:rPr>
                <w:color w:val="000000"/>
                <w:sz w:val="24"/>
                <w:szCs w:val="24"/>
              </w:rPr>
              <w:t>3.26</w:t>
            </w:r>
          </w:p>
        </w:tc>
      </w:tr>
      <w:tr w:rsidR="003C0FDE">
        <w:trPr>
          <w:jc w:val="center"/>
        </w:trPr>
        <w:tc>
          <w:tcPr>
            <w:tcW w:w="850" w:type="dxa"/>
            <w:vAlign w:val="center"/>
          </w:tcPr>
          <w:p w:rsidR="003C0FDE" w:rsidRDefault="00A87035">
            <w:pPr>
              <w:jc w:val="center"/>
            </w:pPr>
            <w:r>
              <w:rPr>
                <w:color w:val="000000"/>
                <w:sz w:val="24"/>
                <w:szCs w:val="24"/>
              </w:rPr>
              <w:t>2</w:t>
            </w:r>
          </w:p>
        </w:tc>
        <w:tc>
          <w:tcPr>
            <w:tcW w:w="1475" w:type="dxa"/>
            <w:vAlign w:val="center"/>
          </w:tcPr>
          <w:p w:rsidR="003C0FDE" w:rsidRDefault="00A87035">
            <w:pPr>
              <w:jc w:val="center"/>
            </w:pPr>
            <w:r>
              <w:rPr>
                <w:color w:val="000000"/>
                <w:sz w:val="24"/>
                <w:szCs w:val="24"/>
              </w:rPr>
              <w:t>190307</w:t>
            </w:r>
          </w:p>
        </w:tc>
        <w:tc>
          <w:tcPr>
            <w:tcW w:w="1769" w:type="dxa"/>
            <w:vAlign w:val="center"/>
          </w:tcPr>
          <w:p w:rsidR="003C0FDE" w:rsidRDefault="00A87035">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3C0FDE" w:rsidRDefault="00A87035">
            <w:pPr>
              <w:jc w:val="right"/>
            </w:pPr>
            <w:r>
              <w:rPr>
                <w:color w:val="000000"/>
                <w:sz w:val="24"/>
                <w:szCs w:val="24"/>
              </w:rPr>
              <w:t>400,000</w:t>
            </w:r>
          </w:p>
        </w:tc>
        <w:tc>
          <w:tcPr>
            <w:tcW w:w="2150" w:type="dxa"/>
            <w:vAlign w:val="center"/>
          </w:tcPr>
          <w:p w:rsidR="003C0FDE" w:rsidRDefault="00A87035">
            <w:pPr>
              <w:jc w:val="right"/>
            </w:pPr>
            <w:r>
              <w:rPr>
                <w:color w:val="000000"/>
                <w:sz w:val="24"/>
                <w:szCs w:val="24"/>
              </w:rPr>
              <w:t>40,224,000.00</w:t>
            </w:r>
          </w:p>
        </w:tc>
        <w:tc>
          <w:tcPr>
            <w:tcW w:w="1237" w:type="dxa"/>
            <w:vAlign w:val="center"/>
          </w:tcPr>
          <w:p w:rsidR="003C0FDE" w:rsidRDefault="00A87035">
            <w:pPr>
              <w:jc w:val="right"/>
            </w:pPr>
            <w:r>
              <w:rPr>
                <w:color w:val="000000"/>
                <w:sz w:val="24"/>
                <w:szCs w:val="24"/>
              </w:rPr>
              <w:t>1.19</w:t>
            </w:r>
          </w:p>
        </w:tc>
      </w:tr>
      <w:tr w:rsidR="003C0FDE">
        <w:trPr>
          <w:jc w:val="center"/>
        </w:trPr>
        <w:tc>
          <w:tcPr>
            <w:tcW w:w="850" w:type="dxa"/>
            <w:vAlign w:val="center"/>
          </w:tcPr>
          <w:p w:rsidR="003C0FDE" w:rsidRDefault="00A87035">
            <w:pPr>
              <w:jc w:val="center"/>
            </w:pPr>
            <w:r>
              <w:rPr>
                <w:color w:val="000000"/>
                <w:sz w:val="24"/>
                <w:szCs w:val="24"/>
              </w:rPr>
              <w:t>3</w:t>
            </w:r>
          </w:p>
        </w:tc>
        <w:tc>
          <w:tcPr>
            <w:tcW w:w="1475" w:type="dxa"/>
            <w:vAlign w:val="center"/>
          </w:tcPr>
          <w:p w:rsidR="003C0FDE" w:rsidRDefault="00A87035">
            <w:pPr>
              <w:jc w:val="center"/>
            </w:pPr>
            <w:r>
              <w:rPr>
                <w:color w:val="000000"/>
                <w:sz w:val="24"/>
                <w:szCs w:val="24"/>
              </w:rPr>
              <w:t>190206</w:t>
            </w:r>
          </w:p>
        </w:tc>
        <w:tc>
          <w:tcPr>
            <w:tcW w:w="1769" w:type="dxa"/>
            <w:vAlign w:val="center"/>
          </w:tcPr>
          <w:p w:rsidR="003C0FDE" w:rsidRDefault="00A87035">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3C0FDE" w:rsidRDefault="00A87035">
            <w:pPr>
              <w:jc w:val="right"/>
            </w:pPr>
            <w:r>
              <w:rPr>
                <w:color w:val="000000"/>
                <w:sz w:val="24"/>
                <w:szCs w:val="24"/>
              </w:rPr>
              <w:t>400,000</w:t>
            </w:r>
          </w:p>
        </w:tc>
        <w:tc>
          <w:tcPr>
            <w:tcW w:w="2150" w:type="dxa"/>
            <w:vAlign w:val="center"/>
          </w:tcPr>
          <w:p w:rsidR="003C0FDE" w:rsidRDefault="00A87035">
            <w:pPr>
              <w:jc w:val="right"/>
            </w:pPr>
            <w:r>
              <w:rPr>
                <w:color w:val="000000"/>
                <w:sz w:val="24"/>
                <w:szCs w:val="24"/>
              </w:rPr>
              <w:t>40,032,000.00</w:t>
            </w:r>
          </w:p>
        </w:tc>
        <w:tc>
          <w:tcPr>
            <w:tcW w:w="1237" w:type="dxa"/>
            <w:vAlign w:val="center"/>
          </w:tcPr>
          <w:p w:rsidR="003C0FDE" w:rsidRDefault="00A87035">
            <w:pPr>
              <w:jc w:val="right"/>
            </w:pPr>
            <w:r>
              <w:rPr>
                <w:color w:val="000000"/>
                <w:sz w:val="24"/>
                <w:szCs w:val="24"/>
              </w:rPr>
              <w:t>1.18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960FE2" w:rsidRPr="00414345" w:rsidRDefault="00960FE2"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960FE2" w:rsidRDefault="004061AC" w:rsidP="00C15CAC">
      <w:pPr>
        <w:autoSpaceDE w:val="0"/>
        <w:autoSpaceDN w:val="0"/>
        <w:adjustRightInd w:val="0"/>
        <w:spacing w:before="29" w:line="288" w:lineRule="auto"/>
        <w:jc w:val="left"/>
        <w:rPr>
          <w:color w:val="00000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1,055,468.62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12,159,438.70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3,829,412.14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1,332,406.47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18,376,725.93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960FE2" w:rsidRPr="00414345" w:rsidRDefault="00960FE2"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3C0FDE">
        <w:trPr>
          <w:jc w:val="center"/>
        </w:trPr>
        <w:tc>
          <w:tcPr>
            <w:tcW w:w="1129" w:type="dxa"/>
            <w:vAlign w:val="center"/>
          </w:tcPr>
          <w:p w:rsidR="003C0FDE" w:rsidRDefault="00A87035">
            <w:pPr>
              <w:jc w:val="center"/>
            </w:pPr>
            <w:r>
              <w:rPr>
                <w:color w:val="000000"/>
                <w:sz w:val="24"/>
                <w:szCs w:val="24"/>
              </w:rPr>
              <w:t>1</w:t>
            </w:r>
          </w:p>
        </w:tc>
        <w:tc>
          <w:tcPr>
            <w:tcW w:w="1356" w:type="dxa"/>
            <w:vAlign w:val="center"/>
          </w:tcPr>
          <w:p w:rsidR="003C0FDE" w:rsidRDefault="00A87035">
            <w:pPr>
              <w:jc w:val="center"/>
            </w:pPr>
            <w:r>
              <w:rPr>
                <w:color w:val="000000"/>
                <w:sz w:val="24"/>
                <w:szCs w:val="24"/>
              </w:rPr>
              <w:t>603096</w:t>
            </w:r>
          </w:p>
        </w:tc>
        <w:tc>
          <w:tcPr>
            <w:tcW w:w="1355" w:type="dxa"/>
            <w:vAlign w:val="center"/>
          </w:tcPr>
          <w:p w:rsidR="003C0FDE" w:rsidRDefault="00A87035">
            <w:pPr>
              <w:jc w:val="center"/>
            </w:pPr>
            <w:r>
              <w:rPr>
                <w:color w:val="000000"/>
                <w:sz w:val="24"/>
                <w:szCs w:val="24"/>
              </w:rPr>
              <w:t>新经典</w:t>
            </w:r>
          </w:p>
        </w:tc>
        <w:tc>
          <w:tcPr>
            <w:tcW w:w="1880" w:type="dxa"/>
            <w:vAlign w:val="center"/>
          </w:tcPr>
          <w:p w:rsidR="003C0FDE" w:rsidRDefault="00A87035">
            <w:pPr>
              <w:jc w:val="right"/>
            </w:pPr>
            <w:r>
              <w:rPr>
                <w:color w:val="000000"/>
                <w:sz w:val="24"/>
                <w:szCs w:val="24"/>
              </w:rPr>
              <w:t>18,581,400.00</w:t>
            </w:r>
          </w:p>
        </w:tc>
        <w:tc>
          <w:tcPr>
            <w:tcW w:w="1724" w:type="dxa"/>
            <w:vAlign w:val="center"/>
          </w:tcPr>
          <w:p w:rsidR="003C0FDE" w:rsidRDefault="00A87035">
            <w:pPr>
              <w:jc w:val="right"/>
            </w:pPr>
            <w:r>
              <w:rPr>
                <w:color w:val="000000"/>
                <w:sz w:val="24"/>
                <w:szCs w:val="24"/>
              </w:rPr>
              <w:t>0.55</w:t>
            </w:r>
          </w:p>
        </w:tc>
        <w:tc>
          <w:tcPr>
            <w:tcW w:w="1424" w:type="dxa"/>
            <w:vAlign w:val="center"/>
          </w:tcPr>
          <w:p w:rsidR="003C0FDE" w:rsidRDefault="00A87035">
            <w:pPr>
              <w:jc w:val="right"/>
            </w:pPr>
            <w:r>
              <w:rPr>
                <w:color w:val="000000"/>
                <w:sz w:val="24"/>
                <w:szCs w:val="24"/>
              </w:rPr>
              <w:t>限售股</w:t>
            </w:r>
          </w:p>
        </w:tc>
      </w:tr>
      <w:tr w:rsidR="003C0FDE">
        <w:trPr>
          <w:jc w:val="center"/>
        </w:trPr>
        <w:tc>
          <w:tcPr>
            <w:tcW w:w="1129" w:type="dxa"/>
            <w:vAlign w:val="center"/>
          </w:tcPr>
          <w:p w:rsidR="003C0FDE" w:rsidRDefault="00A87035">
            <w:pPr>
              <w:jc w:val="center"/>
            </w:pPr>
            <w:r>
              <w:rPr>
                <w:color w:val="000000"/>
                <w:sz w:val="24"/>
                <w:szCs w:val="24"/>
              </w:rPr>
              <w:t>2</w:t>
            </w:r>
          </w:p>
        </w:tc>
        <w:tc>
          <w:tcPr>
            <w:tcW w:w="1356" w:type="dxa"/>
            <w:vAlign w:val="center"/>
          </w:tcPr>
          <w:p w:rsidR="003C0FDE" w:rsidRDefault="00A87035">
            <w:pPr>
              <w:jc w:val="center"/>
            </w:pPr>
            <w:r>
              <w:rPr>
                <w:color w:val="000000"/>
                <w:sz w:val="24"/>
                <w:szCs w:val="24"/>
              </w:rPr>
              <w:t>600529</w:t>
            </w:r>
          </w:p>
        </w:tc>
        <w:tc>
          <w:tcPr>
            <w:tcW w:w="1355" w:type="dxa"/>
            <w:vAlign w:val="center"/>
          </w:tcPr>
          <w:p w:rsidR="003C0FDE" w:rsidRDefault="00A87035">
            <w:pPr>
              <w:jc w:val="center"/>
            </w:pPr>
            <w:r>
              <w:rPr>
                <w:color w:val="000000"/>
                <w:sz w:val="24"/>
                <w:szCs w:val="24"/>
              </w:rPr>
              <w:t>山东药玻</w:t>
            </w:r>
          </w:p>
        </w:tc>
        <w:tc>
          <w:tcPr>
            <w:tcW w:w="1880" w:type="dxa"/>
            <w:vAlign w:val="center"/>
          </w:tcPr>
          <w:p w:rsidR="003C0FDE" w:rsidRDefault="00A87035">
            <w:pPr>
              <w:jc w:val="right"/>
            </w:pPr>
            <w:r>
              <w:rPr>
                <w:color w:val="000000"/>
                <w:sz w:val="24"/>
                <w:szCs w:val="24"/>
              </w:rPr>
              <w:t>4,704,000.00</w:t>
            </w:r>
          </w:p>
        </w:tc>
        <w:tc>
          <w:tcPr>
            <w:tcW w:w="1724" w:type="dxa"/>
            <w:vAlign w:val="center"/>
          </w:tcPr>
          <w:p w:rsidR="003C0FDE" w:rsidRDefault="00A87035">
            <w:pPr>
              <w:jc w:val="right"/>
            </w:pPr>
            <w:r>
              <w:rPr>
                <w:color w:val="000000"/>
                <w:sz w:val="24"/>
                <w:szCs w:val="24"/>
              </w:rPr>
              <w:t>0.14</w:t>
            </w:r>
          </w:p>
        </w:tc>
        <w:tc>
          <w:tcPr>
            <w:tcW w:w="1424" w:type="dxa"/>
            <w:vAlign w:val="center"/>
          </w:tcPr>
          <w:p w:rsidR="003C0FDE" w:rsidRDefault="00A8703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2,743,944,070.21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701,046,458.96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930,136,850.39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2,514,853,678.78</w:t>
            </w:r>
          </w:p>
        </w:tc>
      </w:tr>
    </w:tbl>
    <w:p w:rsidR="003C0FDE" w:rsidRDefault="00A8703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C0FDE">
        <w:tc>
          <w:tcPr>
            <w:tcW w:w="993" w:type="dxa"/>
            <w:vMerge w:val="restart"/>
          </w:tcPr>
          <w:p w:rsidR="003C0FDE" w:rsidRDefault="003C0FDE"/>
          <w:p w:rsidR="003C0FDE" w:rsidRDefault="00A87035">
            <w:r>
              <w:rPr>
                <w:rFonts w:ascii="宋体" w:hAnsi="宋体" w:hint="eastAsia"/>
                <w:bCs/>
                <w:color w:val="000000"/>
                <w:kern w:val="0"/>
              </w:rPr>
              <w:t>机构</w:t>
            </w:r>
          </w:p>
        </w:tc>
        <w:tc>
          <w:tcPr>
            <w:tcW w:w="992" w:type="dxa"/>
            <w:vAlign w:val="center"/>
          </w:tcPr>
          <w:p w:rsidR="003C0FDE" w:rsidRDefault="00A87035">
            <w:pPr>
              <w:jc w:val="center"/>
            </w:pPr>
            <w:r>
              <w:rPr>
                <w:rFonts w:ascii="宋体" w:hAnsi="宋体"/>
                <w:color w:val="000000"/>
                <w:kern w:val="0"/>
              </w:rPr>
              <w:t>1</w:t>
            </w:r>
          </w:p>
        </w:tc>
        <w:tc>
          <w:tcPr>
            <w:tcW w:w="1843" w:type="dxa"/>
            <w:vAlign w:val="center"/>
          </w:tcPr>
          <w:p w:rsidR="003C0FDE" w:rsidRDefault="00A87035">
            <w:pPr>
              <w:jc w:val="center"/>
            </w:pPr>
            <w:r>
              <w:rPr>
                <w:rFonts w:ascii="宋体" w:hAnsi="宋体"/>
                <w:color w:val="000000"/>
                <w:kern w:val="0"/>
              </w:rPr>
              <w:t>2020/1/1-2020/3/31</w:t>
            </w:r>
          </w:p>
        </w:tc>
        <w:tc>
          <w:tcPr>
            <w:tcW w:w="851" w:type="dxa"/>
            <w:vAlign w:val="center"/>
          </w:tcPr>
          <w:p w:rsidR="003C0FDE" w:rsidRDefault="00A87035">
            <w:pPr>
              <w:jc w:val="center"/>
            </w:pPr>
            <w:r>
              <w:rPr>
                <w:rFonts w:ascii="宋体" w:hAnsi="宋体"/>
                <w:color w:val="000000"/>
                <w:kern w:val="0"/>
              </w:rPr>
              <w:t>455,549,949.40</w:t>
            </w:r>
          </w:p>
        </w:tc>
        <w:tc>
          <w:tcPr>
            <w:tcW w:w="850" w:type="dxa"/>
            <w:vAlign w:val="center"/>
          </w:tcPr>
          <w:p w:rsidR="003C0FDE" w:rsidRDefault="00A87035">
            <w:pPr>
              <w:jc w:val="center"/>
            </w:pPr>
            <w:r>
              <w:rPr>
                <w:rFonts w:ascii="宋体" w:hAnsi="宋体"/>
                <w:color w:val="000000"/>
                <w:kern w:val="0"/>
              </w:rPr>
              <w:t>226,343,662.48</w:t>
            </w:r>
          </w:p>
        </w:tc>
        <w:tc>
          <w:tcPr>
            <w:tcW w:w="1134" w:type="dxa"/>
            <w:vAlign w:val="center"/>
          </w:tcPr>
          <w:p w:rsidR="003C0FDE" w:rsidRDefault="00A87035">
            <w:pPr>
              <w:jc w:val="center"/>
            </w:pPr>
            <w:r>
              <w:rPr>
                <w:rFonts w:ascii="宋体" w:hAnsi="宋体"/>
                <w:color w:val="000000"/>
                <w:kern w:val="0"/>
              </w:rPr>
              <w:t>226,592,356.87</w:t>
            </w:r>
          </w:p>
        </w:tc>
        <w:tc>
          <w:tcPr>
            <w:tcW w:w="1419" w:type="dxa"/>
            <w:vAlign w:val="center"/>
          </w:tcPr>
          <w:p w:rsidR="003C0FDE" w:rsidRDefault="00A87035">
            <w:pPr>
              <w:jc w:val="center"/>
            </w:pPr>
            <w:r>
              <w:rPr>
                <w:rFonts w:ascii="宋体" w:hAnsi="宋体"/>
                <w:color w:val="000000"/>
                <w:kern w:val="0"/>
              </w:rPr>
              <w:t>455,301,255.01</w:t>
            </w:r>
          </w:p>
        </w:tc>
        <w:tc>
          <w:tcPr>
            <w:tcW w:w="1130" w:type="dxa"/>
            <w:vAlign w:val="center"/>
          </w:tcPr>
          <w:p w:rsidR="003C0FDE" w:rsidRDefault="00A87035">
            <w:pPr>
              <w:jc w:val="center"/>
            </w:pPr>
            <w:r>
              <w:rPr>
                <w:rFonts w:ascii="宋体" w:hAnsi="宋体"/>
                <w:color w:val="000000"/>
                <w:kern w:val="0"/>
              </w:rPr>
              <w:t>18.10%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C0FDE" w:rsidRDefault="00A8703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、中国证监会准予交银施罗德持续成长主题混合型证券投资基金募集注册的文件；</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、《交银施罗德持续成长主题混合型证券投资基金基金合同》；</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、《交银施罗德持续成长主题混合型证券投资基金招募说明书》；</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、《交银施罗德持续成长主题混合型证券投资基金托管协议》；</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、关于申请募集注册交银施罗德持续成长主题混合型证券投资基金的法律意见书；</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C0FDE" w:rsidRDefault="00A8703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、报告期内交银施罗德持续成长主题混合型证券投资基金在指定报刊上各项公告的原稿。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C0FDE" w:rsidRDefault="00A8703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B28" w:rsidRDefault="00037B28" w:rsidP="00876D65">
      <w:r>
        <w:separator/>
      </w:r>
    </w:p>
  </w:endnote>
  <w:endnote w:type="continuationSeparator" w:id="0">
    <w:p w:rsidR="00037B28" w:rsidRDefault="00037B2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B6479">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B6479">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B28" w:rsidRDefault="00037B28" w:rsidP="00876D65">
      <w:r>
        <w:separator/>
      </w:r>
    </w:p>
  </w:footnote>
  <w:footnote w:type="continuationSeparator" w:id="0">
    <w:p w:rsidR="00037B28" w:rsidRDefault="00037B2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交银施罗德持续成长主题混合型证券投资基金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37B28"/>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6479"/>
    <w:rsid w:val="000B73C6"/>
    <w:rsid w:val="000C190B"/>
    <w:rsid w:val="000C1E17"/>
    <w:rsid w:val="000C5216"/>
    <w:rsid w:val="000D0E6C"/>
    <w:rsid w:val="000D11DE"/>
    <w:rsid w:val="000D3ED4"/>
    <w:rsid w:val="000E5DA5"/>
    <w:rsid w:val="000E7E5E"/>
    <w:rsid w:val="000F6CC8"/>
    <w:rsid w:val="00111261"/>
    <w:rsid w:val="0011537B"/>
    <w:rsid w:val="00132FBC"/>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0FDE"/>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0FE2"/>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035"/>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9E078-9164-40A1-87FC-58AC036C3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1832</TotalTime>
  <Pages>12</Pages>
  <Words>1117</Words>
  <Characters>6373</Characters>
  <Application>Microsoft Office Word</Application>
  <DocSecurity>0</DocSecurity>
  <Lines>53</Lines>
  <Paragraphs>14</Paragraphs>
  <ScaleCrop>false</ScaleCrop>
  <Company/>
  <LinksUpToDate>false</LinksUpToDate>
  <CharactersWithSpaces>7476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2020-04-20T05:48:00Z</dcterms:modified>
</cp:coreProperties>
</file>