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交银施罗德经济新动力混合型证券投资基金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2020年第1季度报告</w:t>
      </w:r>
    </w:p>
    <w:p w:rsidP="00C15CAC" w:rsidR="004061AC" w:rsidRDefault="00655CD8" w:rsidRPr="0081286B">
      <w:pPr>
        <w:spacing w:before="29" w:line="288" w:lineRule="auto"/>
        <w:jc w:val="center"/>
        <w:rPr>
          <w:b/>
          <w:sz w:val="36"/>
          <w:szCs w:val="36"/>
        </w:rPr>
      </w:pPr>
      <w:r w:rsidRPr="0081286B">
        <w:rPr>
          <w:b/>
          <w:sz w:val="36"/>
          <w:szCs w:val="36"/>
        </w:rPr>
        <w:t>2020年3月31日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二〇二〇年四月二十二日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本报告期自2020年1月1日起至3月31日止。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交银经济新动力混合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519778</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519778</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2016年10月20日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3,285,519,230.75</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本基金通过深度优选在经济新常态下受益于发展新动力的优质企业，分享因中国经济改革、创新和升级发展所带来的投资新机会，力争为基金份额持有人获得超越业绩比较基准的收益。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所指的经济新动力是指改革动力、创新动力、升级动力，以及相关传统产业中的反转动力。本基金股票投资重点关注与经济新动力息息相关的优质企业，分享当前因中国经济改革、创新和升级发展所带来的投资新机会。</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沪深300指数收益率×60%+中证综合债券指数收益率×40%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(2020年1月1日-2020年3月31日)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18,986,145.83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-415,039,483.47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-0.1317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6,387,693,437.11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1.9442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pPr>
        <w:autoSpaceDE w:val="0"/>
        <w:autoSpaceDN w:val="0"/>
        <w:adjustRightInd w:val="0"/>
        <w:spacing w:before="29" w:line="288" w:lineRule="auto"/>
        <w:jc w:val="left"/>
        <w:rPr>
          <w:color w:val="000000"/>
          <w:sz w:val="24"/>
          <w:szCs w:val="24"/>
        </w:rPr>
      </w:pPr>
      <w:r>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-1.50%</w:t>
            </w:r>
          </w:p>
        </w:tc>
        <w:tc>
          <w:tcPr>
            <w:vAlign w:val="center"/>
          </w:tcPr>
          <w:p>
            <w:pPr>
              <w:jc w:val="center"/>
            </w:pPr>
            <w:r>
              <w:rPr>
                <w:color w:val="000000"/>
                <w:sz w:val="24"/>
                <w:szCs w:val="24"/>
              </w:rPr>
              <w:t>2.70%</w:t>
            </w:r>
          </w:p>
        </w:tc>
        <w:tc>
          <w:tcPr>
            <w:vAlign w:val="center"/>
          </w:tcPr>
          <w:p>
            <w:pPr>
              <w:jc w:val="center"/>
            </w:pPr>
            <w:r>
              <w:rPr>
                <w:color w:val="000000"/>
                <w:sz w:val="24"/>
                <w:szCs w:val="24"/>
              </w:rPr>
              <w:t>-4.90%</w:t>
            </w:r>
          </w:p>
        </w:tc>
        <w:tc>
          <w:tcPr>
            <w:vAlign w:val="center"/>
          </w:tcPr>
          <w:p>
            <w:pPr>
              <w:jc w:val="center"/>
            </w:pPr>
            <w:r>
              <w:rPr>
                <w:color w:val="000000"/>
                <w:sz w:val="24"/>
                <w:szCs w:val="24"/>
              </w:rPr>
              <w:t>1.15%</w:t>
            </w:r>
          </w:p>
        </w:tc>
        <w:tc>
          <w:tcPr>
            <w:vAlign w:val="center"/>
          </w:tcPr>
          <w:p>
            <w:pPr>
              <w:jc w:val="center"/>
            </w:pPr>
            <w:r>
              <w:rPr>
                <w:color w:val="000000"/>
                <w:sz w:val="24"/>
                <w:szCs w:val="24"/>
              </w:rPr>
              <w:t>3.40%</w:t>
            </w:r>
          </w:p>
        </w:tc>
        <w:tc>
          <w:tcPr>
            <w:vAlign w:val="center"/>
          </w:tcPr>
          <w:p>
            <w:pPr>
              <w:jc w:val="center"/>
            </w:pPr>
            <w:r>
              <w:rPr>
                <w:color w:val="000000"/>
                <w:sz w:val="24"/>
                <w:szCs w:val="24"/>
              </w:rPr>
              <w:t>1.55%</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交银施罗德经济新动力混合型证券投资基金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2016年10月20日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2020年3月31日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郭斐</w:t>
            </w:r>
          </w:p>
        </w:tc>
        <w:tc>
          <w:tcPr>
            <w:vAlign w:val="center"/>
          </w:tcPr>
          <w:p>
            <w:pPr>
              <w:jc w:val="center"/>
            </w:pPr>
            <w:r>
              <w:rPr>
                <w:color w:val="000000"/>
                <w:sz w:val="24"/>
                <w:szCs w:val="24"/>
              </w:rPr>
              <w:t>交银成长30混合、交银经济新动力混合、交银创新领航混合的基金经理</w:t>
            </w:r>
          </w:p>
        </w:tc>
        <w:tc>
          <w:tcPr>
            <w:vAlign w:val="center"/>
          </w:tcPr>
          <w:p>
            <w:pPr>
              <w:jc w:val="center"/>
            </w:pPr>
            <w:r>
              <w:rPr>
                <w:color w:val="000000"/>
                <w:sz w:val="24"/>
                <w:szCs w:val="24"/>
              </w:rPr>
              <w:t>2018-06-02</w:t>
            </w:r>
          </w:p>
        </w:tc>
        <w:tc>
          <w:tcPr>
            <w:vAlign w:val="center"/>
          </w:tcPr>
          <w:p>
            <w:pPr>
              <w:jc w:val="center"/>
            </w:pPr>
            <w:r>
              <w:rPr>
                <w:color w:val="000000"/>
                <w:sz w:val="24"/>
                <w:szCs w:val="24"/>
              </w:rPr>
              <w:t>-</w:t>
            </w:r>
          </w:p>
        </w:tc>
        <w:tc>
          <w:tcPr>
            <w:vAlign w:val="center"/>
          </w:tcPr>
          <w:p>
            <w:pPr>
              <w:jc w:val="center"/>
            </w:pPr>
            <w:r>
              <w:rPr>
                <w:color w:val="000000"/>
                <w:sz w:val="24"/>
                <w:szCs w:val="24"/>
              </w:rPr>
              <w:t>11年</w:t>
            </w:r>
          </w:p>
        </w:tc>
        <w:tc>
          <w:tcPr>
            <w:vAlign w:val="center"/>
          </w:tcPr>
          <w:p>
            <w:pPr>
              <w:jc w:val="both"/>
            </w:pPr>
            <w:r>
              <w:rPr>
                <w:color w:val="000000"/>
                <w:sz w:val="24"/>
                <w:szCs w:val="24"/>
              </w:rPr>
              <w:t>郭斐先生，复旦大学经济学本科。2009年8月至2014年3月于高盛（亚洲）有限责任公司、高华证券公司任职。2014年加入交银施罗德基金管理有限公司，历任行业分析师、基金经理助理。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2020年的开局跌宕起伏，疫情的黑天鹅，最终演变成横亘在资本市场头上的“一座山”。</w:t>
      </w:r>
    </w:p>
    <w:p>
      <w:pPr>
        <w:spacing w:before="29" w:line="288" w:lineRule="auto"/>
        <w:ind w:firstLine="480" w:firstLineChars="200"/>
        <w:rPr>
          <w:color w:val="000000"/>
          <w:sz w:val="24"/>
          <w:szCs w:val="24"/>
        </w:rPr>
      </w:pPr>
      <w:r>
        <w:rPr>
          <w:color w:val="000000"/>
          <w:sz w:val="24"/>
          <w:szCs w:val="24"/>
        </w:rPr>
        <w:t>报告期内，本基金重点配置了新能源汽车、创新硬件、5G、半导体、数据中心、产业信息化等领域的成长股以及部分低估值的金融地产蓝筹。</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二季度，以库存波动为核心的科技周期受疫情影响其上行节奏可能将暂告一段落，我们会继续让组合配置更加均衡、更具性价比。尽管如此，在4G/5G代际之交、新能源革命尚待破晓、数字经济加速到来的当下，我们认为科技成长仍有结构性的投资机会。我们有幸已经挖掘出并持有一批估值具备吸引力的优质成长股，它们或顺应产业爆发的趋势，或有望成长为细分行业的隐形冠军。本基金将持续挖掘行业成长空间广阔、具备核心竞争力的公司，把握合适的配置窗口，力争为投资人获得持续稳定的超额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4,512,467,383.42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70.06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4,512,467,383.42</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70.06</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1,303,312.96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0.02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1,303,312.96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0.02</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1,860,975,374.99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28.89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66,473,844.20</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1.03</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6,441,219,915.57</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136,273,272.00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2.13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34,311,844.20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0.54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2,924,171,442.39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45.78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78,949.61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44,077,479.00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0.69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306,817,306.77</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4.80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132,631,420.55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2.08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614,790,667.53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9.62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156,045,336.96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173,720.08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245,697.90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162,850,246.43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4,512,467,383.42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70.64</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300014</w:t>
            </w:r>
          </w:p>
        </w:tc>
        <w:tc>
          <w:tcPr>
            <w:vAlign w:val="center"/>
          </w:tcPr>
          <w:p>
            <w:pPr>
              <w:jc w:val="center"/>
            </w:pPr>
            <w:r>
              <w:rPr>
                <w:color w:val="000000"/>
                <w:sz w:val="24"/>
                <w:szCs w:val="24"/>
              </w:rPr>
              <w:t>亿纬锂能</w:t>
            </w:r>
          </w:p>
        </w:tc>
        <w:tc>
          <w:tcPr>
            <w:vAlign w:val="center"/>
          </w:tcPr>
          <w:p>
            <w:pPr>
              <w:jc w:val="right"/>
            </w:pPr>
            <w:r>
              <w:rPr>
                <w:color w:val="000000"/>
                <w:sz w:val="24"/>
                <w:szCs w:val="24"/>
              </w:rPr>
              <w:t>10,305,580</w:t>
            </w:r>
          </w:p>
        </w:tc>
        <w:tc>
          <w:tcPr>
            <w:vAlign w:val="center"/>
          </w:tcPr>
          <w:p>
            <w:pPr>
              <w:jc w:val="right"/>
            </w:pPr>
            <w:r>
              <w:rPr>
                <w:color w:val="000000"/>
                <w:sz w:val="24"/>
                <w:szCs w:val="24"/>
              </w:rPr>
              <w:t>598,857,253.80</w:t>
            </w:r>
          </w:p>
        </w:tc>
        <w:tc>
          <w:tcPr>
            <w:vAlign w:val="center"/>
          </w:tcPr>
          <w:p>
            <w:pPr>
              <w:jc w:val="right"/>
            </w:pPr>
            <w:r>
              <w:rPr>
                <w:color w:val="000000"/>
                <w:sz w:val="24"/>
                <w:szCs w:val="24"/>
              </w:rPr>
              <w:t>9.38</w:t>
            </w:r>
          </w:p>
        </w:tc>
      </w:tr>
      <w:tr>
        <w:tc>
          <w:tcPr>
            <w:vAlign w:val="center"/>
          </w:tcPr>
          <w:p>
            <w:pPr>
              <w:jc w:val="center"/>
            </w:pPr>
            <w:r>
              <w:rPr>
                <w:color w:val="000000"/>
                <w:sz w:val="24"/>
                <w:szCs w:val="24"/>
              </w:rPr>
              <w:t>2</w:t>
            </w:r>
          </w:p>
        </w:tc>
        <w:tc>
          <w:tcPr>
            <w:vAlign w:val="center"/>
          </w:tcPr>
          <w:p>
            <w:pPr>
              <w:jc w:val="center"/>
            </w:pPr>
            <w:r>
              <w:rPr>
                <w:color w:val="000000"/>
                <w:sz w:val="24"/>
                <w:szCs w:val="24"/>
              </w:rPr>
              <w:t>002475</w:t>
            </w:r>
          </w:p>
        </w:tc>
        <w:tc>
          <w:tcPr>
            <w:vAlign w:val="center"/>
          </w:tcPr>
          <w:p>
            <w:pPr>
              <w:jc w:val="center"/>
            </w:pPr>
            <w:r>
              <w:rPr>
                <w:color w:val="000000"/>
                <w:sz w:val="24"/>
                <w:szCs w:val="24"/>
              </w:rPr>
              <w:t>立讯精密</w:t>
            </w:r>
          </w:p>
        </w:tc>
        <w:tc>
          <w:tcPr>
            <w:vAlign w:val="center"/>
          </w:tcPr>
          <w:p>
            <w:pPr>
              <w:jc w:val="right"/>
            </w:pPr>
            <w:r>
              <w:rPr>
                <w:color w:val="000000"/>
                <w:sz w:val="24"/>
                <w:szCs w:val="24"/>
              </w:rPr>
              <w:t>7,952,010</w:t>
            </w:r>
          </w:p>
        </w:tc>
        <w:tc>
          <w:tcPr>
            <w:vAlign w:val="center"/>
          </w:tcPr>
          <w:p>
            <w:pPr>
              <w:jc w:val="right"/>
            </w:pPr>
            <w:r>
              <w:rPr>
                <w:color w:val="000000"/>
                <w:sz w:val="24"/>
                <w:szCs w:val="24"/>
              </w:rPr>
              <w:t>303,448,701.60</w:t>
            </w:r>
          </w:p>
        </w:tc>
        <w:tc>
          <w:tcPr>
            <w:vAlign w:val="center"/>
          </w:tcPr>
          <w:p>
            <w:pPr>
              <w:jc w:val="right"/>
            </w:pPr>
            <w:r>
              <w:rPr>
                <w:color w:val="000000"/>
                <w:sz w:val="24"/>
                <w:szCs w:val="24"/>
              </w:rPr>
              <w:t>4.75</w:t>
            </w:r>
          </w:p>
        </w:tc>
      </w:tr>
      <w:tr>
        <w:tc>
          <w:tcPr>
            <w:vAlign w:val="center"/>
          </w:tcPr>
          <w:p>
            <w:pPr>
              <w:jc w:val="center"/>
            </w:pPr>
            <w:r>
              <w:rPr>
                <w:color w:val="000000"/>
                <w:sz w:val="24"/>
                <w:szCs w:val="24"/>
              </w:rPr>
              <w:t>3</w:t>
            </w:r>
          </w:p>
        </w:tc>
        <w:tc>
          <w:tcPr>
            <w:vAlign w:val="center"/>
          </w:tcPr>
          <w:p>
            <w:pPr>
              <w:jc w:val="center"/>
            </w:pPr>
            <w:r>
              <w:rPr>
                <w:color w:val="000000"/>
                <w:sz w:val="24"/>
                <w:szCs w:val="24"/>
              </w:rPr>
              <w:t>000002</w:t>
            </w:r>
          </w:p>
        </w:tc>
        <w:tc>
          <w:tcPr>
            <w:vAlign w:val="center"/>
          </w:tcPr>
          <w:p>
            <w:pPr>
              <w:jc w:val="center"/>
            </w:pPr>
            <w:r>
              <w:rPr>
                <w:color w:val="000000"/>
                <w:sz w:val="24"/>
                <w:szCs w:val="24"/>
              </w:rPr>
              <w:t>万科A</w:t>
            </w:r>
          </w:p>
        </w:tc>
        <w:tc>
          <w:tcPr>
            <w:vAlign w:val="center"/>
          </w:tcPr>
          <w:p>
            <w:pPr>
              <w:jc w:val="right"/>
            </w:pPr>
            <w:r>
              <w:rPr>
                <w:color w:val="000000"/>
                <w:sz w:val="24"/>
                <w:szCs w:val="24"/>
              </w:rPr>
              <w:t>10,277,000</w:t>
            </w:r>
          </w:p>
        </w:tc>
        <w:tc>
          <w:tcPr>
            <w:vAlign w:val="center"/>
          </w:tcPr>
          <w:p>
            <w:pPr>
              <w:jc w:val="right"/>
            </w:pPr>
            <w:r>
              <w:rPr>
                <w:color w:val="000000"/>
                <w:sz w:val="24"/>
                <w:szCs w:val="24"/>
              </w:rPr>
              <w:t>263,605,050.00</w:t>
            </w:r>
          </w:p>
        </w:tc>
        <w:tc>
          <w:tcPr>
            <w:vAlign w:val="center"/>
          </w:tcPr>
          <w:p>
            <w:pPr>
              <w:jc w:val="right"/>
            </w:pPr>
            <w:r>
              <w:rPr>
                <w:color w:val="000000"/>
                <w:sz w:val="24"/>
                <w:szCs w:val="24"/>
              </w:rPr>
              <w:t>4.13</w:t>
            </w:r>
          </w:p>
        </w:tc>
      </w:tr>
      <w:tr>
        <w:tc>
          <w:tcPr>
            <w:vAlign w:val="center"/>
          </w:tcPr>
          <w:p>
            <w:pPr>
              <w:jc w:val="center"/>
            </w:pPr>
            <w:r>
              <w:rPr>
                <w:color w:val="000000"/>
                <w:sz w:val="24"/>
                <w:szCs w:val="24"/>
              </w:rPr>
              <w:t>4</w:t>
            </w:r>
          </w:p>
        </w:tc>
        <w:tc>
          <w:tcPr>
            <w:vAlign w:val="center"/>
          </w:tcPr>
          <w:p>
            <w:pPr>
              <w:jc w:val="center"/>
            </w:pPr>
            <w:r>
              <w:rPr>
                <w:color w:val="000000"/>
                <w:sz w:val="24"/>
                <w:szCs w:val="24"/>
              </w:rPr>
              <w:t>600048</w:t>
            </w:r>
          </w:p>
        </w:tc>
        <w:tc>
          <w:tcPr>
            <w:vAlign w:val="center"/>
          </w:tcPr>
          <w:p>
            <w:pPr>
              <w:jc w:val="center"/>
            </w:pPr>
            <w:r>
              <w:rPr>
                <w:color w:val="000000"/>
                <w:sz w:val="24"/>
                <w:szCs w:val="24"/>
              </w:rPr>
              <w:t>保利地产</w:t>
            </w:r>
          </w:p>
        </w:tc>
        <w:tc>
          <w:tcPr>
            <w:vAlign w:val="center"/>
          </w:tcPr>
          <w:p>
            <w:pPr>
              <w:jc w:val="right"/>
            </w:pPr>
            <w:r>
              <w:rPr>
                <w:color w:val="000000"/>
                <w:sz w:val="24"/>
                <w:szCs w:val="24"/>
              </w:rPr>
              <w:t>15,616,600</w:t>
            </w:r>
          </w:p>
        </w:tc>
        <w:tc>
          <w:tcPr>
            <w:vAlign w:val="center"/>
          </w:tcPr>
          <w:p>
            <w:pPr>
              <w:jc w:val="right"/>
            </w:pPr>
            <w:r>
              <w:rPr>
                <w:color w:val="000000"/>
                <w:sz w:val="24"/>
                <w:szCs w:val="24"/>
              </w:rPr>
              <w:t>232,218,842.00</w:t>
            </w:r>
          </w:p>
        </w:tc>
        <w:tc>
          <w:tcPr>
            <w:vAlign w:val="center"/>
          </w:tcPr>
          <w:p>
            <w:pPr>
              <w:jc w:val="right"/>
            </w:pPr>
            <w:r>
              <w:rPr>
                <w:color w:val="000000"/>
                <w:sz w:val="24"/>
                <w:szCs w:val="24"/>
              </w:rPr>
              <w:t>3.64</w:t>
            </w:r>
          </w:p>
        </w:tc>
      </w:tr>
      <w:tr>
        <w:tc>
          <w:tcPr>
            <w:vAlign w:val="center"/>
          </w:tcPr>
          <w:p>
            <w:pPr>
              <w:jc w:val="center"/>
            </w:pPr>
            <w:r>
              <w:rPr>
                <w:color w:val="000000"/>
                <w:sz w:val="24"/>
                <w:szCs w:val="24"/>
              </w:rPr>
              <w:t>5</w:t>
            </w:r>
          </w:p>
        </w:tc>
        <w:tc>
          <w:tcPr>
            <w:vAlign w:val="center"/>
          </w:tcPr>
          <w:p>
            <w:pPr>
              <w:jc w:val="center"/>
            </w:pPr>
            <w:r>
              <w:rPr>
                <w:color w:val="000000"/>
                <w:sz w:val="24"/>
                <w:szCs w:val="24"/>
              </w:rPr>
              <w:t>002837</w:t>
            </w:r>
          </w:p>
        </w:tc>
        <w:tc>
          <w:tcPr>
            <w:vAlign w:val="center"/>
          </w:tcPr>
          <w:p>
            <w:pPr>
              <w:jc w:val="center"/>
            </w:pPr>
            <w:r>
              <w:rPr>
                <w:color w:val="000000"/>
                <w:sz w:val="24"/>
                <w:szCs w:val="24"/>
              </w:rPr>
              <w:t>英维克</w:t>
            </w:r>
          </w:p>
        </w:tc>
        <w:tc>
          <w:tcPr>
            <w:vAlign w:val="center"/>
          </w:tcPr>
          <w:p>
            <w:pPr>
              <w:jc w:val="right"/>
            </w:pPr>
            <w:r>
              <w:rPr>
                <w:color w:val="000000"/>
                <w:sz w:val="24"/>
                <w:szCs w:val="24"/>
              </w:rPr>
              <w:t>5,384,432</w:t>
            </w:r>
          </w:p>
        </w:tc>
        <w:tc>
          <w:tcPr>
            <w:vAlign w:val="center"/>
          </w:tcPr>
          <w:p>
            <w:pPr>
              <w:jc w:val="right"/>
            </w:pPr>
            <w:r>
              <w:rPr>
                <w:color w:val="000000"/>
                <w:sz w:val="24"/>
                <w:szCs w:val="24"/>
              </w:rPr>
              <w:t>206,277,589.92</w:t>
            </w:r>
          </w:p>
        </w:tc>
        <w:tc>
          <w:tcPr>
            <w:vAlign w:val="center"/>
          </w:tcPr>
          <w:p>
            <w:pPr>
              <w:jc w:val="right"/>
            </w:pPr>
            <w:r>
              <w:rPr>
                <w:color w:val="000000"/>
                <w:sz w:val="24"/>
                <w:szCs w:val="24"/>
              </w:rPr>
              <w:t>3.23</w:t>
            </w:r>
          </w:p>
        </w:tc>
      </w:tr>
      <w:tr>
        <w:tc>
          <w:tcPr>
            <w:vAlign w:val="center"/>
          </w:tcPr>
          <w:p>
            <w:pPr>
              <w:jc w:val="center"/>
            </w:pPr>
            <w:r>
              <w:rPr>
                <w:color w:val="000000"/>
                <w:sz w:val="24"/>
                <w:szCs w:val="24"/>
              </w:rPr>
              <w:t>6</w:t>
            </w:r>
          </w:p>
        </w:tc>
        <w:tc>
          <w:tcPr>
            <w:vAlign w:val="center"/>
          </w:tcPr>
          <w:p>
            <w:pPr>
              <w:jc w:val="center"/>
            </w:pPr>
            <w:r>
              <w:rPr>
                <w:color w:val="000000"/>
                <w:sz w:val="24"/>
                <w:szCs w:val="24"/>
              </w:rPr>
              <w:t>002123</w:t>
            </w:r>
          </w:p>
        </w:tc>
        <w:tc>
          <w:tcPr>
            <w:vAlign w:val="center"/>
          </w:tcPr>
          <w:p>
            <w:pPr>
              <w:jc w:val="center"/>
            </w:pPr>
            <w:r>
              <w:rPr>
                <w:color w:val="000000"/>
                <w:sz w:val="24"/>
                <w:szCs w:val="24"/>
              </w:rPr>
              <w:t>梦网集团</w:t>
            </w:r>
          </w:p>
        </w:tc>
        <w:tc>
          <w:tcPr>
            <w:vAlign w:val="center"/>
          </w:tcPr>
          <w:p>
            <w:pPr>
              <w:jc w:val="right"/>
            </w:pPr>
            <w:r>
              <w:rPr>
                <w:color w:val="000000"/>
                <w:sz w:val="24"/>
                <w:szCs w:val="24"/>
              </w:rPr>
              <w:t>12,924,123</w:t>
            </w:r>
          </w:p>
        </w:tc>
        <w:tc>
          <w:tcPr>
            <w:vAlign w:val="center"/>
          </w:tcPr>
          <w:p>
            <w:pPr>
              <w:jc w:val="right"/>
            </w:pPr>
            <w:r>
              <w:rPr>
                <w:color w:val="000000"/>
                <w:sz w:val="24"/>
                <w:szCs w:val="24"/>
              </w:rPr>
              <w:t>173,441,730.66</w:t>
            </w:r>
          </w:p>
        </w:tc>
        <w:tc>
          <w:tcPr>
            <w:vAlign w:val="center"/>
          </w:tcPr>
          <w:p>
            <w:pPr>
              <w:jc w:val="right"/>
            </w:pPr>
            <w:r>
              <w:rPr>
                <w:color w:val="000000"/>
                <w:sz w:val="24"/>
                <w:szCs w:val="24"/>
              </w:rPr>
              <w:t>2.72</w:t>
            </w:r>
          </w:p>
        </w:tc>
      </w:tr>
      <w:tr>
        <w:tc>
          <w:tcPr>
            <w:vAlign w:val="center"/>
          </w:tcPr>
          <w:p>
            <w:pPr>
              <w:jc w:val="center"/>
            </w:pPr>
            <w:r>
              <w:rPr>
                <w:color w:val="000000"/>
                <w:sz w:val="24"/>
                <w:szCs w:val="24"/>
              </w:rPr>
              <w:t>7</w:t>
            </w:r>
          </w:p>
        </w:tc>
        <w:tc>
          <w:tcPr>
            <w:vAlign w:val="center"/>
          </w:tcPr>
          <w:p>
            <w:pPr>
              <w:jc w:val="center"/>
            </w:pPr>
            <w:r>
              <w:rPr>
                <w:color w:val="000000"/>
                <w:sz w:val="24"/>
                <w:szCs w:val="24"/>
              </w:rPr>
              <w:t>002050</w:t>
            </w:r>
          </w:p>
        </w:tc>
        <w:tc>
          <w:tcPr>
            <w:vAlign w:val="center"/>
          </w:tcPr>
          <w:p>
            <w:pPr>
              <w:jc w:val="center"/>
            </w:pPr>
            <w:r>
              <w:rPr>
                <w:color w:val="000000"/>
                <w:sz w:val="24"/>
                <w:szCs w:val="24"/>
              </w:rPr>
              <w:t>三花智控</w:t>
            </w:r>
          </w:p>
        </w:tc>
        <w:tc>
          <w:tcPr>
            <w:vAlign w:val="center"/>
          </w:tcPr>
          <w:p>
            <w:pPr>
              <w:jc w:val="right"/>
            </w:pPr>
            <w:r>
              <w:rPr>
                <w:color w:val="000000"/>
                <w:sz w:val="24"/>
                <w:szCs w:val="24"/>
              </w:rPr>
              <w:t>10,157,392</w:t>
            </w:r>
          </w:p>
        </w:tc>
        <w:tc>
          <w:tcPr>
            <w:vAlign w:val="center"/>
          </w:tcPr>
          <w:p>
            <w:pPr>
              <w:jc w:val="right"/>
            </w:pPr>
            <w:r>
              <w:rPr>
                <w:color w:val="000000"/>
                <w:sz w:val="24"/>
                <w:szCs w:val="24"/>
              </w:rPr>
              <w:t>163,229,289.44</w:t>
            </w:r>
          </w:p>
        </w:tc>
        <w:tc>
          <w:tcPr>
            <w:vAlign w:val="center"/>
          </w:tcPr>
          <w:p>
            <w:pPr>
              <w:jc w:val="right"/>
            </w:pPr>
            <w:r>
              <w:rPr>
                <w:color w:val="000000"/>
                <w:sz w:val="24"/>
                <w:szCs w:val="24"/>
              </w:rPr>
              <w:t>2.56</w:t>
            </w:r>
          </w:p>
        </w:tc>
      </w:tr>
      <w:tr>
        <w:tc>
          <w:tcPr>
            <w:vAlign w:val="center"/>
          </w:tcPr>
          <w:p>
            <w:pPr>
              <w:jc w:val="center"/>
            </w:pPr>
            <w:r>
              <w:rPr>
                <w:color w:val="000000"/>
                <w:sz w:val="24"/>
                <w:szCs w:val="24"/>
              </w:rPr>
              <w:t>8</w:t>
            </w:r>
          </w:p>
        </w:tc>
        <w:tc>
          <w:tcPr>
            <w:vAlign w:val="center"/>
          </w:tcPr>
          <w:p>
            <w:pPr>
              <w:jc w:val="center"/>
            </w:pPr>
            <w:r>
              <w:rPr>
                <w:color w:val="000000"/>
                <w:sz w:val="24"/>
                <w:szCs w:val="24"/>
              </w:rPr>
              <w:t>300327</w:t>
            </w:r>
          </w:p>
        </w:tc>
        <w:tc>
          <w:tcPr>
            <w:vAlign w:val="center"/>
          </w:tcPr>
          <w:p>
            <w:pPr>
              <w:jc w:val="center"/>
            </w:pPr>
            <w:r>
              <w:rPr>
                <w:color w:val="000000"/>
                <w:sz w:val="24"/>
                <w:szCs w:val="24"/>
              </w:rPr>
              <w:t>中颖电子</w:t>
            </w:r>
          </w:p>
        </w:tc>
        <w:tc>
          <w:tcPr>
            <w:vAlign w:val="center"/>
          </w:tcPr>
          <w:p>
            <w:pPr>
              <w:jc w:val="right"/>
            </w:pPr>
            <w:r>
              <w:rPr>
                <w:color w:val="000000"/>
                <w:sz w:val="24"/>
                <w:szCs w:val="24"/>
              </w:rPr>
              <w:t>4,595,683</w:t>
            </w:r>
          </w:p>
        </w:tc>
        <w:tc>
          <w:tcPr>
            <w:vAlign w:val="center"/>
          </w:tcPr>
          <w:p>
            <w:pPr>
              <w:jc w:val="right"/>
            </w:pPr>
            <w:r>
              <w:rPr>
                <w:color w:val="000000"/>
                <w:sz w:val="24"/>
                <w:szCs w:val="24"/>
              </w:rPr>
              <w:t>136,675,612.42</w:t>
            </w:r>
          </w:p>
        </w:tc>
        <w:tc>
          <w:tcPr>
            <w:vAlign w:val="center"/>
          </w:tcPr>
          <w:p>
            <w:pPr>
              <w:jc w:val="right"/>
            </w:pPr>
            <w:r>
              <w:rPr>
                <w:color w:val="000000"/>
                <w:sz w:val="24"/>
                <w:szCs w:val="24"/>
              </w:rPr>
              <w:t>2.14</w:t>
            </w:r>
          </w:p>
        </w:tc>
      </w:tr>
      <w:tr>
        <w:tc>
          <w:tcPr>
            <w:vAlign w:val="center"/>
          </w:tcPr>
          <w:p>
            <w:pPr>
              <w:jc w:val="center"/>
            </w:pPr>
            <w:r>
              <w:rPr>
                <w:color w:val="000000"/>
                <w:sz w:val="24"/>
                <w:szCs w:val="24"/>
              </w:rPr>
              <w:t>9</w:t>
            </w:r>
          </w:p>
        </w:tc>
        <w:tc>
          <w:tcPr>
            <w:vAlign w:val="center"/>
          </w:tcPr>
          <w:p>
            <w:pPr>
              <w:jc w:val="center"/>
            </w:pPr>
            <w:r>
              <w:rPr>
                <w:color w:val="000000"/>
                <w:sz w:val="24"/>
                <w:szCs w:val="24"/>
              </w:rPr>
              <w:t>000998</w:t>
            </w:r>
          </w:p>
        </w:tc>
        <w:tc>
          <w:tcPr>
            <w:vAlign w:val="center"/>
          </w:tcPr>
          <w:p>
            <w:pPr>
              <w:jc w:val="center"/>
            </w:pPr>
            <w:r>
              <w:rPr>
                <w:color w:val="000000"/>
                <w:sz w:val="24"/>
                <w:szCs w:val="24"/>
              </w:rPr>
              <w:t>隆平高科</w:t>
            </w:r>
          </w:p>
        </w:tc>
        <w:tc>
          <w:tcPr>
            <w:vAlign w:val="center"/>
          </w:tcPr>
          <w:p>
            <w:pPr>
              <w:jc w:val="right"/>
            </w:pPr>
            <w:r>
              <w:rPr>
                <w:color w:val="000000"/>
                <w:sz w:val="24"/>
                <w:szCs w:val="24"/>
              </w:rPr>
              <w:t>7,520,600</w:t>
            </w:r>
          </w:p>
        </w:tc>
        <w:tc>
          <w:tcPr>
            <w:vAlign w:val="center"/>
          </w:tcPr>
          <w:p>
            <w:pPr>
              <w:jc w:val="right"/>
            </w:pPr>
            <w:r>
              <w:rPr>
                <w:color w:val="000000"/>
                <w:sz w:val="24"/>
                <w:szCs w:val="24"/>
              </w:rPr>
              <w:t>136,273,272.00</w:t>
            </w:r>
          </w:p>
        </w:tc>
        <w:tc>
          <w:tcPr>
            <w:vAlign w:val="center"/>
          </w:tcPr>
          <w:p>
            <w:pPr>
              <w:jc w:val="right"/>
            </w:pPr>
            <w:r>
              <w:rPr>
                <w:color w:val="000000"/>
                <w:sz w:val="24"/>
                <w:szCs w:val="24"/>
              </w:rPr>
              <w:t>2.13</w:t>
            </w:r>
          </w:p>
        </w:tc>
      </w:tr>
      <w:tr>
        <w:tc>
          <w:tcPr>
            <w:vAlign w:val="center"/>
          </w:tcPr>
          <w:p>
            <w:pPr>
              <w:jc w:val="center"/>
            </w:pPr>
            <w:r>
              <w:rPr>
                <w:color w:val="000000"/>
                <w:sz w:val="24"/>
                <w:szCs w:val="24"/>
              </w:rPr>
              <w:t>10</w:t>
            </w:r>
          </w:p>
        </w:tc>
        <w:tc>
          <w:tcPr>
            <w:vAlign w:val="center"/>
          </w:tcPr>
          <w:p>
            <w:pPr>
              <w:jc w:val="center"/>
            </w:pPr>
            <w:r>
              <w:rPr>
                <w:color w:val="000000"/>
                <w:sz w:val="24"/>
                <w:szCs w:val="24"/>
              </w:rPr>
              <w:t>002384</w:t>
            </w:r>
          </w:p>
        </w:tc>
        <w:tc>
          <w:tcPr>
            <w:vAlign w:val="center"/>
          </w:tcPr>
          <w:p>
            <w:pPr>
              <w:jc w:val="center"/>
            </w:pPr>
            <w:r>
              <w:rPr>
                <w:color w:val="000000"/>
                <w:sz w:val="24"/>
                <w:szCs w:val="24"/>
              </w:rPr>
              <w:t>东山精密</w:t>
            </w:r>
          </w:p>
        </w:tc>
        <w:tc>
          <w:tcPr>
            <w:vAlign w:val="center"/>
          </w:tcPr>
          <w:p>
            <w:pPr>
              <w:jc w:val="right"/>
            </w:pPr>
            <w:r>
              <w:rPr>
                <w:color w:val="000000"/>
                <w:sz w:val="24"/>
                <w:szCs w:val="24"/>
              </w:rPr>
              <w:t>5,556,529</w:t>
            </w:r>
          </w:p>
        </w:tc>
        <w:tc>
          <w:tcPr>
            <w:vAlign w:val="center"/>
          </w:tcPr>
          <w:p>
            <w:pPr>
              <w:jc w:val="right"/>
            </w:pPr>
            <w:r>
              <w:rPr>
                <w:color w:val="000000"/>
                <w:sz w:val="24"/>
                <w:szCs w:val="24"/>
              </w:rPr>
              <w:t>114,520,062.69</w:t>
            </w:r>
          </w:p>
        </w:tc>
        <w:tc>
          <w:tcPr>
            <w:vAlign w:val="center"/>
          </w:tcPr>
          <w:p>
            <w:pPr>
              <w:jc w:val="right"/>
            </w:pPr>
            <w:r>
              <w:rPr>
                <w:color w:val="000000"/>
                <w:sz w:val="24"/>
                <w:szCs w:val="24"/>
              </w:rPr>
              <w:t>1.79</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1,303,312.96</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0.02</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1,303,312.96</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0.02</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123044</w:t>
            </w:r>
          </w:p>
        </w:tc>
        <w:tc>
          <w:tcPr>
            <w:vAlign w:val="center"/>
          </w:tcPr>
          <w:p>
            <w:pPr>
              <w:jc w:val="center"/>
            </w:pPr>
            <w:r>
              <w:rPr>
                <w:color w:val="000000"/>
                <w:sz w:val="24"/>
                <w:szCs w:val="24"/>
              </w:rPr>
              <w:t>红相转债</w:t>
            </w:r>
          </w:p>
        </w:tc>
        <w:tc>
          <w:tcPr>
            <w:vAlign w:val="center"/>
          </w:tcPr>
          <w:p>
            <w:pPr>
              <w:jc w:val="right"/>
            </w:pPr>
            <w:r>
              <w:rPr>
                <w:color w:val="000000"/>
                <w:sz w:val="24"/>
                <w:szCs w:val="24"/>
              </w:rPr>
              <w:t>8,293</w:t>
            </w:r>
          </w:p>
        </w:tc>
        <w:tc>
          <w:tcPr>
            <w:vAlign w:val="center"/>
          </w:tcPr>
          <w:p>
            <w:pPr>
              <w:jc w:val="right"/>
            </w:pPr>
            <w:r>
              <w:rPr>
                <w:color w:val="000000"/>
                <w:sz w:val="24"/>
                <w:szCs w:val="24"/>
              </w:rPr>
              <w:t>829,300.00</w:t>
            </w:r>
          </w:p>
        </w:tc>
        <w:tc>
          <w:tcPr>
            <w:vAlign w:val="center"/>
          </w:tcPr>
          <w:p>
            <w:pPr>
              <w:jc w:val="right"/>
            </w:pPr>
            <w:r>
              <w:rPr>
                <w:color w:val="000000"/>
                <w:sz w:val="24"/>
                <w:szCs w:val="24"/>
              </w:rPr>
              <w:t>0.01</w:t>
            </w:r>
          </w:p>
        </w:tc>
      </w:tr>
      <w:tr>
        <w:tc>
          <w:tcPr>
            <w:vAlign w:val="center"/>
          </w:tcPr>
          <w:p>
            <w:pPr>
              <w:jc w:val="center"/>
            </w:pPr>
            <w:r>
              <w:rPr>
                <w:color w:val="000000"/>
                <w:sz w:val="24"/>
                <w:szCs w:val="24"/>
              </w:rPr>
              <w:t>2</w:t>
            </w:r>
          </w:p>
        </w:tc>
        <w:tc>
          <w:tcPr>
            <w:vAlign w:val="center"/>
          </w:tcPr>
          <w:p>
            <w:pPr>
              <w:jc w:val="center"/>
            </w:pPr>
            <w:r>
              <w:rPr>
                <w:color w:val="000000"/>
                <w:sz w:val="24"/>
                <w:szCs w:val="24"/>
              </w:rPr>
              <w:t>128088</w:t>
            </w:r>
          </w:p>
        </w:tc>
        <w:tc>
          <w:tcPr>
            <w:vAlign w:val="center"/>
          </w:tcPr>
          <w:p>
            <w:pPr>
              <w:jc w:val="center"/>
            </w:pPr>
            <w:r>
              <w:rPr>
                <w:color w:val="000000"/>
                <w:sz w:val="24"/>
                <w:szCs w:val="24"/>
              </w:rPr>
              <w:t>深南转债</w:t>
            </w:r>
          </w:p>
        </w:tc>
        <w:tc>
          <w:tcPr>
            <w:vAlign w:val="center"/>
          </w:tcPr>
          <w:p>
            <w:pPr>
              <w:jc w:val="right"/>
            </w:pPr>
            <w:r>
              <w:rPr>
                <w:color w:val="000000"/>
                <w:sz w:val="24"/>
                <w:szCs w:val="24"/>
              </w:rPr>
              <w:t>3,189</w:t>
            </w:r>
          </w:p>
        </w:tc>
        <w:tc>
          <w:tcPr>
            <w:vAlign w:val="center"/>
          </w:tcPr>
          <w:p>
            <w:pPr>
              <w:jc w:val="right"/>
            </w:pPr>
            <w:r>
              <w:rPr>
                <w:color w:val="000000"/>
                <w:sz w:val="24"/>
                <w:szCs w:val="24"/>
              </w:rPr>
              <w:t>474,012.96</w:t>
            </w:r>
          </w:p>
        </w:tc>
        <w:tc>
          <w:tcPr>
            <w:vAlign w:val="center"/>
          </w:tcPr>
          <w:p>
            <w:pPr>
              <w:jc w:val="right"/>
            </w:pPr>
            <w:r>
              <w:rPr>
                <w:color w:val="000000"/>
                <w:sz w:val="24"/>
                <w:szCs w:val="24"/>
              </w:rPr>
              <w:t>0.01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2,226,521.69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41,508,976.11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416,063.61</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22,322,282.79</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66,473,844.20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2,409,940,419.59</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3,132,773,387.18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2,257,194,576.02</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3,285,519,230.75</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注：1、如果本报告期间发生转换入、份额类别调整、红利再投业务，则总申购份额中包含该业务；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2、如果本报告期间发生转换出、份额类别调整业务，则总赎回份额中包含该业务。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1、中国证监会准予交银施罗德经济新动力混合型证券投资基金募集注册的文件；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2、《交银施罗德经济新动力混合型证券投资基金基金合同》；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3、《交银施罗德经济新动力混合型证券投资基金招募说明书》；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4、《交银施罗德经济新动力混合型证券投资基金托管协议》；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5、关于申请募集注册交银施罗德经济新动力混合型证券投资基金的法律意见书；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8、报告期内交银施罗德经济新动力混合型证券投资基金在指定报刊上各项公告的原稿。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交银施罗德经济新动力混合型证券投资基金2020年第1季度报告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