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交银施罗德天利宝货币市场基金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二〇二〇年四月二十二日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6311F7" w:rsidRDefault="00CC716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311F7" w:rsidRDefault="00CC7166">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311F7" w:rsidRDefault="00CC716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311F7" w:rsidRDefault="00CC7166">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311F7" w:rsidRDefault="00CC7166">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10</w:t>
            </w:r>
            <w:r w:rsidRPr="000E4C40">
              <w:rPr>
                <w:color w:val="000000"/>
                <w:kern w:val="0"/>
                <w:sz w:val="24"/>
              </w:rPr>
              <w:t>月</w:t>
            </w:r>
            <w:r w:rsidRPr="000E4C40">
              <w:rPr>
                <w:color w:val="000000"/>
                <w:kern w:val="0"/>
                <w:sz w:val="24"/>
              </w:rPr>
              <w:t>19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2,085,937,658.20</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002889</w:t>
            </w:r>
          </w:p>
        </w:tc>
        <w:tc>
          <w:tcPr>
            <w:tcW w:w="2923" w:type="dxa"/>
            <w:vAlign w:val="center"/>
          </w:tcPr>
          <w:p w:rsidR="00A805BC" w:rsidRPr="000E4C40" w:rsidRDefault="00A805BC" w:rsidP="00281564">
            <w:pPr>
              <w:spacing w:before="29" w:line="288" w:lineRule="auto"/>
              <w:jc w:val="left"/>
              <w:rPr>
                <w:sz w:val="24"/>
              </w:rPr>
            </w:pPr>
            <w:r w:rsidRPr="000E4C40">
              <w:rPr>
                <w:sz w:val="24"/>
              </w:rPr>
              <w:t>002890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1,243,377,987.20</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842,559,671.00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E</w:t>
            </w:r>
          </w:p>
        </w:tc>
      </w:tr>
      <w:tr w:rsidR="00E8309D" w:rsidRPr="000E4C40" w:rsidTr="0017417E">
        <w:trPr>
          <w:trHeight w:val="343"/>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6,628,410.38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6,001,245.19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6,628,410.38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6,001,245.19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1,243,377,987.20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842,559,671.00</w:t>
            </w:r>
          </w:p>
        </w:tc>
      </w:tr>
    </w:tbl>
    <w:p w:rsidR="006311F7" w:rsidRDefault="00CC716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640DE4">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交银天利宝货币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6311F7" w:rsidRPr="0017417E">
        <w:trPr>
          <w:jc w:val="center"/>
        </w:trPr>
        <w:tc>
          <w:tcPr>
            <w:tcW w:w="1266" w:type="dxa"/>
            <w:vAlign w:val="center"/>
          </w:tcPr>
          <w:p w:rsidR="006311F7" w:rsidRPr="0017417E" w:rsidRDefault="00CC7166">
            <w:pPr>
              <w:jc w:val="left"/>
              <w:rPr>
                <w:sz w:val="24"/>
              </w:rPr>
            </w:pPr>
            <w:r w:rsidRPr="0017417E">
              <w:rPr>
                <w:color w:val="000000"/>
                <w:sz w:val="24"/>
              </w:rPr>
              <w:t>过去三个</w:t>
            </w:r>
            <w:r w:rsidRPr="0017417E">
              <w:rPr>
                <w:color w:val="000000"/>
                <w:sz w:val="24"/>
              </w:rPr>
              <w:lastRenderedPageBreak/>
              <w:t>月</w:t>
            </w:r>
          </w:p>
        </w:tc>
        <w:tc>
          <w:tcPr>
            <w:tcW w:w="1267" w:type="dxa"/>
            <w:vAlign w:val="center"/>
          </w:tcPr>
          <w:p w:rsidR="006311F7" w:rsidRPr="0017417E" w:rsidRDefault="00CC7166">
            <w:pPr>
              <w:jc w:val="center"/>
              <w:rPr>
                <w:sz w:val="24"/>
              </w:rPr>
            </w:pPr>
            <w:r w:rsidRPr="0017417E">
              <w:rPr>
                <w:color w:val="000000"/>
                <w:sz w:val="24"/>
              </w:rPr>
              <w:lastRenderedPageBreak/>
              <w:t>0.6308%</w:t>
            </w:r>
          </w:p>
        </w:tc>
        <w:tc>
          <w:tcPr>
            <w:tcW w:w="1267" w:type="dxa"/>
            <w:vAlign w:val="center"/>
          </w:tcPr>
          <w:p w:rsidR="006311F7" w:rsidRPr="0017417E" w:rsidRDefault="00CC7166">
            <w:pPr>
              <w:jc w:val="center"/>
              <w:rPr>
                <w:sz w:val="24"/>
              </w:rPr>
            </w:pPr>
            <w:r w:rsidRPr="0017417E">
              <w:rPr>
                <w:color w:val="000000"/>
                <w:sz w:val="24"/>
              </w:rPr>
              <w:t>0.0019%</w:t>
            </w:r>
          </w:p>
        </w:tc>
        <w:tc>
          <w:tcPr>
            <w:tcW w:w="1267" w:type="dxa"/>
            <w:vAlign w:val="center"/>
          </w:tcPr>
          <w:p w:rsidR="006311F7" w:rsidRPr="0017417E" w:rsidRDefault="00CC7166">
            <w:pPr>
              <w:jc w:val="center"/>
              <w:rPr>
                <w:sz w:val="24"/>
              </w:rPr>
            </w:pPr>
            <w:r w:rsidRPr="0017417E">
              <w:rPr>
                <w:color w:val="000000"/>
                <w:sz w:val="24"/>
              </w:rPr>
              <w:t>0.0873%</w:t>
            </w:r>
          </w:p>
        </w:tc>
        <w:tc>
          <w:tcPr>
            <w:tcW w:w="1267" w:type="dxa"/>
            <w:vAlign w:val="center"/>
          </w:tcPr>
          <w:p w:rsidR="006311F7" w:rsidRPr="0017417E" w:rsidRDefault="00CC7166">
            <w:pPr>
              <w:jc w:val="center"/>
              <w:rPr>
                <w:sz w:val="24"/>
              </w:rPr>
            </w:pPr>
            <w:r w:rsidRPr="0017417E">
              <w:rPr>
                <w:color w:val="000000"/>
                <w:sz w:val="24"/>
              </w:rPr>
              <w:t>0.0000%</w:t>
            </w:r>
          </w:p>
        </w:tc>
        <w:tc>
          <w:tcPr>
            <w:tcW w:w="1267" w:type="dxa"/>
            <w:vAlign w:val="center"/>
          </w:tcPr>
          <w:p w:rsidR="006311F7" w:rsidRPr="0017417E" w:rsidRDefault="00CC7166">
            <w:pPr>
              <w:jc w:val="center"/>
              <w:rPr>
                <w:sz w:val="24"/>
              </w:rPr>
            </w:pPr>
            <w:r w:rsidRPr="0017417E">
              <w:rPr>
                <w:color w:val="000000"/>
                <w:sz w:val="24"/>
              </w:rPr>
              <w:t>0.5435%</w:t>
            </w:r>
          </w:p>
        </w:tc>
        <w:tc>
          <w:tcPr>
            <w:tcW w:w="1267" w:type="dxa"/>
            <w:vAlign w:val="center"/>
          </w:tcPr>
          <w:p w:rsidR="006311F7" w:rsidRPr="0017417E" w:rsidRDefault="00CC7166">
            <w:pPr>
              <w:jc w:val="center"/>
              <w:rPr>
                <w:sz w:val="24"/>
              </w:rPr>
            </w:pPr>
            <w:r w:rsidRPr="0017417E">
              <w:rPr>
                <w:color w:val="000000"/>
                <w:sz w:val="24"/>
              </w:rPr>
              <w:t>0.0019%</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bookmarkStart w:id="0" w:name="_GoBack"/>
      <w:bookmarkEnd w:id="0"/>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交银天利宝货币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6311F7" w:rsidRPr="0017417E">
        <w:trPr>
          <w:jc w:val="center"/>
        </w:trPr>
        <w:tc>
          <w:tcPr>
            <w:tcW w:w="1266" w:type="dxa"/>
            <w:vAlign w:val="center"/>
          </w:tcPr>
          <w:p w:rsidR="006311F7" w:rsidRPr="0017417E" w:rsidRDefault="00CC7166">
            <w:pPr>
              <w:jc w:val="left"/>
              <w:rPr>
                <w:sz w:val="24"/>
              </w:rPr>
            </w:pPr>
            <w:r w:rsidRPr="0017417E">
              <w:rPr>
                <w:color w:val="000000"/>
                <w:sz w:val="24"/>
              </w:rPr>
              <w:t>过去三个月</w:t>
            </w:r>
          </w:p>
        </w:tc>
        <w:tc>
          <w:tcPr>
            <w:tcW w:w="1267" w:type="dxa"/>
            <w:vAlign w:val="center"/>
          </w:tcPr>
          <w:p w:rsidR="006311F7" w:rsidRPr="0017417E" w:rsidRDefault="00CC7166">
            <w:pPr>
              <w:jc w:val="center"/>
              <w:rPr>
                <w:sz w:val="24"/>
              </w:rPr>
            </w:pPr>
            <w:r w:rsidRPr="0017417E">
              <w:rPr>
                <w:color w:val="000000"/>
                <w:sz w:val="24"/>
              </w:rPr>
              <w:t>0.6906%</w:t>
            </w:r>
          </w:p>
        </w:tc>
        <w:tc>
          <w:tcPr>
            <w:tcW w:w="1267" w:type="dxa"/>
            <w:vAlign w:val="center"/>
          </w:tcPr>
          <w:p w:rsidR="006311F7" w:rsidRPr="0017417E" w:rsidRDefault="00CC7166">
            <w:pPr>
              <w:jc w:val="center"/>
              <w:rPr>
                <w:sz w:val="24"/>
              </w:rPr>
            </w:pPr>
            <w:r w:rsidRPr="0017417E">
              <w:rPr>
                <w:color w:val="000000"/>
                <w:sz w:val="24"/>
              </w:rPr>
              <w:t>0.0019%</w:t>
            </w:r>
          </w:p>
        </w:tc>
        <w:tc>
          <w:tcPr>
            <w:tcW w:w="1267" w:type="dxa"/>
            <w:vAlign w:val="center"/>
          </w:tcPr>
          <w:p w:rsidR="006311F7" w:rsidRPr="0017417E" w:rsidRDefault="00CC7166">
            <w:pPr>
              <w:jc w:val="center"/>
              <w:rPr>
                <w:sz w:val="24"/>
              </w:rPr>
            </w:pPr>
            <w:r w:rsidRPr="0017417E">
              <w:rPr>
                <w:color w:val="000000"/>
                <w:sz w:val="24"/>
              </w:rPr>
              <w:t>0.0873%</w:t>
            </w:r>
          </w:p>
        </w:tc>
        <w:tc>
          <w:tcPr>
            <w:tcW w:w="1267" w:type="dxa"/>
            <w:vAlign w:val="center"/>
          </w:tcPr>
          <w:p w:rsidR="006311F7" w:rsidRPr="0017417E" w:rsidRDefault="00CC7166">
            <w:pPr>
              <w:jc w:val="center"/>
              <w:rPr>
                <w:sz w:val="24"/>
              </w:rPr>
            </w:pPr>
            <w:r w:rsidRPr="0017417E">
              <w:rPr>
                <w:color w:val="000000"/>
                <w:sz w:val="24"/>
              </w:rPr>
              <w:t>0.0000%</w:t>
            </w:r>
          </w:p>
        </w:tc>
        <w:tc>
          <w:tcPr>
            <w:tcW w:w="1267" w:type="dxa"/>
            <w:vAlign w:val="center"/>
          </w:tcPr>
          <w:p w:rsidR="006311F7" w:rsidRPr="0017417E" w:rsidRDefault="00CC7166">
            <w:pPr>
              <w:jc w:val="center"/>
              <w:rPr>
                <w:sz w:val="24"/>
              </w:rPr>
            </w:pPr>
            <w:r w:rsidRPr="0017417E">
              <w:rPr>
                <w:color w:val="000000"/>
                <w:sz w:val="24"/>
              </w:rPr>
              <w:t>0.6033%</w:t>
            </w:r>
          </w:p>
        </w:tc>
        <w:tc>
          <w:tcPr>
            <w:tcW w:w="1267" w:type="dxa"/>
            <w:vAlign w:val="center"/>
          </w:tcPr>
          <w:p w:rsidR="006311F7" w:rsidRPr="0017417E" w:rsidRDefault="00CC7166">
            <w:pPr>
              <w:jc w:val="center"/>
              <w:rPr>
                <w:sz w:val="24"/>
              </w:rPr>
            </w:pPr>
            <w:r w:rsidRPr="0017417E">
              <w:rPr>
                <w:color w:val="000000"/>
                <w:sz w:val="24"/>
              </w:rPr>
              <w:t>0.0019%</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交银施罗德天利宝货币市场基金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10</w:t>
      </w:r>
      <w:r w:rsidR="00D87D00" w:rsidRPr="000E4C40">
        <w:rPr>
          <w:color w:val="000000"/>
          <w:kern w:val="0"/>
          <w:sz w:val="24"/>
        </w:rPr>
        <w:t>月</w:t>
      </w:r>
      <w:r w:rsidR="00D87D00" w:rsidRPr="000E4C40">
        <w:rPr>
          <w:color w:val="000000"/>
          <w:kern w:val="0"/>
          <w:sz w:val="24"/>
        </w:rPr>
        <w:t>19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交银天利宝货币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交银天利宝货币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6311F7">
        <w:trPr>
          <w:jc w:val="center"/>
        </w:trPr>
        <w:tc>
          <w:tcPr>
            <w:tcW w:w="945" w:type="dxa"/>
            <w:vAlign w:val="center"/>
          </w:tcPr>
          <w:p w:rsidR="006311F7" w:rsidRDefault="00CC7166">
            <w:pPr>
              <w:jc w:val="center"/>
            </w:pPr>
            <w:r>
              <w:rPr>
                <w:color w:val="000000"/>
                <w:sz w:val="24"/>
              </w:rPr>
              <w:t>黄莹洁</w:t>
            </w:r>
          </w:p>
        </w:tc>
        <w:tc>
          <w:tcPr>
            <w:tcW w:w="1589" w:type="dxa"/>
            <w:vAlign w:val="center"/>
          </w:tcPr>
          <w:p w:rsidR="006311F7" w:rsidRDefault="00CC7166">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w:t>
            </w:r>
            <w:r>
              <w:rPr>
                <w:color w:val="000000"/>
                <w:sz w:val="24"/>
              </w:rPr>
              <w:lastRenderedPageBreak/>
              <w:t>天益宝货币、交银境尚收益债券、交银稳鑫短债债券、交银稳利中短债债券的基金经理</w:t>
            </w:r>
          </w:p>
        </w:tc>
        <w:tc>
          <w:tcPr>
            <w:tcW w:w="1478" w:type="dxa"/>
            <w:vAlign w:val="center"/>
          </w:tcPr>
          <w:p w:rsidR="006311F7" w:rsidRDefault="00CC7166">
            <w:pPr>
              <w:jc w:val="center"/>
            </w:pPr>
            <w:r>
              <w:rPr>
                <w:color w:val="000000"/>
                <w:sz w:val="24"/>
              </w:rPr>
              <w:lastRenderedPageBreak/>
              <w:t>2016-10-19</w:t>
            </w:r>
          </w:p>
        </w:tc>
        <w:tc>
          <w:tcPr>
            <w:tcW w:w="1478" w:type="dxa"/>
            <w:vAlign w:val="center"/>
          </w:tcPr>
          <w:p w:rsidR="006311F7" w:rsidRDefault="00CC7166">
            <w:pPr>
              <w:jc w:val="center"/>
            </w:pPr>
            <w:r>
              <w:rPr>
                <w:color w:val="000000"/>
                <w:sz w:val="24"/>
              </w:rPr>
              <w:t>-</w:t>
            </w:r>
          </w:p>
        </w:tc>
        <w:tc>
          <w:tcPr>
            <w:tcW w:w="986" w:type="dxa"/>
            <w:vAlign w:val="center"/>
          </w:tcPr>
          <w:p w:rsidR="006311F7" w:rsidRDefault="00CC7166">
            <w:pPr>
              <w:jc w:val="center"/>
            </w:pPr>
            <w:r>
              <w:rPr>
                <w:color w:val="000000"/>
                <w:sz w:val="24"/>
              </w:rPr>
              <w:t>12</w:t>
            </w:r>
            <w:r>
              <w:rPr>
                <w:color w:val="000000"/>
                <w:sz w:val="24"/>
              </w:rPr>
              <w:t>年</w:t>
            </w:r>
          </w:p>
        </w:tc>
        <w:tc>
          <w:tcPr>
            <w:tcW w:w="2392" w:type="dxa"/>
            <w:vAlign w:val="center"/>
          </w:tcPr>
          <w:p w:rsidR="006311F7" w:rsidRDefault="00CC716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w:t>
            </w:r>
            <w:r>
              <w:rPr>
                <w:color w:val="000000"/>
                <w:sz w:val="24"/>
              </w:rPr>
              <w:lastRenderedPageBreak/>
              <w:t>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lastRenderedPageBreak/>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6311F7" w:rsidRDefault="00CC716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311F7" w:rsidRDefault="00CC716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311F7" w:rsidRDefault="00CC716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6311F7" w:rsidRDefault="00CC7166">
      <w:pPr>
        <w:spacing w:before="29" w:line="288" w:lineRule="auto"/>
        <w:ind w:firstLineChars="200" w:firstLine="480"/>
        <w:rPr>
          <w:color w:val="000000"/>
          <w:sz w:val="24"/>
        </w:rPr>
      </w:pPr>
      <w:r>
        <w:rPr>
          <w:color w:val="000000"/>
          <w:sz w:val="24"/>
        </w:rPr>
        <w:t>本报告期内，债券收益率呈现震荡下行趋势，货币政策延续宽松，债市的主要行情来自国内新冠病毒疫情爆发和海外疫情扩散两个阶段，收益率曲线呈现牛市陡峭化。截止</w:t>
      </w:r>
      <w:r>
        <w:rPr>
          <w:color w:val="000000"/>
          <w:sz w:val="24"/>
        </w:rPr>
        <w:t>2020</w:t>
      </w:r>
      <w:r>
        <w:rPr>
          <w:color w:val="000000"/>
          <w:sz w:val="24"/>
        </w:rPr>
        <w:t>年</w:t>
      </w:r>
      <w:r>
        <w:rPr>
          <w:color w:val="000000"/>
          <w:sz w:val="24"/>
        </w:rPr>
        <w:t>3</w:t>
      </w:r>
      <w:r>
        <w:rPr>
          <w:color w:val="000000"/>
          <w:sz w:val="24"/>
        </w:rPr>
        <w:t>月</w:t>
      </w:r>
      <w:r>
        <w:rPr>
          <w:color w:val="000000"/>
          <w:sz w:val="24"/>
        </w:rPr>
        <w:t>31</w:t>
      </w:r>
      <w:r>
        <w:rPr>
          <w:color w:val="000000"/>
          <w:sz w:val="24"/>
        </w:rPr>
        <w:t>日，十年国债和十年国开债分别收于</w:t>
      </w:r>
      <w:r>
        <w:rPr>
          <w:color w:val="000000"/>
          <w:sz w:val="24"/>
        </w:rPr>
        <w:t>2.59%</w:t>
      </w:r>
      <w:r>
        <w:rPr>
          <w:color w:val="000000"/>
          <w:sz w:val="24"/>
        </w:rPr>
        <w:t>和</w:t>
      </w:r>
      <w:r>
        <w:rPr>
          <w:color w:val="000000"/>
          <w:sz w:val="24"/>
        </w:rPr>
        <w:t>2.95%</w:t>
      </w:r>
      <w:r>
        <w:rPr>
          <w:color w:val="000000"/>
          <w:sz w:val="24"/>
        </w:rPr>
        <w:t>，较</w:t>
      </w:r>
      <w:r>
        <w:rPr>
          <w:color w:val="000000"/>
          <w:sz w:val="24"/>
        </w:rPr>
        <w:t>2019</w:t>
      </w:r>
      <w:r>
        <w:rPr>
          <w:color w:val="000000"/>
          <w:sz w:val="24"/>
        </w:rPr>
        <w:t>年底分别下行</w:t>
      </w:r>
      <w:r>
        <w:rPr>
          <w:color w:val="000000"/>
          <w:sz w:val="24"/>
        </w:rPr>
        <w:t>55bp</w:t>
      </w:r>
      <w:r>
        <w:rPr>
          <w:color w:val="000000"/>
          <w:sz w:val="24"/>
        </w:rPr>
        <w:t>和</w:t>
      </w:r>
      <w:r>
        <w:rPr>
          <w:color w:val="000000"/>
          <w:sz w:val="24"/>
        </w:rPr>
        <w:t>63bp</w:t>
      </w:r>
      <w:r>
        <w:rPr>
          <w:color w:val="000000"/>
          <w:sz w:val="24"/>
        </w:rPr>
        <w:t>。</w:t>
      </w:r>
    </w:p>
    <w:p w:rsidR="006311F7" w:rsidRDefault="00CC7166">
      <w:pPr>
        <w:spacing w:before="29" w:line="288" w:lineRule="auto"/>
        <w:ind w:firstLineChars="200" w:firstLine="480"/>
        <w:rPr>
          <w:color w:val="000000"/>
          <w:sz w:val="24"/>
        </w:rPr>
      </w:pPr>
      <w:r>
        <w:rPr>
          <w:color w:val="000000"/>
          <w:sz w:val="24"/>
        </w:rPr>
        <w:t>在货币政策宽松的格局下，货币市场工具利率大幅下行，三个月股份制银行的存款利率下行到</w:t>
      </w:r>
      <w:r>
        <w:rPr>
          <w:color w:val="000000"/>
          <w:sz w:val="24"/>
        </w:rPr>
        <w:t>1.7%</w:t>
      </w:r>
      <w:r>
        <w:rPr>
          <w:color w:val="000000"/>
          <w:sz w:val="24"/>
        </w:rPr>
        <w:t>附近。受此影响，货币市场基金的收益率也明显回落。</w:t>
      </w:r>
    </w:p>
    <w:p w:rsidR="006311F7" w:rsidRDefault="00CC7166">
      <w:pPr>
        <w:spacing w:before="29" w:line="288" w:lineRule="auto"/>
        <w:ind w:firstLineChars="200" w:firstLine="480"/>
        <w:rPr>
          <w:color w:val="000000"/>
          <w:sz w:val="24"/>
        </w:rPr>
      </w:pPr>
      <w:r>
        <w:rPr>
          <w:color w:val="000000"/>
          <w:sz w:val="24"/>
        </w:rPr>
        <w:t>基金操作方面，我们仍旧保持短久期的操作思路，适当运用杠杆增厚组合收益，多投资于估值波动较小的银行存款与回购等。由于同业存单利率下行幅度较大，高等级信用债的性价比相对更优，组合适当增配了高等级信用债，降低了同业存单的配置，组合整体流动性良好。</w:t>
      </w:r>
    </w:p>
    <w:p w:rsidR="006311F7" w:rsidRDefault="00CC7166">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二季度，海外疫情的变化和国内政策的应对将成为影响债券市场的主要因素。在全球经济受疫情影响时间拉长、程度加深的背景下，中国经济很难独善其身，在信用扩张和经济拐点出现之前货币政策仍将维持宽松。债券市场短期内或维持震荡偏强的走势。后期利率下行的空间来自海外危机模式下对避险资产的需求，可能的调整信号需观察财政刺激力度和海外疫情拐点，收益率明显上行的概率不大，短端利率仍将维持低位。</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w:t>
      </w:r>
      <w:r w:rsidRPr="000E4C40">
        <w:rPr>
          <w:color w:val="000000"/>
          <w:sz w:val="24"/>
        </w:rPr>
        <w:lastRenderedPageBreak/>
        <w:t>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1,356,613,530.76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54.59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1,176,613,530.76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47.35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7.24</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429,131,323.70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17.27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691,095,355.55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27.81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8,165,832.20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2,485,006,042.21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14.20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lastRenderedPageBreak/>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397,999,281.00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19.08</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87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44</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35.97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19.08</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20.60</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34.91</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27.26</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118.74</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19.08</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9,965,442.11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0.48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100,246,035.29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4.81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100,246,035.29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4.81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649,693,567.67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31.15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416,708,485.69</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19.98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1,176,613,530.76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56.41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978"/>
        <w:gridCol w:w="1369"/>
        <w:gridCol w:w="1945"/>
        <w:gridCol w:w="1582"/>
        <w:gridCol w:w="1596"/>
        <w:gridCol w:w="1832"/>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lastRenderedPageBreak/>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lastRenderedPageBreak/>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w:t>
            </w:r>
            <w:r w:rsidRPr="000E4C40">
              <w:rPr>
                <w:rFonts w:hAnsi="宋体"/>
                <w:color w:val="000000"/>
                <w:kern w:val="0"/>
                <w:sz w:val="24"/>
              </w:rPr>
              <w:lastRenderedPageBreak/>
              <w:t>值比例（％）</w:t>
            </w:r>
          </w:p>
        </w:tc>
      </w:tr>
      <w:tr w:rsidR="006311F7">
        <w:trPr>
          <w:jc w:val="center"/>
        </w:trPr>
        <w:tc>
          <w:tcPr>
            <w:tcW w:w="0" w:type="auto"/>
            <w:vAlign w:val="center"/>
          </w:tcPr>
          <w:p w:rsidR="006311F7" w:rsidRDefault="00CC7166">
            <w:pPr>
              <w:jc w:val="center"/>
            </w:pPr>
            <w:r>
              <w:rPr>
                <w:color w:val="000000"/>
                <w:sz w:val="24"/>
              </w:rPr>
              <w:lastRenderedPageBreak/>
              <w:t>1</w:t>
            </w:r>
          </w:p>
        </w:tc>
        <w:tc>
          <w:tcPr>
            <w:tcW w:w="0" w:type="auto"/>
            <w:vAlign w:val="center"/>
          </w:tcPr>
          <w:p w:rsidR="006311F7" w:rsidRDefault="00CC7166">
            <w:pPr>
              <w:jc w:val="center"/>
            </w:pPr>
            <w:r>
              <w:rPr>
                <w:color w:val="000000"/>
                <w:sz w:val="24"/>
              </w:rPr>
              <w:t>111921482</w:t>
            </w:r>
          </w:p>
        </w:tc>
        <w:tc>
          <w:tcPr>
            <w:tcW w:w="0" w:type="auto"/>
            <w:vAlign w:val="center"/>
          </w:tcPr>
          <w:p w:rsidR="006311F7" w:rsidRDefault="00CC7166">
            <w:pPr>
              <w:jc w:val="center"/>
            </w:pPr>
            <w:r>
              <w:rPr>
                <w:color w:val="000000"/>
                <w:sz w:val="24"/>
              </w:rPr>
              <w:t>19</w:t>
            </w:r>
            <w:r>
              <w:rPr>
                <w:color w:val="000000"/>
                <w:sz w:val="24"/>
              </w:rPr>
              <w:t>渤海银行</w:t>
            </w:r>
            <w:r>
              <w:rPr>
                <w:color w:val="000000"/>
                <w:sz w:val="24"/>
              </w:rPr>
              <w:t>CD482</w:t>
            </w:r>
          </w:p>
        </w:tc>
        <w:tc>
          <w:tcPr>
            <w:tcW w:w="0" w:type="auto"/>
            <w:vAlign w:val="center"/>
          </w:tcPr>
          <w:p w:rsidR="006311F7" w:rsidRDefault="00CC7166">
            <w:pPr>
              <w:jc w:val="right"/>
            </w:pPr>
            <w:r>
              <w:rPr>
                <w:color w:val="000000"/>
                <w:sz w:val="24"/>
              </w:rPr>
              <w:t>1,000,000</w:t>
            </w:r>
          </w:p>
        </w:tc>
        <w:tc>
          <w:tcPr>
            <w:tcW w:w="0" w:type="auto"/>
            <w:vAlign w:val="center"/>
          </w:tcPr>
          <w:p w:rsidR="006311F7" w:rsidRDefault="00CC7166">
            <w:pPr>
              <w:jc w:val="right"/>
            </w:pPr>
            <w:r>
              <w:rPr>
                <w:color w:val="000000"/>
                <w:sz w:val="24"/>
              </w:rPr>
              <w:t>99,282,648.00</w:t>
            </w:r>
          </w:p>
        </w:tc>
        <w:tc>
          <w:tcPr>
            <w:tcW w:w="0" w:type="auto"/>
            <w:vAlign w:val="center"/>
          </w:tcPr>
          <w:p w:rsidR="006311F7" w:rsidRDefault="00CC7166">
            <w:pPr>
              <w:jc w:val="right"/>
            </w:pPr>
            <w:r>
              <w:rPr>
                <w:color w:val="000000"/>
                <w:sz w:val="24"/>
              </w:rPr>
              <w:t>4.76</w:t>
            </w:r>
          </w:p>
        </w:tc>
      </w:tr>
      <w:tr w:rsidR="006311F7">
        <w:trPr>
          <w:jc w:val="center"/>
        </w:trPr>
        <w:tc>
          <w:tcPr>
            <w:tcW w:w="0" w:type="auto"/>
            <w:vAlign w:val="center"/>
          </w:tcPr>
          <w:p w:rsidR="006311F7" w:rsidRDefault="00CC7166">
            <w:pPr>
              <w:jc w:val="center"/>
            </w:pPr>
            <w:r>
              <w:rPr>
                <w:color w:val="000000"/>
                <w:sz w:val="24"/>
              </w:rPr>
              <w:t>2</w:t>
            </w:r>
          </w:p>
        </w:tc>
        <w:tc>
          <w:tcPr>
            <w:tcW w:w="0" w:type="auto"/>
            <w:vAlign w:val="center"/>
          </w:tcPr>
          <w:p w:rsidR="006311F7" w:rsidRDefault="00CC7166">
            <w:pPr>
              <w:jc w:val="center"/>
            </w:pPr>
            <w:r>
              <w:rPr>
                <w:color w:val="000000"/>
                <w:sz w:val="24"/>
              </w:rPr>
              <w:t>011902742</w:t>
            </w:r>
          </w:p>
        </w:tc>
        <w:tc>
          <w:tcPr>
            <w:tcW w:w="0" w:type="auto"/>
            <w:vAlign w:val="center"/>
          </w:tcPr>
          <w:p w:rsidR="006311F7" w:rsidRDefault="00CC7166">
            <w:pPr>
              <w:jc w:val="center"/>
            </w:pPr>
            <w:r>
              <w:rPr>
                <w:color w:val="000000"/>
                <w:sz w:val="24"/>
              </w:rPr>
              <w:t>19</w:t>
            </w:r>
            <w:r>
              <w:rPr>
                <w:color w:val="000000"/>
                <w:sz w:val="24"/>
              </w:rPr>
              <w:t>华电</w:t>
            </w:r>
            <w:r>
              <w:rPr>
                <w:color w:val="000000"/>
                <w:sz w:val="24"/>
              </w:rPr>
              <w:t>SCP037</w:t>
            </w:r>
          </w:p>
        </w:tc>
        <w:tc>
          <w:tcPr>
            <w:tcW w:w="0" w:type="auto"/>
            <w:vAlign w:val="center"/>
          </w:tcPr>
          <w:p w:rsidR="006311F7" w:rsidRDefault="00CC7166">
            <w:pPr>
              <w:jc w:val="right"/>
            </w:pPr>
            <w:r>
              <w:rPr>
                <w:color w:val="000000"/>
                <w:sz w:val="24"/>
              </w:rPr>
              <w:t>800,000</w:t>
            </w:r>
          </w:p>
        </w:tc>
        <w:tc>
          <w:tcPr>
            <w:tcW w:w="0" w:type="auto"/>
            <w:vAlign w:val="center"/>
          </w:tcPr>
          <w:p w:rsidR="006311F7" w:rsidRDefault="00CC7166">
            <w:pPr>
              <w:jc w:val="right"/>
            </w:pPr>
            <w:r>
              <w:rPr>
                <w:color w:val="000000"/>
                <w:sz w:val="24"/>
              </w:rPr>
              <w:t>79,945,976.34</w:t>
            </w:r>
          </w:p>
        </w:tc>
        <w:tc>
          <w:tcPr>
            <w:tcW w:w="0" w:type="auto"/>
            <w:vAlign w:val="center"/>
          </w:tcPr>
          <w:p w:rsidR="006311F7" w:rsidRDefault="00CC7166">
            <w:pPr>
              <w:jc w:val="right"/>
            </w:pPr>
            <w:r>
              <w:rPr>
                <w:color w:val="000000"/>
                <w:sz w:val="24"/>
              </w:rPr>
              <w:t>3.83</w:t>
            </w:r>
          </w:p>
        </w:tc>
      </w:tr>
      <w:tr w:rsidR="006311F7">
        <w:trPr>
          <w:jc w:val="center"/>
        </w:trPr>
        <w:tc>
          <w:tcPr>
            <w:tcW w:w="0" w:type="auto"/>
            <w:vAlign w:val="center"/>
          </w:tcPr>
          <w:p w:rsidR="006311F7" w:rsidRDefault="00CC7166">
            <w:pPr>
              <w:jc w:val="center"/>
            </w:pPr>
            <w:r>
              <w:rPr>
                <w:color w:val="000000"/>
                <w:sz w:val="24"/>
              </w:rPr>
              <w:t>3</w:t>
            </w:r>
          </w:p>
        </w:tc>
        <w:tc>
          <w:tcPr>
            <w:tcW w:w="0" w:type="auto"/>
            <w:vAlign w:val="center"/>
          </w:tcPr>
          <w:p w:rsidR="006311F7" w:rsidRDefault="00CC7166">
            <w:pPr>
              <w:jc w:val="center"/>
            </w:pPr>
            <w:r>
              <w:rPr>
                <w:color w:val="000000"/>
                <w:sz w:val="24"/>
              </w:rPr>
              <w:t>111998022</w:t>
            </w:r>
          </w:p>
        </w:tc>
        <w:tc>
          <w:tcPr>
            <w:tcW w:w="0" w:type="auto"/>
            <w:vAlign w:val="center"/>
          </w:tcPr>
          <w:p w:rsidR="006311F7" w:rsidRDefault="00CC7166">
            <w:pPr>
              <w:jc w:val="center"/>
            </w:pPr>
            <w:r>
              <w:rPr>
                <w:color w:val="000000"/>
                <w:sz w:val="24"/>
              </w:rPr>
              <w:t>19</w:t>
            </w:r>
            <w:r>
              <w:rPr>
                <w:color w:val="000000"/>
                <w:sz w:val="24"/>
              </w:rPr>
              <w:t>甘肃银行</w:t>
            </w:r>
            <w:r>
              <w:rPr>
                <w:color w:val="000000"/>
                <w:sz w:val="24"/>
              </w:rPr>
              <w:t>CD041</w:t>
            </w:r>
          </w:p>
        </w:tc>
        <w:tc>
          <w:tcPr>
            <w:tcW w:w="0" w:type="auto"/>
            <w:vAlign w:val="center"/>
          </w:tcPr>
          <w:p w:rsidR="006311F7" w:rsidRDefault="00CC7166">
            <w:pPr>
              <w:jc w:val="right"/>
            </w:pPr>
            <w:r>
              <w:rPr>
                <w:color w:val="000000"/>
                <w:sz w:val="24"/>
              </w:rPr>
              <w:t>600,000</w:t>
            </w:r>
          </w:p>
        </w:tc>
        <w:tc>
          <w:tcPr>
            <w:tcW w:w="0" w:type="auto"/>
            <w:vAlign w:val="center"/>
          </w:tcPr>
          <w:p w:rsidR="006311F7" w:rsidRDefault="00CC7166">
            <w:pPr>
              <w:jc w:val="right"/>
            </w:pPr>
            <w:r>
              <w:rPr>
                <w:color w:val="000000"/>
                <w:sz w:val="24"/>
              </w:rPr>
              <w:t>59,737,339.87</w:t>
            </w:r>
          </w:p>
        </w:tc>
        <w:tc>
          <w:tcPr>
            <w:tcW w:w="0" w:type="auto"/>
            <w:vAlign w:val="center"/>
          </w:tcPr>
          <w:p w:rsidR="006311F7" w:rsidRDefault="00CC7166">
            <w:pPr>
              <w:jc w:val="right"/>
            </w:pPr>
            <w:r>
              <w:rPr>
                <w:color w:val="000000"/>
                <w:sz w:val="24"/>
              </w:rPr>
              <w:t>2.86</w:t>
            </w:r>
          </w:p>
        </w:tc>
      </w:tr>
      <w:tr w:rsidR="006311F7">
        <w:trPr>
          <w:jc w:val="center"/>
        </w:trPr>
        <w:tc>
          <w:tcPr>
            <w:tcW w:w="0" w:type="auto"/>
            <w:vAlign w:val="center"/>
          </w:tcPr>
          <w:p w:rsidR="006311F7" w:rsidRDefault="00CC7166">
            <w:pPr>
              <w:jc w:val="center"/>
            </w:pPr>
            <w:r>
              <w:rPr>
                <w:color w:val="000000"/>
                <w:sz w:val="24"/>
              </w:rPr>
              <w:t>4</w:t>
            </w:r>
          </w:p>
        </w:tc>
        <w:tc>
          <w:tcPr>
            <w:tcW w:w="0" w:type="auto"/>
            <w:vAlign w:val="center"/>
          </w:tcPr>
          <w:p w:rsidR="006311F7" w:rsidRDefault="00CC7166">
            <w:pPr>
              <w:jc w:val="center"/>
            </w:pPr>
            <w:r>
              <w:rPr>
                <w:color w:val="000000"/>
                <w:sz w:val="24"/>
              </w:rPr>
              <w:t>072000044</w:t>
            </w:r>
          </w:p>
        </w:tc>
        <w:tc>
          <w:tcPr>
            <w:tcW w:w="0" w:type="auto"/>
            <w:vAlign w:val="center"/>
          </w:tcPr>
          <w:p w:rsidR="006311F7" w:rsidRDefault="00CC7166">
            <w:pPr>
              <w:jc w:val="center"/>
            </w:pPr>
            <w:r>
              <w:rPr>
                <w:color w:val="000000"/>
                <w:sz w:val="24"/>
              </w:rPr>
              <w:t>20</w:t>
            </w:r>
            <w:r>
              <w:rPr>
                <w:color w:val="000000"/>
                <w:sz w:val="24"/>
              </w:rPr>
              <w:t>国泰君安</w:t>
            </w:r>
            <w:r>
              <w:rPr>
                <w:color w:val="000000"/>
                <w:sz w:val="24"/>
              </w:rPr>
              <w:t>CP002</w:t>
            </w:r>
          </w:p>
        </w:tc>
        <w:tc>
          <w:tcPr>
            <w:tcW w:w="0" w:type="auto"/>
            <w:vAlign w:val="center"/>
          </w:tcPr>
          <w:p w:rsidR="006311F7" w:rsidRDefault="00CC7166">
            <w:pPr>
              <w:jc w:val="right"/>
            </w:pPr>
            <w:r>
              <w:rPr>
                <w:color w:val="000000"/>
                <w:sz w:val="24"/>
              </w:rPr>
              <w:t>500,000</w:t>
            </w:r>
          </w:p>
        </w:tc>
        <w:tc>
          <w:tcPr>
            <w:tcW w:w="0" w:type="auto"/>
            <w:vAlign w:val="center"/>
          </w:tcPr>
          <w:p w:rsidR="006311F7" w:rsidRDefault="00CC7166">
            <w:pPr>
              <w:jc w:val="right"/>
            </w:pPr>
            <w:r>
              <w:rPr>
                <w:color w:val="000000"/>
                <w:sz w:val="24"/>
              </w:rPr>
              <w:t>50,006,872.32</w:t>
            </w:r>
          </w:p>
        </w:tc>
        <w:tc>
          <w:tcPr>
            <w:tcW w:w="0" w:type="auto"/>
            <w:vAlign w:val="center"/>
          </w:tcPr>
          <w:p w:rsidR="006311F7" w:rsidRDefault="00CC7166">
            <w:pPr>
              <w:jc w:val="right"/>
            </w:pPr>
            <w:r>
              <w:rPr>
                <w:color w:val="000000"/>
                <w:sz w:val="24"/>
              </w:rPr>
              <w:t>2.40</w:t>
            </w:r>
          </w:p>
        </w:tc>
      </w:tr>
      <w:tr w:rsidR="006311F7">
        <w:trPr>
          <w:jc w:val="center"/>
        </w:trPr>
        <w:tc>
          <w:tcPr>
            <w:tcW w:w="0" w:type="auto"/>
            <w:vAlign w:val="center"/>
          </w:tcPr>
          <w:p w:rsidR="006311F7" w:rsidRDefault="00CC7166">
            <w:pPr>
              <w:jc w:val="center"/>
            </w:pPr>
            <w:r>
              <w:rPr>
                <w:color w:val="000000"/>
                <w:sz w:val="24"/>
              </w:rPr>
              <w:t>5</w:t>
            </w:r>
          </w:p>
        </w:tc>
        <w:tc>
          <w:tcPr>
            <w:tcW w:w="0" w:type="auto"/>
            <w:vAlign w:val="center"/>
          </w:tcPr>
          <w:p w:rsidR="006311F7" w:rsidRDefault="00CC7166">
            <w:pPr>
              <w:jc w:val="center"/>
            </w:pPr>
            <w:r>
              <w:rPr>
                <w:color w:val="000000"/>
                <w:sz w:val="24"/>
              </w:rPr>
              <w:t>072000074</w:t>
            </w:r>
          </w:p>
        </w:tc>
        <w:tc>
          <w:tcPr>
            <w:tcW w:w="0" w:type="auto"/>
            <w:vAlign w:val="center"/>
          </w:tcPr>
          <w:p w:rsidR="006311F7" w:rsidRDefault="00CC7166">
            <w:pPr>
              <w:jc w:val="center"/>
            </w:pPr>
            <w:r>
              <w:rPr>
                <w:color w:val="000000"/>
                <w:sz w:val="24"/>
              </w:rPr>
              <w:t>20</w:t>
            </w:r>
            <w:r>
              <w:rPr>
                <w:color w:val="000000"/>
                <w:sz w:val="24"/>
              </w:rPr>
              <w:t>长城证券</w:t>
            </w:r>
            <w:r>
              <w:rPr>
                <w:color w:val="000000"/>
                <w:sz w:val="24"/>
              </w:rPr>
              <w:t>CP003</w:t>
            </w:r>
          </w:p>
        </w:tc>
        <w:tc>
          <w:tcPr>
            <w:tcW w:w="0" w:type="auto"/>
            <w:vAlign w:val="center"/>
          </w:tcPr>
          <w:p w:rsidR="006311F7" w:rsidRDefault="00CC7166">
            <w:pPr>
              <w:jc w:val="right"/>
            </w:pPr>
            <w:r>
              <w:rPr>
                <w:color w:val="000000"/>
                <w:sz w:val="24"/>
              </w:rPr>
              <w:t>500,000</w:t>
            </w:r>
          </w:p>
        </w:tc>
        <w:tc>
          <w:tcPr>
            <w:tcW w:w="0" w:type="auto"/>
            <w:vAlign w:val="center"/>
          </w:tcPr>
          <w:p w:rsidR="006311F7" w:rsidRDefault="00CC7166">
            <w:pPr>
              <w:jc w:val="right"/>
            </w:pPr>
            <w:r>
              <w:rPr>
                <w:color w:val="000000"/>
                <w:sz w:val="24"/>
              </w:rPr>
              <w:t>50,000,128.40</w:t>
            </w:r>
          </w:p>
        </w:tc>
        <w:tc>
          <w:tcPr>
            <w:tcW w:w="0" w:type="auto"/>
            <w:vAlign w:val="center"/>
          </w:tcPr>
          <w:p w:rsidR="006311F7" w:rsidRDefault="00CC7166">
            <w:pPr>
              <w:jc w:val="right"/>
            </w:pPr>
            <w:r>
              <w:rPr>
                <w:color w:val="000000"/>
                <w:sz w:val="24"/>
              </w:rPr>
              <w:t>2.40</w:t>
            </w:r>
          </w:p>
        </w:tc>
      </w:tr>
      <w:tr w:rsidR="006311F7">
        <w:trPr>
          <w:jc w:val="center"/>
        </w:trPr>
        <w:tc>
          <w:tcPr>
            <w:tcW w:w="0" w:type="auto"/>
            <w:vAlign w:val="center"/>
          </w:tcPr>
          <w:p w:rsidR="006311F7" w:rsidRDefault="00CC7166">
            <w:pPr>
              <w:jc w:val="center"/>
            </w:pPr>
            <w:r>
              <w:rPr>
                <w:color w:val="000000"/>
                <w:sz w:val="24"/>
              </w:rPr>
              <w:t>6</w:t>
            </w:r>
          </w:p>
        </w:tc>
        <w:tc>
          <w:tcPr>
            <w:tcW w:w="0" w:type="auto"/>
            <w:vAlign w:val="center"/>
          </w:tcPr>
          <w:p w:rsidR="006311F7" w:rsidRDefault="00CC7166">
            <w:pPr>
              <w:jc w:val="center"/>
            </w:pPr>
            <w:r>
              <w:rPr>
                <w:color w:val="000000"/>
                <w:sz w:val="24"/>
              </w:rPr>
              <w:t>072000067</w:t>
            </w:r>
          </w:p>
        </w:tc>
        <w:tc>
          <w:tcPr>
            <w:tcW w:w="0" w:type="auto"/>
            <w:vAlign w:val="center"/>
          </w:tcPr>
          <w:p w:rsidR="006311F7" w:rsidRDefault="00CC7166">
            <w:pPr>
              <w:jc w:val="center"/>
            </w:pPr>
            <w:r>
              <w:rPr>
                <w:color w:val="000000"/>
                <w:sz w:val="24"/>
              </w:rPr>
              <w:t>20</w:t>
            </w:r>
            <w:r>
              <w:rPr>
                <w:color w:val="000000"/>
                <w:sz w:val="24"/>
              </w:rPr>
              <w:t>华西证券</w:t>
            </w:r>
            <w:r>
              <w:rPr>
                <w:color w:val="000000"/>
                <w:sz w:val="24"/>
              </w:rPr>
              <w:t>CP003</w:t>
            </w:r>
          </w:p>
        </w:tc>
        <w:tc>
          <w:tcPr>
            <w:tcW w:w="0" w:type="auto"/>
            <w:vAlign w:val="center"/>
          </w:tcPr>
          <w:p w:rsidR="006311F7" w:rsidRDefault="00CC7166">
            <w:pPr>
              <w:jc w:val="right"/>
            </w:pPr>
            <w:r>
              <w:rPr>
                <w:color w:val="000000"/>
                <w:sz w:val="24"/>
              </w:rPr>
              <w:t>500,000</w:t>
            </w:r>
          </w:p>
        </w:tc>
        <w:tc>
          <w:tcPr>
            <w:tcW w:w="0" w:type="auto"/>
            <w:vAlign w:val="center"/>
          </w:tcPr>
          <w:p w:rsidR="006311F7" w:rsidRDefault="00CC7166">
            <w:pPr>
              <w:jc w:val="right"/>
            </w:pPr>
            <w:r>
              <w:rPr>
                <w:color w:val="000000"/>
                <w:sz w:val="24"/>
              </w:rPr>
              <w:t>50,000,000.00</w:t>
            </w:r>
          </w:p>
        </w:tc>
        <w:tc>
          <w:tcPr>
            <w:tcW w:w="0" w:type="auto"/>
            <w:vAlign w:val="center"/>
          </w:tcPr>
          <w:p w:rsidR="006311F7" w:rsidRDefault="00CC7166">
            <w:pPr>
              <w:jc w:val="right"/>
            </w:pPr>
            <w:r>
              <w:rPr>
                <w:color w:val="000000"/>
                <w:sz w:val="24"/>
              </w:rPr>
              <w:t>2.40</w:t>
            </w:r>
          </w:p>
        </w:tc>
      </w:tr>
      <w:tr w:rsidR="006311F7">
        <w:trPr>
          <w:jc w:val="center"/>
        </w:trPr>
        <w:tc>
          <w:tcPr>
            <w:tcW w:w="0" w:type="auto"/>
            <w:vAlign w:val="center"/>
          </w:tcPr>
          <w:p w:rsidR="006311F7" w:rsidRDefault="00CC7166">
            <w:pPr>
              <w:jc w:val="center"/>
            </w:pPr>
            <w:r>
              <w:rPr>
                <w:color w:val="000000"/>
                <w:sz w:val="24"/>
              </w:rPr>
              <w:t>7</w:t>
            </w:r>
          </w:p>
        </w:tc>
        <w:tc>
          <w:tcPr>
            <w:tcW w:w="0" w:type="auto"/>
            <w:vAlign w:val="center"/>
          </w:tcPr>
          <w:p w:rsidR="006311F7" w:rsidRDefault="00CC7166">
            <w:pPr>
              <w:jc w:val="center"/>
            </w:pPr>
            <w:r>
              <w:rPr>
                <w:color w:val="000000"/>
                <w:sz w:val="24"/>
              </w:rPr>
              <w:t>012000434</w:t>
            </w:r>
          </w:p>
        </w:tc>
        <w:tc>
          <w:tcPr>
            <w:tcW w:w="0" w:type="auto"/>
            <w:vAlign w:val="center"/>
          </w:tcPr>
          <w:p w:rsidR="006311F7" w:rsidRDefault="00CC7166">
            <w:pPr>
              <w:jc w:val="center"/>
            </w:pPr>
            <w:r>
              <w:rPr>
                <w:color w:val="000000"/>
                <w:sz w:val="24"/>
              </w:rPr>
              <w:t>20</w:t>
            </w:r>
            <w:r>
              <w:rPr>
                <w:color w:val="000000"/>
                <w:sz w:val="24"/>
              </w:rPr>
              <w:t>苏交通</w:t>
            </w:r>
            <w:r>
              <w:rPr>
                <w:color w:val="000000"/>
                <w:sz w:val="24"/>
              </w:rPr>
              <w:t>SCP003</w:t>
            </w:r>
          </w:p>
        </w:tc>
        <w:tc>
          <w:tcPr>
            <w:tcW w:w="0" w:type="auto"/>
            <w:vAlign w:val="center"/>
          </w:tcPr>
          <w:p w:rsidR="006311F7" w:rsidRDefault="00CC7166">
            <w:pPr>
              <w:jc w:val="right"/>
            </w:pPr>
            <w:r>
              <w:rPr>
                <w:color w:val="000000"/>
                <w:sz w:val="24"/>
              </w:rPr>
              <w:t>500,000</w:t>
            </w:r>
          </w:p>
        </w:tc>
        <w:tc>
          <w:tcPr>
            <w:tcW w:w="0" w:type="auto"/>
            <w:vAlign w:val="center"/>
          </w:tcPr>
          <w:p w:rsidR="006311F7" w:rsidRDefault="00CC7166">
            <w:pPr>
              <w:jc w:val="right"/>
            </w:pPr>
            <w:r>
              <w:rPr>
                <w:color w:val="000000"/>
                <w:sz w:val="24"/>
              </w:rPr>
              <w:t>49,994,604.89</w:t>
            </w:r>
          </w:p>
        </w:tc>
        <w:tc>
          <w:tcPr>
            <w:tcW w:w="0" w:type="auto"/>
            <w:vAlign w:val="center"/>
          </w:tcPr>
          <w:p w:rsidR="006311F7" w:rsidRDefault="00CC7166">
            <w:pPr>
              <w:jc w:val="right"/>
            </w:pPr>
            <w:r>
              <w:rPr>
                <w:color w:val="000000"/>
                <w:sz w:val="24"/>
              </w:rPr>
              <w:t>2.40</w:t>
            </w:r>
          </w:p>
        </w:tc>
      </w:tr>
      <w:tr w:rsidR="006311F7">
        <w:trPr>
          <w:jc w:val="center"/>
        </w:trPr>
        <w:tc>
          <w:tcPr>
            <w:tcW w:w="0" w:type="auto"/>
            <w:vAlign w:val="center"/>
          </w:tcPr>
          <w:p w:rsidR="006311F7" w:rsidRDefault="00CC7166">
            <w:pPr>
              <w:jc w:val="center"/>
            </w:pPr>
            <w:r>
              <w:rPr>
                <w:color w:val="000000"/>
                <w:sz w:val="24"/>
              </w:rPr>
              <w:t>8</w:t>
            </w:r>
          </w:p>
        </w:tc>
        <w:tc>
          <w:tcPr>
            <w:tcW w:w="0" w:type="auto"/>
            <w:vAlign w:val="center"/>
          </w:tcPr>
          <w:p w:rsidR="006311F7" w:rsidRDefault="00CC7166">
            <w:pPr>
              <w:jc w:val="center"/>
            </w:pPr>
            <w:r>
              <w:rPr>
                <w:color w:val="000000"/>
                <w:sz w:val="24"/>
              </w:rPr>
              <w:t>012000884</w:t>
            </w:r>
          </w:p>
        </w:tc>
        <w:tc>
          <w:tcPr>
            <w:tcW w:w="0" w:type="auto"/>
            <w:vAlign w:val="center"/>
          </w:tcPr>
          <w:p w:rsidR="006311F7" w:rsidRDefault="00CC7166">
            <w:pPr>
              <w:jc w:val="center"/>
            </w:pPr>
            <w:r>
              <w:rPr>
                <w:color w:val="000000"/>
                <w:sz w:val="24"/>
              </w:rPr>
              <w:t>20</w:t>
            </w:r>
            <w:r>
              <w:rPr>
                <w:color w:val="000000"/>
                <w:sz w:val="24"/>
              </w:rPr>
              <w:t>铁塔股份</w:t>
            </w:r>
            <w:r>
              <w:rPr>
                <w:color w:val="000000"/>
                <w:sz w:val="24"/>
              </w:rPr>
              <w:t>SCP003</w:t>
            </w:r>
          </w:p>
        </w:tc>
        <w:tc>
          <w:tcPr>
            <w:tcW w:w="0" w:type="auto"/>
            <w:vAlign w:val="center"/>
          </w:tcPr>
          <w:p w:rsidR="006311F7" w:rsidRDefault="00CC7166">
            <w:pPr>
              <w:jc w:val="right"/>
            </w:pPr>
            <w:r>
              <w:rPr>
                <w:color w:val="000000"/>
                <w:sz w:val="24"/>
              </w:rPr>
              <w:t>500,000</w:t>
            </w:r>
          </w:p>
        </w:tc>
        <w:tc>
          <w:tcPr>
            <w:tcW w:w="0" w:type="auto"/>
            <w:vAlign w:val="center"/>
          </w:tcPr>
          <w:p w:rsidR="006311F7" w:rsidRDefault="00CC7166">
            <w:pPr>
              <w:jc w:val="right"/>
            </w:pPr>
            <w:r>
              <w:rPr>
                <w:color w:val="000000"/>
                <w:sz w:val="24"/>
              </w:rPr>
              <w:t>49,924,372.32</w:t>
            </w:r>
          </w:p>
        </w:tc>
        <w:tc>
          <w:tcPr>
            <w:tcW w:w="0" w:type="auto"/>
            <w:vAlign w:val="center"/>
          </w:tcPr>
          <w:p w:rsidR="006311F7" w:rsidRDefault="00CC7166">
            <w:pPr>
              <w:jc w:val="right"/>
            </w:pPr>
            <w:r>
              <w:rPr>
                <w:color w:val="000000"/>
                <w:sz w:val="24"/>
              </w:rPr>
              <w:t>2.39</w:t>
            </w:r>
          </w:p>
        </w:tc>
      </w:tr>
      <w:tr w:rsidR="006311F7">
        <w:trPr>
          <w:jc w:val="center"/>
        </w:trPr>
        <w:tc>
          <w:tcPr>
            <w:tcW w:w="0" w:type="auto"/>
            <w:vAlign w:val="center"/>
          </w:tcPr>
          <w:p w:rsidR="006311F7" w:rsidRDefault="00CC7166">
            <w:pPr>
              <w:jc w:val="center"/>
            </w:pPr>
            <w:r>
              <w:rPr>
                <w:color w:val="000000"/>
                <w:sz w:val="24"/>
              </w:rPr>
              <w:t>9</w:t>
            </w:r>
          </w:p>
        </w:tc>
        <w:tc>
          <w:tcPr>
            <w:tcW w:w="0" w:type="auto"/>
            <w:vAlign w:val="center"/>
          </w:tcPr>
          <w:p w:rsidR="006311F7" w:rsidRDefault="00CC7166">
            <w:pPr>
              <w:jc w:val="center"/>
            </w:pPr>
            <w:r>
              <w:rPr>
                <w:color w:val="000000"/>
                <w:sz w:val="24"/>
              </w:rPr>
              <w:t>011903019</w:t>
            </w:r>
          </w:p>
        </w:tc>
        <w:tc>
          <w:tcPr>
            <w:tcW w:w="0" w:type="auto"/>
            <w:vAlign w:val="center"/>
          </w:tcPr>
          <w:p w:rsidR="006311F7" w:rsidRDefault="00CC7166">
            <w:pPr>
              <w:jc w:val="center"/>
            </w:pPr>
            <w:r>
              <w:rPr>
                <w:color w:val="000000"/>
                <w:sz w:val="24"/>
              </w:rPr>
              <w:t>19</w:t>
            </w:r>
            <w:r>
              <w:rPr>
                <w:color w:val="000000"/>
                <w:sz w:val="24"/>
              </w:rPr>
              <w:t>浙交投</w:t>
            </w:r>
            <w:r>
              <w:rPr>
                <w:color w:val="000000"/>
                <w:sz w:val="24"/>
              </w:rPr>
              <w:t>SCP007</w:t>
            </w:r>
          </w:p>
        </w:tc>
        <w:tc>
          <w:tcPr>
            <w:tcW w:w="0" w:type="auto"/>
            <w:vAlign w:val="center"/>
          </w:tcPr>
          <w:p w:rsidR="006311F7" w:rsidRDefault="00CC7166">
            <w:pPr>
              <w:jc w:val="right"/>
            </w:pPr>
            <w:r>
              <w:rPr>
                <w:color w:val="000000"/>
                <w:sz w:val="24"/>
              </w:rPr>
              <w:t>500,000</w:t>
            </w:r>
          </w:p>
        </w:tc>
        <w:tc>
          <w:tcPr>
            <w:tcW w:w="0" w:type="auto"/>
            <w:vAlign w:val="center"/>
          </w:tcPr>
          <w:p w:rsidR="006311F7" w:rsidRDefault="00CC7166">
            <w:pPr>
              <w:jc w:val="right"/>
            </w:pPr>
            <w:r>
              <w:rPr>
                <w:color w:val="000000"/>
                <w:sz w:val="24"/>
              </w:rPr>
              <w:t>49,905,208.89</w:t>
            </w:r>
          </w:p>
        </w:tc>
        <w:tc>
          <w:tcPr>
            <w:tcW w:w="0" w:type="auto"/>
            <w:vAlign w:val="center"/>
          </w:tcPr>
          <w:p w:rsidR="006311F7" w:rsidRDefault="00CC7166">
            <w:pPr>
              <w:jc w:val="right"/>
            </w:pPr>
            <w:r>
              <w:rPr>
                <w:color w:val="000000"/>
                <w:sz w:val="24"/>
              </w:rPr>
              <w:t>2.39</w:t>
            </w:r>
          </w:p>
        </w:tc>
      </w:tr>
      <w:tr w:rsidR="006311F7">
        <w:trPr>
          <w:jc w:val="center"/>
        </w:trPr>
        <w:tc>
          <w:tcPr>
            <w:tcW w:w="0" w:type="auto"/>
            <w:vAlign w:val="center"/>
          </w:tcPr>
          <w:p w:rsidR="006311F7" w:rsidRDefault="00CC7166">
            <w:pPr>
              <w:jc w:val="center"/>
            </w:pPr>
            <w:r>
              <w:rPr>
                <w:color w:val="000000"/>
                <w:sz w:val="24"/>
              </w:rPr>
              <w:t>10</w:t>
            </w:r>
          </w:p>
        </w:tc>
        <w:tc>
          <w:tcPr>
            <w:tcW w:w="0" w:type="auto"/>
            <w:vAlign w:val="center"/>
          </w:tcPr>
          <w:p w:rsidR="006311F7" w:rsidRDefault="00CC7166">
            <w:pPr>
              <w:jc w:val="center"/>
            </w:pPr>
            <w:r>
              <w:rPr>
                <w:color w:val="000000"/>
                <w:sz w:val="24"/>
              </w:rPr>
              <w:t>012000855</w:t>
            </w:r>
          </w:p>
        </w:tc>
        <w:tc>
          <w:tcPr>
            <w:tcW w:w="0" w:type="auto"/>
            <w:vAlign w:val="center"/>
          </w:tcPr>
          <w:p w:rsidR="006311F7" w:rsidRDefault="00CC7166">
            <w:pPr>
              <w:jc w:val="center"/>
            </w:pPr>
            <w:r>
              <w:rPr>
                <w:color w:val="000000"/>
                <w:sz w:val="24"/>
              </w:rPr>
              <w:t>20</w:t>
            </w:r>
            <w:r>
              <w:rPr>
                <w:color w:val="000000"/>
                <w:sz w:val="24"/>
              </w:rPr>
              <w:t>沪港务</w:t>
            </w:r>
            <w:r>
              <w:rPr>
                <w:color w:val="000000"/>
                <w:sz w:val="24"/>
              </w:rPr>
              <w:t>SCP001</w:t>
            </w:r>
          </w:p>
        </w:tc>
        <w:tc>
          <w:tcPr>
            <w:tcW w:w="0" w:type="auto"/>
            <w:vAlign w:val="center"/>
          </w:tcPr>
          <w:p w:rsidR="006311F7" w:rsidRDefault="00CC7166">
            <w:pPr>
              <w:jc w:val="right"/>
            </w:pPr>
            <w:r>
              <w:rPr>
                <w:color w:val="000000"/>
                <w:sz w:val="24"/>
              </w:rPr>
              <w:t>500,000</w:t>
            </w:r>
          </w:p>
        </w:tc>
        <w:tc>
          <w:tcPr>
            <w:tcW w:w="0" w:type="auto"/>
            <w:vAlign w:val="center"/>
          </w:tcPr>
          <w:p w:rsidR="006311F7" w:rsidRDefault="00CC7166">
            <w:pPr>
              <w:jc w:val="right"/>
            </w:pPr>
            <w:r>
              <w:rPr>
                <w:color w:val="000000"/>
                <w:sz w:val="24"/>
              </w:rPr>
              <w:t>49,867,048.62</w:t>
            </w:r>
          </w:p>
        </w:tc>
        <w:tc>
          <w:tcPr>
            <w:tcW w:w="0" w:type="auto"/>
            <w:vAlign w:val="center"/>
          </w:tcPr>
          <w:p w:rsidR="006311F7" w:rsidRDefault="00CC7166">
            <w:pPr>
              <w:jc w:val="right"/>
            </w:pPr>
            <w:r>
              <w:rPr>
                <w:color w:val="000000"/>
                <w:sz w:val="24"/>
              </w:rPr>
              <w:t>2.39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0.1141%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0.0367%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0.0839%</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lastRenderedPageBreak/>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1449"/>
        <w:gridCol w:w="1471"/>
        <w:gridCol w:w="1455"/>
        <w:gridCol w:w="1585"/>
        <w:gridCol w:w="1716"/>
        <w:gridCol w:w="1626"/>
      </w:tblGrid>
      <w:tr w:rsidR="00BF1111" w:rsidRPr="000E4C40" w:rsidTr="008F34CE">
        <w:trPr>
          <w:jc w:val="center"/>
        </w:trPr>
        <w:tc>
          <w:tcPr>
            <w:tcW w:w="1503"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60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8" w:type="dxa"/>
            <w:vAlign w:val="center"/>
          </w:tcPr>
          <w:p w:rsidR="00BF1111" w:rsidRPr="000E4C40" w:rsidRDefault="00BD3669" w:rsidP="00B34175">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w="1681"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6311F7">
        <w:trPr>
          <w:jc w:val="center"/>
        </w:trPr>
        <w:tc>
          <w:tcPr>
            <w:tcW w:w="0" w:type="auto"/>
            <w:vAlign w:val="center"/>
          </w:tcPr>
          <w:p w:rsidR="006311F7" w:rsidRDefault="00CC7166">
            <w:pPr>
              <w:jc w:val="center"/>
            </w:pPr>
            <w:r>
              <w:rPr>
                <w:color w:val="000000"/>
                <w:sz w:val="24"/>
              </w:rPr>
              <w:t>1</w:t>
            </w:r>
          </w:p>
        </w:tc>
        <w:tc>
          <w:tcPr>
            <w:tcW w:w="0" w:type="auto"/>
            <w:vAlign w:val="center"/>
          </w:tcPr>
          <w:p w:rsidR="006311F7" w:rsidRDefault="00CC7166">
            <w:pPr>
              <w:jc w:val="center"/>
            </w:pPr>
            <w:r>
              <w:rPr>
                <w:color w:val="000000"/>
                <w:sz w:val="24"/>
              </w:rPr>
              <w:t>168000</w:t>
            </w:r>
          </w:p>
        </w:tc>
        <w:tc>
          <w:tcPr>
            <w:tcW w:w="0" w:type="auto"/>
            <w:vAlign w:val="center"/>
          </w:tcPr>
          <w:p w:rsidR="006311F7" w:rsidRDefault="00CC7166">
            <w:pPr>
              <w:jc w:val="center"/>
            </w:pPr>
            <w:r>
              <w:rPr>
                <w:color w:val="000000"/>
                <w:sz w:val="24"/>
              </w:rPr>
              <w:t>4</w:t>
            </w:r>
            <w:r>
              <w:rPr>
                <w:color w:val="000000"/>
                <w:sz w:val="24"/>
              </w:rPr>
              <w:t>如日</w:t>
            </w:r>
            <w:r>
              <w:rPr>
                <w:color w:val="000000"/>
                <w:sz w:val="24"/>
              </w:rPr>
              <w:t>A01</w:t>
            </w:r>
          </w:p>
        </w:tc>
        <w:tc>
          <w:tcPr>
            <w:tcW w:w="0" w:type="auto"/>
            <w:vAlign w:val="center"/>
          </w:tcPr>
          <w:p w:rsidR="006311F7" w:rsidRDefault="00CC7166">
            <w:pPr>
              <w:jc w:val="right"/>
            </w:pPr>
            <w:r>
              <w:rPr>
                <w:color w:val="000000"/>
                <w:sz w:val="24"/>
              </w:rPr>
              <w:t>1,000,000</w:t>
            </w:r>
          </w:p>
        </w:tc>
        <w:tc>
          <w:tcPr>
            <w:tcW w:w="0" w:type="auto"/>
            <w:vAlign w:val="center"/>
          </w:tcPr>
          <w:p w:rsidR="006311F7" w:rsidRDefault="00CC7166">
            <w:pPr>
              <w:jc w:val="right"/>
            </w:pPr>
            <w:r>
              <w:rPr>
                <w:color w:val="000000"/>
                <w:sz w:val="24"/>
              </w:rPr>
              <w:t>100,000,000.00</w:t>
            </w:r>
          </w:p>
        </w:tc>
        <w:tc>
          <w:tcPr>
            <w:tcW w:w="0" w:type="auto"/>
            <w:vAlign w:val="center"/>
          </w:tcPr>
          <w:p w:rsidR="006311F7" w:rsidRDefault="00CC7166">
            <w:pPr>
              <w:jc w:val="right"/>
            </w:pPr>
            <w:r>
              <w:rPr>
                <w:color w:val="000000"/>
                <w:sz w:val="24"/>
              </w:rPr>
              <w:t>4.79</w:t>
            </w:r>
          </w:p>
        </w:tc>
      </w:tr>
      <w:tr w:rsidR="006311F7">
        <w:trPr>
          <w:jc w:val="center"/>
        </w:trPr>
        <w:tc>
          <w:tcPr>
            <w:tcW w:w="0" w:type="auto"/>
            <w:vAlign w:val="center"/>
          </w:tcPr>
          <w:p w:rsidR="006311F7" w:rsidRDefault="00CC7166">
            <w:pPr>
              <w:jc w:val="center"/>
            </w:pPr>
            <w:r>
              <w:rPr>
                <w:color w:val="000000"/>
                <w:sz w:val="24"/>
              </w:rPr>
              <w:t>2</w:t>
            </w:r>
          </w:p>
        </w:tc>
        <w:tc>
          <w:tcPr>
            <w:tcW w:w="0" w:type="auto"/>
            <w:vAlign w:val="center"/>
          </w:tcPr>
          <w:p w:rsidR="006311F7" w:rsidRDefault="00CC7166">
            <w:pPr>
              <w:jc w:val="center"/>
            </w:pPr>
            <w:r>
              <w:rPr>
                <w:color w:val="000000"/>
                <w:sz w:val="24"/>
              </w:rPr>
              <w:t>168001</w:t>
            </w:r>
          </w:p>
        </w:tc>
        <w:tc>
          <w:tcPr>
            <w:tcW w:w="0" w:type="auto"/>
            <w:vAlign w:val="center"/>
          </w:tcPr>
          <w:p w:rsidR="006311F7" w:rsidRDefault="00CC7166">
            <w:pPr>
              <w:jc w:val="center"/>
            </w:pPr>
            <w:r>
              <w:rPr>
                <w:color w:val="000000"/>
                <w:sz w:val="24"/>
              </w:rPr>
              <w:t>4</w:t>
            </w:r>
            <w:r>
              <w:rPr>
                <w:color w:val="000000"/>
                <w:sz w:val="24"/>
              </w:rPr>
              <w:t>如日</w:t>
            </w:r>
            <w:r>
              <w:rPr>
                <w:color w:val="000000"/>
                <w:sz w:val="24"/>
              </w:rPr>
              <w:t>A02</w:t>
            </w:r>
          </w:p>
        </w:tc>
        <w:tc>
          <w:tcPr>
            <w:tcW w:w="0" w:type="auto"/>
            <w:vAlign w:val="center"/>
          </w:tcPr>
          <w:p w:rsidR="006311F7" w:rsidRDefault="00CC7166">
            <w:pPr>
              <w:jc w:val="right"/>
            </w:pPr>
            <w:r>
              <w:rPr>
                <w:color w:val="000000"/>
                <w:sz w:val="24"/>
              </w:rPr>
              <w:t>800,000</w:t>
            </w:r>
          </w:p>
        </w:tc>
        <w:tc>
          <w:tcPr>
            <w:tcW w:w="0" w:type="auto"/>
            <w:vAlign w:val="center"/>
          </w:tcPr>
          <w:p w:rsidR="006311F7" w:rsidRDefault="00CC7166">
            <w:pPr>
              <w:jc w:val="right"/>
            </w:pPr>
            <w:r>
              <w:rPr>
                <w:color w:val="000000"/>
                <w:sz w:val="24"/>
              </w:rPr>
              <w:t>80,000,000.00</w:t>
            </w:r>
          </w:p>
        </w:tc>
        <w:tc>
          <w:tcPr>
            <w:tcW w:w="0" w:type="auto"/>
            <w:vAlign w:val="center"/>
          </w:tcPr>
          <w:p w:rsidR="006311F7" w:rsidRDefault="00CC7166">
            <w:pPr>
              <w:jc w:val="right"/>
            </w:pPr>
            <w:r>
              <w:rPr>
                <w:color w:val="000000"/>
                <w:sz w:val="24"/>
              </w:rPr>
              <w:t>3.84</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7,789,395.39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376,436.81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8,165,832.20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779,587,266.08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785,312,360.62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1,846,910,432.42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605,590,348.36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1,383,119,711.30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548,343,037.98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1,243,377,987.20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842,559,671.00</w:t>
            </w:r>
          </w:p>
        </w:tc>
      </w:tr>
    </w:tbl>
    <w:p w:rsidR="006311F7" w:rsidRDefault="00CC716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6311F7" w:rsidRDefault="00640DE4">
      <w:pPr>
        <w:autoSpaceDE w:val="0"/>
        <w:autoSpaceDN w:val="0"/>
        <w:adjustRightInd w:val="0"/>
        <w:spacing w:before="29" w:line="288" w:lineRule="auto"/>
        <w:jc w:val="left"/>
        <w:rPr>
          <w:color w:val="000000"/>
          <w:sz w:val="24"/>
        </w:rPr>
      </w:pPr>
      <w:r>
        <w:rPr>
          <w:color w:val="000000"/>
          <w:sz w:val="24"/>
        </w:rPr>
        <w:t xml:space="preserve">    </w:t>
      </w:r>
      <w:r w:rsidR="00CC7166">
        <w:rPr>
          <w:color w:val="000000"/>
          <w:sz w:val="24"/>
        </w:rPr>
        <w:t>2</w:t>
      </w:r>
      <w:r w:rsidR="00CC7166">
        <w:rPr>
          <w:color w:val="000000"/>
          <w:sz w:val="24"/>
        </w:rPr>
        <w:t>、如果本报告期间发生转换出、份额类别调整业务，则总赎回份额中包含该业务；</w:t>
      </w:r>
    </w:p>
    <w:p w:rsidR="006E2890"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w:t>
      </w: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6311F7">
        <w:trPr>
          <w:jc w:val="center"/>
        </w:trPr>
        <w:tc>
          <w:tcPr>
            <w:tcW w:w="1454" w:type="dxa"/>
            <w:vAlign w:val="center"/>
          </w:tcPr>
          <w:p w:rsidR="006311F7" w:rsidRDefault="00CC7166">
            <w:pPr>
              <w:jc w:val="center"/>
            </w:pPr>
            <w:r>
              <w:rPr>
                <w:color w:val="000000"/>
                <w:sz w:val="24"/>
              </w:rPr>
              <w:t>1</w:t>
            </w:r>
          </w:p>
        </w:tc>
        <w:tc>
          <w:tcPr>
            <w:tcW w:w="1678" w:type="dxa"/>
            <w:vAlign w:val="center"/>
          </w:tcPr>
          <w:p w:rsidR="006311F7" w:rsidRDefault="00CC7166">
            <w:pPr>
              <w:jc w:val="center"/>
            </w:pPr>
            <w:r>
              <w:rPr>
                <w:color w:val="000000"/>
                <w:sz w:val="24"/>
              </w:rPr>
              <w:t>E</w:t>
            </w:r>
            <w:r>
              <w:rPr>
                <w:color w:val="000000"/>
                <w:sz w:val="24"/>
              </w:rPr>
              <w:t>类份额红利再投</w:t>
            </w:r>
          </w:p>
        </w:tc>
        <w:tc>
          <w:tcPr>
            <w:tcW w:w="1249" w:type="dxa"/>
            <w:vAlign w:val="center"/>
          </w:tcPr>
          <w:p w:rsidR="006311F7" w:rsidRDefault="00CC7166">
            <w:pPr>
              <w:jc w:val="center"/>
            </w:pPr>
            <w:r>
              <w:rPr>
                <w:color w:val="000000"/>
                <w:sz w:val="24"/>
              </w:rPr>
              <w:t>-</w:t>
            </w:r>
          </w:p>
        </w:tc>
        <w:tc>
          <w:tcPr>
            <w:tcW w:w="1544" w:type="dxa"/>
            <w:vAlign w:val="center"/>
          </w:tcPr>
          <w:p w:rsidR="006311F7" w:rsidRDefault="00CC7166">
            <w:pPr>
              <w:jc w:val="right"/>
            </w:pPr>
            <w:r>
              <w:rPr>
                <w:color w:val="000000"/>
                <w:sz w:val="24"/>
              </w:rPr>
              <w:t>1,399,646.87</w:t>
            </w:r>
          </w:p>
        </w:tc>
        <w:tc>
          <w:tcPr>
            <w:tcW w:w="1670" w:type="dxa"/>
            <w:vAlign w:val="center"/>
          </w:tcPr>
          <w:p w:rsidR="006311F7" w:rsidRDefault="00CC7166">
            <w:pPr>
              <w:jc w:val="right"/>
            </w:pPr>
            <w:r>
              <w:rPr>
                <w:color w:val="000000"/>
                <w:sz w:val="24"/>
              </w:rPr>
              <w:t>1,399,646.87</w:t>
            </w:r>
          </w:p>
        </w:tc>
        <w:tc>
          <w:tcPr>
            <w:tcW w:w="1273" w:type="dxa"/>
            <w:vAlign w:val="center"/>
          </w:tcPr>
          <w:p w:rsidR="006311F7" w:rsidRDefault="00CC7166">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1,399,646.87</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1,399,646.87</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6311F7" w:rsidRDefault="00CC716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E</w:t>
      </w:r>
      <w:r>
        <w:rPr>
          <w:color w:val="000000"/>
          <w:sz w:val="24"/>
        </w:rPr>
        <w:t>类份额</w:t>
      </w:r>
      <w:r>
        <w:rPr>
          <w:color w:val="000000"/>
          <w:sz w:val="24"/>
        </w:rPr>
        <w:t>203,451,613.80</w:t>
      </w:r>
      <w:r>
        <w:rPr>
          <w:color w:val="000000"/>
          <w:sz w:val="24"/>
        </w:rPr>
        <w:t>份，占本基金期末</w:t>
      </w:r>
      <w:r>
        <w:rPr>
          <w:color w:val="000000"/>
          <w:sz w:val="24"/>
        </w:rPr>
        <w:t>E</w:t>
      </w:r>
      <w:r>
        <w:rPr>
          <w:color w:val="000000"/>
          <w:sz w:val="24"/>
        </w:rPr>
        <w:t>类基金总份额的</w:t>
      </w:r>
      <w:r>
        <w:rPr>
          <w:color w:val="000000"/>
          <w:sz w:val="24"/>
        </w:rPr>
        <w:t>24.15%</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w:t>
      </w:r>
    </w:p>
    <w:p w:rsidR="000F2DA3" w:rsidRPr="000E4C40" w:rsidRDefault="000F2DA3" w:rsidP="00791C00">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6311F7" w:rsidRDefault="00CC7166">
      <w:pPr>
        <w:spacing w:before="29" w:line="288" w:lineRule="auto"/>
        <w:ind w:firstLineChars="200" w:firstLine="480"/>
        <w:rPr>
          <w:color w:val="000000"/>
          <w:sz w:val="24"/>
        </w:rPr>
      </w:pPr>
      <w:r>
        <w:rPr>
          <w:color w:val="000000"/>
          <w:sz w:val="24"/>
        </w:rPr>
        <w:t>1</w:t>
      </w:r>
      <w:r>
        <w:rPr>
          <w:color w:val="000000"/>
          <w:sz w:val="24"/>
        </w:rPr>
        <w:t>、中国证监会准予交银施罗德天利宝货币市场基金募集注册的文件；</w:t>
      </w:r>
      <w:r>
        <w:rPr>
          <w:color w:val="000000"/>
          <w:sz w:val="24"/>
        </w:rPr>
        <w:t xml:space="preserve"> </w:t>
      </w:r>
    </w:p>
    <w:p w:rsidR="006311F7" w:rsidRDefault="00CC7166">
      <w:pPr>
        <w:spacing w:before="29" w:line="288" w:lineRule="auto"/>
        <w:ind w:firstLineChars="200" w:firstLine="480"/>
        <w:rPr>
          <w:color w:val="000000"/>
          <w:sz w:val="24"/>
        </w:rPr>
      </w:pPr>
      <w:r>
        <w:rPr>
          <w:color w:val="000000"/>
          <w:sz w:val="24"/>
        </w:rPr>
        <w:t>2</w:t>
      </w:r>
      <w:r>
        <w:rPr>
          <w:color w:val="000000"/>
          <w:sz w:val="24"/>
        </w:rPr>
        <w:t>、《交银施罗德天利宝货币市场基金基金合同》；</w:t>
      </w:r>
      <w:r>
        <w:rPr>
          <w:color w:val="000000"/>
          <w:sz w:val="24"/>
        </w:rPr>
        <w:t xml:space="preserve"> </w:t>
      </w:r>
    </w:p>
    <w:p w:rsidR="006311F7" w:rsidRDefault="00CC7166">
      <w:pPr>
        <w:spacing w:before="29" w:line="288" w:lineRule="auto"/>
        <w:ind w:firstLineChars="200" w:firstLine="480"/>
        <w:rPr>
          <w:color w:val="000000"/>
          <w:sz w:val="24"/>
        </w:rPr>
      </w:pPr>
      <w:r>
        <w:rPr>
          <w:color w:val="000000"/>
          <w:sz w:val="24"/>
        </w:rPr>
        <w:t>3</w:t>
      </w:r>
      <w:r>
        <w:rPr>
          <w:color w:val="000000"/>
          <w:sz w:val="24"/>
        </w:rPr>
        <w:t>、《交银施罗德天利宝货币市场基金招募说明书》；</w:t>
      </w:r>
      <w:r>
        <w:rPr>
          <w:color w:val="000000"/>
          <w:sz w:val="24"/>
        </w:rPr>
        <w:t xml:space="preserve"> </w:t>
      </w:r>
    </w:p>
    <w:p w:rsidR="006311F7" w:rsidRDefault="00CC7166">
      <w:pPr>
        <w:spacing w:before="29" w:line="288" w:lineRule="auto"/>
        <w:ind w:firstLineChars="200" w:firstLine="480"/>
        <w:rPr>
          <w:color w:val="000000"/>
          <w:sz w:val="24"/>
        </w:rPr>
      </w:pPr>
      <w:r>
        <w:rPr>
          <w:color w:val="000000"/>
          <w:sz w:val="24"/>
        </w:rPr>
        <w:t>4</w:t>
      </w:r>
      <w:r>
        <w:rPr>
          <w:color w:val="000000"/>
          <w:sz w:val="24"/>
        </w:rPr>
        <w:t>、《交银施罗德天利宝货币市场基金托管协议》；</w:t>
      </w:r>
      <w:r>
        <w:rPr>
          <w:color w:val="000000"/>
          <w:sz w:val="24"/>
        </w:rPr>
        <w:t xml:space="preserve"> </w:t>
      </w:r>
    </w:p>
    <w:p w:rsidR="006311F7" w:rsidRDefault="00CC7166">
      <w:pPr>
        <w:spacing w:before="29" w:line="288" w:lineRule="auto"/>
        <w:ind w:firstLineChars="200" w:firstLine="480"/>
        <w:rPr>
          <w:color w:val="000000"/>
          <w:sz w:val="24"/>
        </w:rPr>
      </w:pPr>
      <w:r>
        <w:rPr>
          <w:color w:val="000000"/>
          <w:sz w:val="24"/>
        </w:rPr>
        <w:lastRenderedPageBreak/>
        <w:t>5</w:t>
      </w:r>
      <w:r>
        <w:rPr>
          <w:color w:val="000000"/>
          <w:sz w:val="24"/>
        </w:rPr>
        <w:t>、关于申请募集注册交银施罗德天利宝货币市场基金的法律意见书；</w:t>
      </w:r>
      <w:r>
        <w:rPr>
          <w:color w:val="000000"/>
          <w:sz w:val="24"/>
        </w:rPr>
        <w:t xml:space="preserve"> </w:t>
      </w:r>
    </w:p>
    <w:p w:rsidR="006311F7" w:rsidRDefault="00CC716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311F7" w:rsidRDefault="00CC716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、报告期内交银施罗德天利宝货币市场基金在指定报刊上各项公告的原稿。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6311F7" w:rsidRDefault="00CC716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FA4" w:rsidRDefault="009C1FA4">
      <w:r>
        <w:separator/>
      </w:r>
    </w:p>
  </w:endnote>
  <w:endnote w:type="continuationSeparator" w:id="0">
    <w:p w:rsidR="009C1FA4" w:rsidRDefault="009C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7417E">
      <w:rPr>
        <w:noProof/>
        <w:kern w:val="0"/>
        <w:szCs w:val="21"/>
      </w:rPr>
      <w:t>6</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17417E">
      <w:rPr>
        <w:noProof/>
        <w:kern w:val="0"/>
        <w:szCs w:val="21"/>
      </w:rPr>
      <w:t>14</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FA4" w:rsidRDefault="009C1FA4">
      <w:r>
        <w:separator/>
      </w:r>
    </w:p>
  </w:footnote>
  <w:footnote w:type="continuationSeparator" w:id="0">
    <w:p w:rsidR="009C1FA4" w:rsidRDefault="009C1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交银施罗德天利宝货币市场基金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7417E"/>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11F7"/>
    <w:rsid w:val="0063302E"/>
    <w:rsid w:val="00633177"/>
    <w:rsid w:val="006331F2"/>
    <w:rsid w:val="00633CF7"/>
    <w:rsid w:val="00636261"/>
    <w:rsid w:val="00636B17"/>
    <w:rsid w:val="00640DE4"/>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91C00"/>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C1FA4"/>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166"/>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FE77BB-7888-4DBA-8960-2568FEFA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14</Pages>
  <Words>1191</Words>
  <Characters>6795</Characters>
  <Application>Microsoft Office Word</Application>
  <DocSecurity>0</DocSecurity>
  <Lines>56</Lines>
  <Paragraphs>15</Paragraphs>
  <ScaleCrop>false</ScaleCrop>
  <Company>jysld</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339</cp:revision>
  <cp:lastPrinted>2009-01-22T10:11:00Z</cp:lastPrinted>
  <dcterms:created xsi:type="dcterms:W3CDTF">2012-11-21T05:49:00Z</dcterms:created>
  <dcterms:modified xsi:type="dcterms:W3CDTF">2020-04-16T03:34:00Z</dcterms:modified>
</cp:coreProperties>
</file>