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交银施罗德优选回报灵活配置混合型证券投资基金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2020年第1季度报告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2020年3月31日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中信银行股份有限公司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二〇二〇年四月二十二日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基金托管人中信银行股份有限公司根据本基金合同规定，于2020年4月21日复核了本报告中的财务指标、净值表现和投资组合报告等内容，保证复核内容不存在虚假记载、误导性陈述或者重大遗漏。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本报告期自2020年1月1日起至3月31日止。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交银优选回报灵活配置混合</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519768</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2016年4月22日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697,101,706.88</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 xml:space="preserve">本基金在控制风险并保持基金资产良好的流动性的前提下，力争为投资者提供长期稳健的投资回报。  </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50%×沪深300指数收益率+50%×中债综合全价指数收益率</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本基金是一只混合型基金，其风险和预期收益高于债券型基金和货币市场基金，低于股票型基金。属于承担较高风险、预期收益较高的证券投资基金品种。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交银优选回报灵活配置混合A</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交银优选回报灵活配置混合C</w:t>
            </w:r>
          </w:p>
        </w:tc>
      </w:tr>
      <w:tr w:rsidR="00C23B30" w:rsidRPr="007F52FA" w:rsidTr="009416C9">
        <w:trPr>
          <w:jc w:val="center"/>
        </w:trPr>
        <w:tc>
          <w:tcPr>
            <w:tcW w:type="dxa" w:w="3023"/>
            <w:vAlign w:val="center"/>
          </w:tcPr>
          <w:p w:rsidP="007C14DF" w:rsidR="00C23B30" w:rsidRDefault="007C3DC6">
            <w:pPr>
              <w:adjustRightInd w:val="0"/>
              <w:spacing w:before="29" w:line="288" w:lineRule="auto"/>
              <w:ind w:left="17"/>
              <w:jc w:val="left"/>
              <w:rPr>
                <w:color w:val="000000"/>
                <w:sz w:val="24"/>
              </w:rPr>
            </w:pPr>
            <w:r w:rsidRPr="007F52FA">
              <w:rPr>
                <w:color w:val="000000"/>
                <w:sz w:val="24"/>
              </w:rPr>
              <w:t>下属两级基金的交易代码</w:t>
            </w:r>
          </w:p>
          <w:p w:rsidP="00C01EF2" w:rsidR="00C01EF2" w:rsidRDefault="00C01EF2" w:rsidRPr="007F52FA">
            <w:pPr>
              <w:adjustRightInd w:val="0"/>
              <w:spacing w:before="29" w:line="288" w:lineRule="auto"/>
              <w:ind w:left="17"/>
              <w:jc w:val="left"/>
              <w:rPr>
                <w:color w:val="000000"/>
                <w:sz w:val="24"/>
              </w:rPr>
            </w:pPr>
            <w:r w:rsidRPr="007F52FA">
              <w:rPr>
                <w:color w:themeColor="text1" w:val="000000"/>
                <w:sz w:val="24"/>
              </w:rPr>
              <w:t/>
            </w:r>
            <w:r w:rsidRPr="000E4C40">
              <w:rPr>
                <w:color w:val="000000"/>
                <w:kern w:val="0"/>
                <w:sz w:val="24"/>
              </w:rPr>
              <w:t/>
            </w:r>
            <w:r>
              <w:rPr>
                <w:rFonts w:hint="eastAsia"/>
                <w:color w:val="000000"/>
                <w:kern w:val="0"/>
                <w:sz w:val="24"/>
              </w:rPr>
              <w:t/>
            </w:r>
            <w:r w:rsidRPr="000E4C40">
              <w:rPr>
                <w:sz w:val="24"/>
              </w:rPr>
              <w:t/>
            </w:r>
          </w:p>
        </w:tc>
        <w:tc>
          <w:tcPr>
            <w:tcW w:type="dxa" w:w="2922"/>
            <w:vAlign w:val="center"/>
          </w:tcPr>
          <w:p w:rsidP="007F50FB" w:rsidR="00C23B30" w:rsidRDefault="00C23B30" w:rsidRPr="000E4C40">
            <w:pPr>
              <w:spacing w:before="29" w:line="288" w:lineRule="auto"/>
              <w:jc w:val="left"/>
              <w:rPr>
                <w:sz w:val="24"/>
              </w:rPr>
            </w:pPr>
            <w:r w:rsidRPr="007F52FA">
              <w:rPr>
                <w:color w:themeColor="text1" w:val="000000"/>
                <w:sz w:val="24"/>
              </w:rPr>
              <w:t/>
            </w:r>
            <w:r w:rsidRPr="000E4C40">
              <w:rPr>
                <w:color w:val="000000"/>
                <w:kern w:val="0"/>
                <w:sz w:val="24"/>
              </w:rPr>
              <w:t/>
            </w:r>
            <w:r w:rsidRPr="000E4C40">
              <w:rPr>
                <w:sz w:val="24"/>
              </w:rPr>
              <w:t>519768</w:t>
            </w:r>
          </w:p>
        </w:tc>
        <w:tc>
          <w:tcPr>
            <w:tcW w:type="dxa" w:w="3048"/>
            <w:vAlign w:val="center"/>
          </w:tcPr>
          <w:p w:rsidP="00A52A9E" w:rsidR="00C23B30" w:rsidRDefault="00261F47" w:rsidRPr="000E4C40">
            <w:pPr>
              <w:spacing w:before="29" w:line="288" w:lineRule="auto"/>
              <w:jc w:val="left"/>
              <w:rPr>
                <w:sz w:val="24"/>
              </w:rPr>
            </w:pPr>
            <w:r w:rsidRPr="007F52FA">
              <w:rPr>
                <w:color w:themeColor="text1" w:val="000000"/>
                <w:sz w:val="24"/>
              </w:rPr>
              <w:t/>
            </w:r>
            <w:r w:rsidR="00C23B30" w:rsidRPr="000E4C40">
              <w:rPr>
                <w:color w:val="000000"/>
                <w:kern w:val="0"/>
                <w:sz w:val="24"/>
              </w:rPr>
              <w:t/>
            </w:r>
            <w:r w:rsidR="00C23B30" w:rsidRPr="000E4C40">
              <w:rPr>
                <w:sz w:val="24"/>
              </w:rPr>
              <w:t/>
            </w:r>
            <w:r w:rsidR="00A52A9E">
              <w:rPr>
                <w:sz w:val="24"/>
              </w:rPr>
              <w:t/>
            </w:r>
            <w:r w:rsidR="00C23B30" w:rsidRPr="000E4C40">
              <w:rPr>
                <w:sz w:val="24"/>
              </w:rPr>
              <w:t>519769</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w:t>
            </w:r>
            <w:r w:rsidRPr="007F52FA">
              <w:rPr>
                <w:color w:val="000000"/>
                <w:sz w:val="24"/>
              </w:rPr>
              <w:lastRenderedPageBreak/>
              <w:t>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695,227,670.23</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1,874,036.65</w:t>
            </w:r>
            <w:r w:rsidRPr="007F52FA">
              <w:rPr>
                <w:color w:val="000000"/>
                <w:kern w:val="0"/>
                <w:sz w:val="24"/>
              </w:rPr>
              <w:t>份</w:t>
            </w:r>
          </w:p>
        </w:tc>
      </w:tr>
    </w:tbl>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(2020年1月1日-2020年3月31日)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交银优选回报灵活配置混合A</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交银优选回报灵活配置混合C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18,152,102.68</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22,395.21</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15,412,472.97</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6,909.01</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0.0222</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0.0066</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820,345,530.46</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2,195,305.79</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1.180</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1.171</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注：1、上述基金A类业绩指标不包括持有人认购或交易基金的各项费用，计入费用后的实际收益水平要低于所列数字； </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 xml:space="preserve">    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交银优选回报灵活配置混合A</w:t>
      </w:r>
      <w:r w:rsidRPr="007F52FA">
        <w:rPr>
          <w:b/>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1.90%</w:t>
            </w:r>
          </w:p>
        </w:tc>
        <w:tc>
          <w:tcPr>
            <w:vAlign w:val="center"/>
          </w:tcPr>
          <w:p>
            <w:pPr>
              <w:jc w:val="center"/>
            </w:pPr>
            <w:r>
              <w:rPr>
                <w:color w:val="000000"/>
                <w:sz w:val="24"/>
              </w:rPr>
              <w:t>0.21%</w:t>
            </w:r>
          </w:p>
        </w:tc>
        <w:tc>
          <w:tcPr>
            <w:vAlign w:val="center"/>
          </w:tcPr>
          <w:p>
            <w:pPr>
              <w:jc w:val="center"/>
            </w:pPr>
            <w:r>
              <w:rPr>
                <w:color w:val="000000"/>
                <w:sz w:val="24"/>
              </w:rPr>
              <w:t>-3.98%</w:t>
            </w:r>
          </w:p>
        </w:tc>
        <w:tc>
          <w:tcPr>
            <w:vAlign w:val="center"/>
          </w:tcPr>
          <w:p>
            <w:pPr>
              <w:jc w:val="center"/>
            </w:pPr>
            <w:r>
              <w:rPr>
                <w:color w:val="000000"/>
                <w:sz w:val="24"/>
              </w:rPr>
              <w:t>0.95%</w:t>
            </w:r>
          </w:p>
        </w:tc>
        <w:tc>
          <w:tcPr>
            <w:vAlign w:val="center"/>
          </w:tcPr>
          <w:p>
            <w:pPr>
              <w:jc w:val="center"/>
            </w:pPr>
            <w:r>
              <w:rPr>
                <w:color w:val="000000"/>
                <w:sz w:val="24"/>
              </w:rPr>
              <w:t>5.88%</w:t>
            </w:r>
          </w:p>
        </w:tc>
        <w:tc>
          <w:tcPr>
            <w:vAlign w:val="center"/>
          </w:tcPr>
          <w:p>
            <w:pPr>
              <w:jc w:val="center"/>
            </w:pPr>
            <w:r>
              <w:rPr>
                <w:color w:val="000000"/>
                <w:sz w:val="24"/>
              </w:rPr>
              <w:t>-0.74%</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交银优选回报灵活配置混合C</w:t>
      </w:r>
      <w:r w:rsidRPr="007F52FA">
        <w:rPr>
          <w:b/>
          <w:color w:val="000000"/>
          <w:kern w:val="0"/>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1.83%</w:t>
            </w:r>
          </w:p>
        </w:tc>
        <w:tc>
          <w:tcPr>
            <w:vAlign w:val="center"/>
          </w:tcPr>
          <w:p>
            <w:pPr>
              <w:jc w:val="center"/>
            </w:pPr>
            <w:r>
              <w:rPr>
                <w:color w:val="000000"/>
                <w:sz w:val="24"/>
              </w:rPr>
              <w:t>0.20%</w:t>
            </w:r>
          </w:p>
        </w:tc>
        <w:tc>
          <w:tcPr>
            <w:vAlign w:val="center"/>
          </w:tcPr>
          <w:p>
            <w:pPr>
              <w:jc w:val="center"/>
            </w:pPr>
            <w:r>
              <w:rPr>
                <w:color w:val="000000"/>
                <w:sz w:val="24"/>
              </w:rPr>
              <w:t>-3.98%</w:t>
            </w:r>
          </w:p>
        </w:tc>
        <w:tc>
          <w:tcPr>
            <w:vAlign w:val="center"/>
          </w:tcPr>
          <w:p>
            <w:pPr>
              <w:jc w:val="center"/>
            </w:pPr>
            <w:r>
              <w:rPr>
                <w:color w:val="000000"/>
                <w:sz w:val="24"/>
              </w:rPr>
              <w:t>0.95%</w:t>
            </w:r>
          </w:p>
        </w:tc>
        <w:tc>
          <w:tcPr>
            <w:vAlign w:val="center"/>
          </w:tcPr>
          <w:p>
            <w:pPr>
              <w:jc w:val="center"/>
            </w:pPr>
            <w:r>
              <w:rPr>
                <w:color w:val="000000"/>
                <w:sz w:val="24"/>
              </w:rPr>
              <w:t>5.81%</w:t>
            </w:r>
          </w:p>
        </w:tc>
        <w:tc>
          <w:tcPr>
            <w:vAlign w:val="center"/>
          </w:tcPr>
          <w:p>
            <w:pPr>
              <w:jc w:val="center"/>
            </w:pPr>
            <w:r>
              <w:rPr>
                <w:color w:val="000000"/>
                <w:sz w:val="24"/>
              </w:rPr>
              <w:t>-0.75%</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交银施罗德优选回报灵活配置混合型证券投资基金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2016年4月22日</w:t>
      </w:r>
      <w:r w:rsidR="009A045B" w:rsidRPr="007F52FA">
        <w:rPr>
          <w:rFonts w:ascii="Times New Roman" w:hAnsi="Times New Roman"/>
          <w:sz w:val="24"/>
          <w:szCs w:val="24"/>
        </w:rPr>
        <w:t>至</w:t>
      </w:r>
      <w:r w:rsidRPr="007F52FA">
        <w:rPr>
          <w:rFonts w:ascii="Times New Roman" w:hAnsi="Times New Roman"/>
          <w:sz w:val="24"/>
          <w:szCs w:val="24"/>
        </w:rPr>
        <w:t>2020年3月31日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交银优选回报灵活配置混合A</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交银优选回报灵活配置混合C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李娜</w:t>
            </w:r>
          </w:p>
        </w:tc>
        <w:tc>
          <w:tcPr>
            <w:vAlign w:val="center"/>
          </w:tcPr>
          <w:p>
            <w:pPr>
              <w:jc w:val="center"/>
            </w:pPr>
            <w:r>
              <w:rPr>
                <w:color w:val="000000"/>
                <w:sz w:val="24"/>
              </w:rPr>
              <w:t>交银周期回报灵活配置混合、交银新回报灵活配置混合、交银多策略回报灵活配置混合、交银优选回报灵活配置混合、交银优择回报灵活配置混合、交银瑞鑫定期开放灵活配置混合、交银裕祥纯债债券、交银恒益灵活配置混合的基金经理</w:t>
            </w:r>
          </w:p>
        </w:tc>
        <w:tc>
          <w:tcPr>
            <w:vAlign w:val="center"/>
          </w:tcPr>
          <w:p>
            <w:pPr>
              <w:jc w:val="center"/>
            </w:pPr>
            <w:r>
              <w:rPr>
                <w:color w:val="000000"/>
                <w:sz w:val="24"/>
              </w:rPr>
              <w:t>2016-04-22</w:t>
            </w:r>
          </w:p>
        </w:tc>
        <w:tc>
          <w:tcPr>
            <w:vAlign w:val="center"/>
          </w:tcPr>
          <w:p>
            <w:pPr>
              <w:jc w:val="center"/>
            </w:pPr>
            <w:r>
              <w:rPr>
                <w:color w:val="000000"/>
                <w:sz w:val="24"/>
              </w:rPr>
              <w:t>-</w:t>
            </w:r>
          </w:p>
        </w:tc>
        <w:tc>
          <w:tcPr>
            <w:vAlign w:val="center"/>
          </w:tcPr>
          <w:p>
            <w:pPr>
              <w:jc w:val="center"/>
            </w:pPr>
            <w:r>
              <w:rPr>
                <w:color w:val="000000"/>
                <w:sz w:val="24"/>
              </w:rPr>
              <w:t>10年</w:t>
            </w:r>
          </w:p>
        </w:tc>
        <w:tc>
          <w:tcPr>
            <w:vAlign w:val="center"/>
          </w:tcPr>
          <w:p>
            <w:pPr>
              <w:jc w:val="both"/>
            </w:pPr>
            <w:r>
              <w:rPr>
                <w:color w:val="000000"/>
                <w:sz w:val="24"/>
              </w:rPr>
              <w:t>李娜女士，美国宾夕法尼亚大学应用数学与计算科学硕士。历任国泰基金管理有限公司研究员。2012年加入交银施罗德基金管理有限公司，历任债券分析师、基金经理助理。2017年3月2日至2018年4月10日担任交银施罗德瑞安定期开放灵活配置混合型证券投资基金基金经理。2017年2月24日至2018年7月18日担任交银施罗德瑞利定期开放灵活配置混合型证券投资基金的基金经理。2017年3月31日至2018年8月23日担任交银施罗德启通灵活配置混合型证券投资基金的基金经理。2016年12月21日至2018年11月16日担任交银施罗德瑞景定期开放灵活配置混合型证券投资基金的基金经理。2016年2月17日至2018年12月7日担任交银施罗德卓越回报灵活配置混合型证券投资基金的基金经理。2016年9月13日至2019年1月21日担任交银施罗德领先回报灵活配置混合型证券投资基金的基金经理。</w:t>
            </w:r>
          </w:p>
        </w:tc>
      </w:tr>
      <w:tr>
        <w:tc>
          <w:tcPr>
            <w:vAlign w:val="center"/>
          </w:tcPr>
          <w:p>
            <w:pPr>
              <w:jc w:val="center"/>
            </w:pPr>
            <w:r>
              <w:rPr>
                <w:color w:val="000000"/>
                <w:sz w:val="24"/>
              </w:rPr>
              <w:t>凌超</w:t>
            </w:r>
          </w:p>
        </w:tc>
        <w:tc>
          <w:tcPr>
            <w:vAlign w:val="center"/>
          </w:tcPr>
          <w:p>
            <w:pPr>
              <w:jc w:val="center"/>
            </w:pPr>
            <w:r>
              <w:rPr>
                <w:color w:val="000000"/>
                <w:sz w:val="24"/>
              </w:rPr>
              <w:t>交银定期支付月月丰债券、交银增强收益债券、交银强化回报债券、交银周期回报灵活配置混合、交银新回报灵活配置混合、交银多策略回报灵活配置混合、交银优选回报灵活配置混合、交银优择回报灵活配置混合、交银瑞鑫定期开放灵活配置混合、交银增利增强债券、交银恒益灵活配置混合、交银裕祥纯债债券、交银稳固收益债券的基金经理，公司固定收益(公募)投资副总监</w:t>
            </w:r>
          </w:p>
        </w:tc>
        <w:tc>
          <w:tcPr>
            <w:vAlign w:val="center"/>
          </w:tcPr>
          <w:p>
            <w:pPr>
              <w:jc w:val="center"/>
            </w:pPr>
            <w:r>
              <w:rPr>
                <w:color w:val="000000"/>
                <w:sz w:val="24"/>
              </w:rPr>
              <w:t>2019-07-20</w:t>
            </w:r>
          </w:p>
        </w:tc>
        <w:tc>
          <w:tcPr>
            <w:vAlign w:val="center"/>
          </w:tcPr>
          <w:p>
            <w:pPr>
              <w:jc w:val="center"/>
            </w:pPr>
            <w:r>
              <w:rPr>
                <w:color w:val="000000"/>
                <w:sz w:val="24"/>
              </w:rPr>
              <w:t>-</w:t>
            </w:r>
          </w:p>
        </w:tc>
        <w:tc>
          <w:tcPr>
            <w:vAlign w:val="center"/>
          </w:tcPr>
          <w:p>
            <w:pPr>
              <w:jc w:val="center"/>
            </w:pPr>
            <w:r>
              <w:rPr>
                <w:color w:val="000000"/>
                <w:sz w:val="24"/>
              </w:rPr>
              <w:t>14年</w:t>
            </w:r>
          </w:p>
        </w:tc>
        <w:tc>
          <w:tcPr>
            <w:vAlign w:val="center"/>
          </w:tcPr>
          <w:p>
            <w:pPr>
              <w:jc w:val="both"/>
            </w:pPr>
            <w:r>
              <w:rPr>
                <w:color w:val="000000"/>
                <w:sz w:val="24"/>
              </w:rPr>
              <w:t>凌超先生，华中科技大学数量经济学硕士、武汉科技大学信息与计算科学学士。2006年至2009年任长江证券股份有限公司研究员、投资经理，2009年至2012年任光大保德信基金有限管理公司研究员、基金助理、基金经理，2012年至2016年任海富通基金管理有限公司投资顾问、基金经理，2016年至2017年任天弘基金管理有限公司固定收益部副总经理、基金经理。2010年8月31日至2012年3月1日任光大保德信货币市场基金基金经理，2013年12月19日至2016年1月12日任海富通一年定期开放债券型证券投资基金基金经理，2014年4月2日至2016年1月12日任海富通纯债债券型证券投资基金基金经理，2014年12月1日至2016年1月12日任海富通稳固收益债券型证券投资基金基金经理，2016年5月14日至2017年7月13日任天弘弘利债券型证券投资基金基金经理，2016年5月14日至2017年7月13日任天弘裕利灵活配置混合型证券投资基金基金经理，2016年5月14日至2017年7月13日任天弘债券型发起式证券投资基金基金经理。2017年7月加入交银施罗德基金管理有限公司。2019年2月28日至2019年5月30日担任转型前的交银施罗德荣祥保本混合型证券投资基金的基金经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债券市场受资金面宽裕、新冠疫情等因素影响，收益率呈现趋势下行走势。一月，因市场资金面相对宽裕，债市基本维持平稳，新冠疫情开始出现，并在下半月开始日趋严重；二月伊始，国内疫情发酵，在市场资金面宽裕的背景下，债市收益率开始不断下行；进入三月，资金面进一步宽松，虽然国内疫情逐步缓解，但国外新冠疫情开始逐步发酵，全球央行开始普遍降息，受其影响债券收益率逐步降至年内低位，全月维持低位震荡。</w:t>
      </w:r>
    </w:p>
    <w:p>
      <w:pPr>
        <w:spacing w:before="29" w:line="288" w:lineRule="auto"/>
        <w:ind w:firstLine="480" w:firstLineChars="200"/>
        <w:rPr>
          <w:color w:val="000000"/>
          <w:sz w:val="24"/>
        </w:rPr>
      </w:pPr>
      <w:r>
        <w:rPr>
          <w:color w:val="000000"/>
          <w:sz w:val="24"/>
        </w:rPr>
        <w:t>一季度，权益市场前期走势较为良好，在新冠疫情逐步发酵后，出现危机式下跌模式，国际主要指数跌幅均超过20%以上，由于国内疫情控制相对及时果断，主要指数跌幅相对较少。一月，科技、传媒以及新能源车板块表现突出，二月国内新冠疫情冲击应对措施及时果断，对市场也相对冲击短暂，科技类品种依然表现亮眼。步入三月之后，国外疫情开始逐步发酵并且形势急剧恶化，主要国家股指均出现危机式快速大幅下跌，国内指数也受其情绪影响和对经济的担忧出现同步回落，但总体回落幅度相对较小，前期涨幅较大的科技类、新能源车板块出现较大幅度回调。</w:t>
      </w:r>
    </w:p>
    <w:p>
      <w:pPr>
        <w:spacing w:before="29" w:line="288" w:lineRule="auto"/>
        <w:ind w:firstLine="480" w:firstLineChars="200"/>
        <w:rPr>
          <w:color w:val="000000"/>
          <w:sz w:val="24"/>
        </w:rPr>
      </w:pPr>
      <w:r>
        <w:rPr>
          <w:color w:val="000000"/>
          <w:sz w:val="24"/>
        </w:rPr>
        <w:t>在基金操作中，债券部分我们维持中短久期高等级信用债的底仓配置，以获取稳定的票息收益。权益方面，随着市场波动率的加大，对新冠疫情冲击较大的部分传统行业和前期涨幅较大科技类品种进行了及时规避，持仓比例和品种更加趋于稳健。此外，组合积极参与权益及转债的一级申购，以增厚收益。</w:t>
      </w:r>
    </w:p>
    <w:p w:rsidP="007C14DF" w:rsidR="00952A72" w:rsidRDefault="00323F25" w:rsidRPr="007F52FA">
      <w:pPr>
        <w:spacing w:before="29" w:line="288" w:lineRule="auto"/>
        <w:ind w:firstLine="480" w:firstLineChars="200"/>
        <w:rPr>
          <w:color w:val="000000"/>
          <w:sz w:val="24"/>
        </w:rPr>
      </w:pPr>
      <w:r w:rsidRPr="007F52FA">
        <w:rPr>
          <w:color w:val="000000"/>
          <w:sz w:val="24"/>
        </w:rPr>
        <w:t>展望2020年二季度，在新冠疫情的冲击下，国内外经济均面临较为严峻的冲击，无论是企业还是民众的生活压力都有明显上升，宏观逆周期调控政策发力迫在眉睫。资金面维持宽松的格局下，如何传导到实体经济，解决经济增长困境和缓解就业压力将是二季度政府的主要工作重点和目标。考虑到债券收益率受疫情悲观预期影响已经处于历史低位附近，加之逆周期调控政策的逐步推出，市场悲观情绪或会有所缓和，因此我们对二季度债券市场维持低位震荡的观点，维持底仓配置中短久期高等级信用债品种，以获取票息收益，并根据市场变化动态调整组合久期。权益方面，我们将继续维持稳健品种配置，并在行业的选择中，持续关注新冠疫情对各行业的冲击影响及其受冲击程度和后期逐步恢复的情况。同时积极关注逆周期调控政策发力背景下可能受益板块的相关投资机会。我们将继续积极参加权益及转债的一级申购，以期增厚组合收益。</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2"/>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83,623,679.66</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9.38</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83,623,679.66</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9.38</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783,149,123.50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87.86</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783,149,123.50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87.86</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11,284,761.96</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1.27</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13,296,436.59</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1.49</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891,354,001.71</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1A5E45" w:rsidR="005F69E7" w:rsidRDefault="001A5E45" w:rsidRPr="005F69E7">
      <w:pPr>
        <w:jc w:val="right"/>
        <w:rPr>
          <w:sz w:val="24"/>
        </w:rPr>
      </w:pPr>
      <w:r w:rsidRPr="001A5E45">
        <w:rPr>
          <w:rFonts w:hint="eastAsia"/>
          <w:sz w:val="24"/>
        </w:rPr>
        <w:t/>
      </w:r>
      <w:r w:rsidRPr="001A5E45">
        <w:rPr>
          <w:rFonts w:hint="eastAsia"/>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113"/>
          <w:right w:type="dxa" w:w="113"/>
        </w:tblCellMar>
        <w:tblLook w:firstColumn="0" w:firstRow="0" w:lastColumn="0" w:lastRow="0" w:noHBand="0" w:noVBand="0" w:val="0000"/>
      </w:tblPr>
      <w:tblGrid>
        <w:gridCol w:w="772"/>
        <w:gridCol w:w="3525"/>
        <w:gridCol w:w="2897"/>
        <w:gridCol w:w="1674"/>
      </w:tblGrid>
      <w:tr w:rsidR="005F458B" w:rsidRPr="007F52FA" w:rsidTr="004D7E11">
        <w:trPr>
          <w:trHeight w:val="390"/>
          <w:jc w:val="center"/>
        </w:trPr>
        <w:tc>
          <w:tcPr>
            <w:tcW w:type="dxa" w:w="772"/>
            <w:tcBorders>
              <w:top w:color="000000" w:space="0" w:sz="4" w:val="single"/>
              <w:left w:color="000000" w:space="0" w:sz="4" w:val="single"/>
              <w:bottom w:color="000000" w:space="0" w:sz="4" w:val="single"/>
              <w:right w:color="000000" w:space="0" w:sz="4" w:val="single"/>
            </w:tcBorders>
            <w:vAlign w:val="center"/>
          </w:tcPr>
          <w:p w:rsidP="007C14DF" w:rsidR="005F458B" w:rsidRDefault="005F458B" w:rsidRPr="007F52FA">
            <w:pPr>
              <w:adjustRightInd w:val="0"/>
              <w:snapToGrid w:val="0"/>
              <w:spacing w:before="29" w:line="288" w:lineRule="auto"/>
              <w:jc w:val="center"/>
              <w:rPr>
                <w:sz w:val="24"/>
              </w:rPr>
            </w:pPr>
            <w:r w:rsidRPr="007F52FA">
              <w:rPr>
                <w:sz w:val="24"/>
              </w:rPr>
              <w:t>代码</w:t>
            </w:r>
            <w:r w:rsidR="00FA0527" w:rsidRPr="007F52FA">
              <w:rPr>
                <w:sz w:val="24"/>
              </w:rPr>
              <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行业类别</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1A5E45" w:rsidRPr="007F52FA">
            <w:pPr>
              <w:adjustRightInd w:val="0"/>
              <w:snapToGrid w:val="0"/>
              <w:spacing w:before="29" w:line="288" w:lineRule="auto"/>
              <w:jc w:val="center"/>
              <w:rPr>
                <w:sz w:val="24"/>
              </w:rPr>
            </w:pPr>
            <w:r>
              <w:rPr>
                <w:sz w:val="24"/>
              </w:rPr>
              <w:t>公允价值</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A</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农、林、牧、渔业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B</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采矿业</w:t>
            </w:r>
          </w:p>
        </w:tc>
        <w:tc>
          <w:tcPr>
            <w:tcW w:type="dxa" w:w="2897"/>
            <w:tcBorders>
              <w:top w:color="000000" w:space="0" w:sz="4" w:val="single"/>
              <w:left w:color="auto" w:space="0" w:sz="4" w:val="single"/>
              <w:bottom w:color="000000" w:space="0" w:sz="4" w:val="single"/>
              <w:right w:color="000000" w:space="0" w:sz="4" w:val="single"/>
            </w:tcBorders>
            <w:vAlign w:val="center"/>
          </w:tcPr>
          <w:p w:rsidP="00DF744A" w:rsidR="005F458B" w:rsidRDefault="005F458B" w:rsidRPr="007F52FA">
            <w:pPr>
              <w:spacing w:before="29" w:line="288" w:lineRule="auto"/>
              <w:jc w:val="right"/>
              <w:rPr>
                <w:sz w:val="24"/>
              </w:rPr>
            </w:pPr>
            <w:r w:rsidRPr="007F52FA">
              <w:rPr>
                <w:sz w:val="24"/>
              </w:rPr>
              <w:t>4,468,984.00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DF744A" w:rsidR="005F458B" w:rsidRDefault="005F458B" w:rsidRPr="007F52FA">
            <w:pPr>
              <w:spacing w:before="29" w:line="288" w:lineRule="auto"/>
              <w:jc w:val="right"/>
              <w:rPr>
                <w:sz w:val="24"/>
              </w:rPr>
            </w:pPr>
            <w:r w:rsidRPr="007F52FA">
              <w:rPr>
                <w:sz w:val="24"/>
              </w:rPr>
              <w:t>0.54</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C</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制造业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17,299,382.86</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2.10</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D</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电力、热力、燃气及水生产和供应业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E</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建筑业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3,057,654.00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0.37</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F</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批发和零售业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6,914,019.31</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
            </w:r>
            <w:r w:rsidRPr="007F52FA">
              <w:rPr>
                <w:sz w:val="24"/>
              </w:rPr>
              <w:lastRenderedPageBreak/>
              <w:t>0.84</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lastRenderedPageBreak/>
              <w:t>G</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交通运输、仓储和邮政业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9,030,769.24</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1.10</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H</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住宿和餐饮业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240CA0">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I</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240CA0" w:rsidR="005F458B" w:rsidRDefault="005F458B" w:rsidRPr="007F52FA">
            <w:pPr>
              <w:adjustRightInd w:val="0"/>
              <w:snapToGrid w:val="0"/>
              <w:spacing w:before="29" w:line="288" w:lineRule="auto"/>
              <w:rPr>
                <w:sz w:val="24"/>
              </w:rPr>
            </w:pPr>
            <w:r w:rsidRPr="007F52FA">
              <w:rPr>
                <w:sz w:val="24"/>
              </w:rPr>
              <w:t>信息传输、软件和信息技术服务业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2,125,034.25</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0.26</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J</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金融业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24,959,979.02</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3.03</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K</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房地产业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15,750,304.00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1.91</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L</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租赁和商务服务业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M</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科学研究和技术服务业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17,552.98</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0.00</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lastRenderedPageBreak/>
              <w:t>N</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水利、环境和公共设施管理业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O</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居民服务、修理和其他服务业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P</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教育</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Q</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卫生和社会工作</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R</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文化、体育和娱乐业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S</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综合</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合计</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83,623,679.66</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10.17</w:t>
            </w:r>
          </w:p>
        </w:tc>
      </w:tr>
    </w:tbl>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850"/>
        <w:gridCol w:w="1327"/>
        <w:gridCol w:w="1769"/>
        <w:gridCol w:w="1327"/>
        <w:gridCol w:w="1915"/>
        <w:gridCol w:w="1680"/>
      </w:tblGrid>
      <w:tr w:rsidR="000871DB" w:rsidRPr="007F52FA" w:rsidTr="00481DB2">
        <w:trPr>
          <w:jc w:val="center"/>
        </w:trPr>
        <w:tc>
          <w:tcPr>
            <w:tcW w:type="dxa" w:w="817"/>
            <w:vAlign w:val="center"/>
          </w:tcPr>
          <w:p w:rsidP="007C14DF" w:rsidR="000871DB" w:rsidRDefault="000871DB" w:rsidRPr="007F52FA">
            <w:pPr>
              <w:spacing w:before="29" w:line="288" w:lineRule="auto"/>
              <w:ind w:left="17"/>
              <w:jc w:val="center"/>
              <w:rPr>
                <w:color w:val="000000"/>
                <w:sz w:val="24"/>
              </w:rPr>
            </w:pPr>
            <w:r w:rsidRPr="007F52FA">
              <w:rPr>
                <w:color w:val="000000"/>
                <w:sz w:val="24"/>
              </w:rPr>
              <w:t>序号</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股票代码</w:t>
            </w:r>
          </w:p>
        </w:tc>
        <w:tc>
          <w:tcPr>
            <w:tcW w:type="dxa" w:w="1701"/>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股票名称</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type="dxa" w:w="1842"/>
            <w:vAlign w:val="center"/>
          </w:tcPr>
          <w:p w:rsidP="007C14DF" w:rsidR="000871DB" w:rsidRDefault="000871DB" w:rsidRPr="007F52FA">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type="dxa" w:w="1616"/>
            <w:vAlign w:val="center"/>
          </w:tcPr>
          <w:p w:rsidP="007C14DF" w:rsidR="000871DB" w:rsidRDefault="000871DB" w:rsidRPr="007F52FA">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tc>
          <w:tcPr>
            <w:vAlign w:val="center"/>
          </w:tcPr>
          <w:p>
            <w:pPr>
              <w:jc w:val="center"/>
            </w:pPr>
            <w:r>
              <w:rPr>
                <w:color w:val="000000"/>
                <w:sz w:val="24"/>
              </w:rPr>
              <w:t>1</w:t>
            </w:r>
          </w:p>
        </w:tc>
        <w:tc>
          <w:tcPr>
            <w:vAlign w:val="center"/>
          </w:tcPr>
          <w:p>
            <w:pPr>
              <w:jc w:val="center"/>
            </w:pPr>
            <w:r>
              <w:rPr>
                <w:color w:val="000000"/>
                <w:sz w:val="24"/>
              </w:rPr>
              <w:t>600048</w:t>
            </w:r>
          </w:p>
        </w:tc>
        <w:tc>
          <w:tcPr>
            <w:vAlign w:val="center"/>
          </w:tcPr>
          <w:p>
            <w:pPr>
              <w:jc w:val="center"/>
            </w:pPr>
            <w:r>
              <w:rPr>
                <w:color w:val="000000"/>
                <w:sz w:val="24"/>
              </w:rPr>
              <w:t>保利地产</w:t>
            </w:r>
          </w:p>
        </w:tc>
        <w:tc>
          <w:tcPr>
            <w:vAlign w:val="center"/>
          </w:tcPr>
          <w:p>
            <w:pPr>
              <w:jc w:val="right"/>
            </w:pPr>
            <w:r>
              <w:rPr>
                <w:color w:val="000000"/>
                <w:sz w:val="24"/>
              </w:rPr>
              <w:t>1,059,200</w:t>
            </w:r>
          </w:p>
        </w:tc>
        <w:tc>
          <w:tcPr>
            <w:vAlign w:val="center"/>
          </w:tcPr>
          <w:p>
            <w:pPr>
              <w:jc w:val="right"/>
            </w:pPr>
            <w:r>
              <w:rPr>
                <w:color w:val="000000"/>
                <w:sz w:val="24"/>
              </w:rPr>
              <w:t>15,750,304.00</w:t>
            </w:r>
          </w:p>
        </w:tc>
        <w:tc>
          <w:tcPr>
            <w:vAlign w:val="center"/>
          </w:tcPr>
          <w:p>
            <w:pPr>
              <w:jc w:val="right"/>
            </w:pPr>
            <w:r>
              <w:rPr>
                <w:color w:val="000000"/>
                <w:sz w:val="24"/>
              </w:rPr>
              <w:t>1.91</w:t>
            </w:r>
          </w:p>
        </w:tc>
      </w:tr>
      <w:tr>
        <w:tc>
          <w:tcPr>
            <w:vAlign w:val="center"/>
          </w:tcPr>
          <w:p>
            <w:pPr>
              <w:jc w:val="center"/>
            </w:pPr>
            <w:r>
              <w:rPr>
                <w:color w:val="000000"/>
                <w:sz w:val="24"/>
              </w:rPr>
              <w:t>2</w:t>
            </w:r>
          </w:p>
        </w:tc>
        <w:tc>
          <w:tcPr>
            <w:vAlign w:val="center"/>
          </w:tcPr>
          <w:p>
            <w:pPr>
              <w:jc w:val="center"/>
            </w:pPr>
            <w:r>
              <w:rPr>
                <w:color w:val="000000"/>
                <w:sz w:val="24"/>
              </w:rPr>
              <w:t>601288</w:t>
            </w:r>
          </w:p>
        </w:tc>
        <w:tc>
          <w:tcPr>
            <w:vAlign w:val="center"/>
          </w:tcPr>
          <w:p>
            <w:pPr>
              <w:jc w:val="center"/>
            </w:pPr>
            <w:r>
              <w:rPr>
                <w:color w:val="000000"/>
                <w:sz w:val="24"/>
              </w:rPr>
              <w:t>农业银行</w:t>
            </w:r>
          </w:p>
        </w:tc>
        <w:tc>
          <w:tcPr>
            <w:vAlign w:val="center"/>
          </w:tcPr>
          <w:p>
            <w:pPr>
              <w:jc w:val="right"/>
            </w:pPr>
            <w:r>
              <w:rPr>
                <w:color w:val="000000"/>
                <w:sz w:val="24"/>
              </w:rPr>
              <w:t>3,283,200</w:t>
            </w:r>
          </w:p>
        </w:tc>
        <w:tc>
          <w:tcPr>
            <w:vAlign w:val="center"/>
          </w:tcPr>
          <w:p>
            <w:pPr>
              <w:jc w:val="right"/>
            </w:pPr>
            <w:r>
              <w:rPr>
                <w:color w:val="000000"/>
                <w:sz w:val="24"/>
              </w:rPr>
              <w:t>11,064,384.00</w:t>
            </w:r>
          </w:p>
        </w:tc>
        <w:tc>
          <w:tcPr>
            <w:vAlign w:val="center"/>
          </w:tcPr>
          <w:p>
            <w:pPr>
              <w:jc w:val="right"/>
            </w:pPr>
            <w:r>
              <w:rPr>
                <w:color w:val="000000"/>
                <w:sz w:val="24"/>
              </w:rPr>
              <w:t>1.35</w:t>
            </w:r>
          </w:p>
        </w:tc>
      </w:tr>
      <w:tr>
        <w:tc>
          <w:tcPr>
            <w:vAlign w:val="center"/>
          </w:tcPr>
          <w:p>
            <w:pPr>
              <w:jc w:val="center"/>
            </w:pPr>
            <w:r>
              <w:rPr>
                <w:color w:val="000000"/>
                <w:sz w:val="24"/>
              </w:rPr>
              <w:t>3</w:t>
            </w:r>
          </w:p>
        </w:tc>
        <w:tc>
          <w:tcPr>
            <w:vAlign w:val="center"/>
          </w:tcPr>
          <w:p>
            <w:pPr>
              <w:jc w:val="center"/>
            </w:pPr>
            <w:r>
              <w:rPr>
                <w:color w:val="000000"/>
                <w:sz w:val="24"/>
              </w:rPr>
              <w:t>601628</w:t>
            </w:r>
          </w:p>
        </w:tc>
        <w:tc>
          <w:tcPr>
            <w:vAlign w:val="center"/>
          </w:tcPr>
          <w:p>
            <w:pPr>
              <w:jc w:val="center"/>
            </w:pPr>
            <w:r>
              <w:rPr>
                <w:color w:val="000000"/>
                <w:sz w:val="24"/>
              </w:rPr>
              <w:t>中国人寿</w:t>
            </w:r>
          </w:p>
        </w:tc>
        <w:tc>
          <w:tcPr>
            <w:vAlign w:val="center"/>
          </w:tcPr>
          <w:p>
            <w:pPr>
              <w:jc w:val="right"/>
            </w:pPr>
            <w:r>
              <w:rPr>
                <w:color w:val="000000"/>
                <w:sz w:val="24"/>
              </w:rPr>
              <w:t>253,700</w:t>
            </w:r>
          </w:p>
        </w:tc>
        <w:tc>
          <w:tcPr>
            <w:vAlign w:val="center"/>
          </w:tcPr>
          <w:p>
            <w:pPr>
              <w:jc w:val="right"/>
            </w:pPr>
            <w:r>
              <w:rPr>
                <w:color w:val="000000"/>
                <w:sz w:val="24"/>
              </w:rPr>
              <w:t>6,682,458.00</w:t>
            </w:r>
          </w:p>
        </w:tc>
        <w:tc>
          <w:tcPr>
            <w:vAlign w:val="center"/>
          </w:tcPr>
          <w:p>
            <w:pPr>
              <w:jc w:val="right"/>
            </w:pPr>
            <w:r>
              <w:rPr>
                <w:color w:val="000000"/>
                <w:sz w:val="24"/>
              </w:rPr>
              <w:t>0.81</w:t>
            </w:r>
          </w:p>
        </w:tc>
      </w:tr>
      <w:tr>
        <w:tc>
          <w:tcPr>
            <w:vAlign w:val="center"/>
          </w:tcPr>
          <w:p>
            <w:pPr>
              <w:jc w:val="center"/>
            </w:pPr>
            <w:r>
              <w:rPr>
                <w:color w:val="000000"/>
                <w:sz w:val="24"/>
              </w:rPr>
              <w:t>4</w:t>
            </w:r>
          </w:p>
        </w:tc>
        <w:tc>
          <w:tcPr>
            <w:vAlign w:val="center"/>
          </w:tcPr>
          <w:p>
            <w:pPr>
              <w:jc w:val="center"/>
            </w:pPr>
            <w:r>
              <w:rPr>
                <w:color w:val="000000"/>
                <w:sz w:val="24"/>
              </w:rPr>
              <w:t>001965</w:t>
            </w:r>
          </w:p>
        </w:tc>
        <w:tc>
          <w:tcPr>
            <w:vAlign w:val="center"/>
          </w:tcPr>
          <w:p>
            <w:pPr>
              <w:jc w:val="center"/>
            </w:pPr>
            <w:r>
              <w:rPr>
                <w:color w:val="000000"/>
                <w:sz w:val="24"/>
              </w:rPr>
              <w:t>招商公路</w:t>
            </w:r>
          </w:p>
        </w:tc>
        <w:tc>
          <w:tcPr>
            <w:vAlign w:val="center"/>
          </w:tcPr>
          <w:p>
            <w:pPr>
              <w:jc w:val="right"/>
            </w:pPr>
            <w:r>
              <w:rPr>
                <w:color w:val="000000"/>
                <w:sz w:val="24"/>
              </w:rPr>
              <w:t>935,556</w:t>
            </w:r>
          </w:p>
        </w:tc>
        <w:tc>
          <w:tcPr>
            <w:vAlign w:val="center"/>
          </w:tcPr>
          <w:p>
            <w:pPr>
              <w:jc w:val="right"/>
            </w:pPr>
            <w:r>
              <w:rPr>
                <w:color w:val="000000"/>
                <w:sz w:val="24"/>
              </w:rPr>
              <w:t>6,483,403.08</w:t>
            </w:r>
          </w:p>
        </w:tc>
        <w:tc>
          <w:tcPr>
            <w:vAlign w:val="center"/>
          </w:tcPr>
          <w:p>
            <w:pPr>
              <w:jc w:val="right"/>
            </w:pPr>
            <w:r>
              <w:rPr>
                <w:color w:val="000000"/>
                <w:sz w:val="24"/>
              </w:rPr>
              <w:t>0.79</w:t>
            </w:r>
          </w:p>
        </w:tc>
      </w:tr>
      <w:tr>
        <w:tc>
          <w:tcPr>
            <w:vAlign w:val="center"/>
          </w:tcPr>
          <w:p>
            <w:pPr>
              <w:jc w:val="center"/>
            </w:pPr>
            <w:r>
              <w:rPr>
                <w:color w:val="000000"/>
                <w:sz w:val="24"/>
              </w:rPr>
              <w:t>5</w:t>
            </w:r>
          </w:p>
        </w:tc>
        <w:tc>
          <w:tcPr>
            <w:vAlign w:val="center"/>
          </w:tcPr>
          <w:p>
            <w:pPr>
              <w:jc w:val="center"/>
            </w:pPr>
            <w:r>
              <w:rPr>
                <w:color w:val="000000"/>
                <w:sz w:val="24"/>
              </w:rPr>
              <w:t>601933</w:t>
            </w:r>
          </w:p>
        </w:tc>
        <w:tc>
          <w:tcPr>
            <w:vAlign w:val="center"/>
          </w:tcPr>
          <w:p>
            <w:pPr>
              <w:jc w:val="center"/>
            </w:pPr>
            <w:r>
              <w:rPr>
                <w:color w:val="000000"/>
                <w:sz w:val="24"/>
              </w:rPr>
              <w:t>永辉超市</w:t>
            </w:r>
          </w:p>
        </w:tc>
        <w:tc>
          <w:tcPr>
            <w:vAlign w:val="center"/>
          </w:tcPr>
          <w:p>
            <w:pPr>
              <w:jc w:val="right"/>
            </w:pPr>
            <w:r>
              <w:rPr>
                <w:color w:val="000000"/>
                <w:sz w:val="24"/>
              </w:rPr>
              <w:t>595,300</w:t>
            </w:r>
          </w:p>
        </w:tc>
        <w:tc>
          <w:tcPr>
            <w:vAlign w:val="center"/>
          </w:tcPr>
          <w:p>
            <w:pPr>
              <w:jc w:val="right"/>
            </w:pPr>
            <w:r>
              <w:rPr>
                <w:color w:val="000000"/>
                <w:sz w:val="24"/>
              </w:rPr>
              <w:t>6,095,872.00</w:t>
            </w:r>
          </w:p>
        </w:tc>
        <w:tc>
          <w:tcPr>
            <w:vAlign w:val="center"/>
          </w:tcPr>
          <w:p>
            <w:pPr>
              <w:jc w:val="right"/>
            </w:pPr>
            <w:r>
              <w:rPr>
                <w:color w:val="000000"/>
                <w:sz w:val="24"/>
              </w:rPr>
              <w:t>0.74</w:t>
            </w:r>
          </w:p>
        </w:tc>
      </w:tr>
      <w:tr>
        <w:tc>
          <w:tcPr>
            <w:vAlign w:val="center"/>
          </w:tcPr>
          <w:p>
            <w:pPr>
              <w:jc w:val="center"/>
            </w:pPr>
            <w:r>
              <w:rPr>
                <w:color w:val="000000"/>
                <w:sz w:val="24"/>
              </w:rPr>
              <w:t>6</w:t>
            </w:r>
          </w:p>
        </w:tc>
        <w:tc>
          <w:tcPr>
            <w:vAlign w:val="center"/>
          </w:tcPr>
          <w:p>
            <w:pPr>
              <w:jc w:val="center"/>
            </w:pPr>
            <w:r>
              <w:rPr>
                <w:color w:val="000000"/>
                <w:sz w:val="24"/>
              </w:rPr>
              <w:t>002271</w:t>
            </w:r>
          </w:p>
        </w:tc>
        <w:tc>
          <w:tcPr>
            <w:vAlign w:val="center"/>
          </w:tcPr>
          <w:p>
            <w:pPr>
              <w:jc w:val="center"/>
            </w:pPr>
            <w:r>
              <w:rPr>
                <w:color w:val="000000"/>
                <w:sz w:val="24"/>
              </w:rPr>
              <w:t>东方雨虹</w:t>
            </w:r>
          </w:p>
        </w:tc>
        <w:tc>
          <w:tcPr>
            <w:vAlign w:val="center"/>
          </w:tcPr>
          <w:p>
            <w:pPr>
              <w:jc w:val="right"/>
            </w:pPr>
            <w:r>
              <w:rPr>
                <w:color w:val="000000"/>
                <w:sz w:val="24"/>
              </w:rPr>
              <w:t>165,500</w:t>
            </w:r>
          </w:p>
        </w:tc>
        <w:tc>
          <w:tcPr>
            <w:vAlign w:val="center"/>
          </w:tcPr>
          <w:p>
            <w:pPr>
              <w:jc w:val="right"/>
            </w:pPr>
            <w:r>
              <w:rPr>
                <w:color w:val="000000"/>
                <w:sz w:val="24"/>
              </w:rPr>
              <w:t>5,631,965.00</w:t>
            </w:r>
          </w:p>
        </w:tc>
        <w:tc>
          <w:tcPr>
            <w:vAlign w:val="center"/>
          </w:tcPr>
          <w:p>
            <w:pPr>
              <w:jc w:val="right"/>
            </w:pPr>
            <w:r>
              <w:rPr>
                <w:color w:val="000000"/>
                <w:sz w:val="24"/>
              </w:rPr>
              <w:t>0.68</w:t>
            </w:r>
          </w:p>
        </w:tc>
      </w:tr>
      <w:tr>
        <w:tc>
          <w:tcPr>
            <w:vAlign w:val="center"/>
          </w:tcPr>
          <w:p>
            <w:pPr>
              <w:jc w:val="center"/>
            </w:pPr>
            <w:r>
              <w:rPr>
                <w:color w:val="000000"/>
                <w:sz w:val="24"/>
              </w:rPr>
              <w:t>7</w:t>
            </w:r>
          </w:p>
        </w:tc>
        <w:tc>
          <w:tcPr>
            <w:vAlign w:val="center"/>
          </w:tcPr>
          <w:p>
            <w:pPr>
              <w:jc w:val="center"/>
            </w:pPr>
            <w:r>
              <w:rPr>
                <w:color w:val="000000"/>
                <w:sz w:val="24"/>
              </w:rPr>
              <w:t>600519</w:t>
            </w:r>
          </w:p>
        </w:tc>
        <w:tc>
          <w:tcPr>
            <w:vAlign w:val="center"/>
          </w:tcPr>
          <w:p>
            <w:pPr>
              <w:jc w:val="center"/>
            </w:pPr>
            <w:r>
              <w:rPr>
                <w:color w:val="000000"/>
                <w:sz w:val="24"/>
              </w:rPr>
              <w:t>贵州茅台</w:t>
            </w:r>
          </w:p>
        </w:tc>
        <w:tc>
          <w:tcPr>
            <w:vAlign w:val="center"/>
          </w:tcPr>
          <w:p>
            <w:pPr>
              <w:jc w:val="right"/>
            </w:pPr>
            <w:r>
              <w:rPr>
                <w:color w:val="000000"/>
                <w:sz w:val="24"/>
              </w:rPr>
              <w:t>5,000</w:t>
            </w:r>
          </w:p>
        </w:tc>
        <w:tc>
          <w:tcPr>
            <w:vAlign w:val="center"/>
          </w:tcPr>
          <w:p>
            <w:pPr>
              <w:jc w:val="right"/>
            </w:pPr>
            <w:r>
              <w:rPr>
                <w:color w:val="000000"/>
                <w:sz w:val="24"/>
              </w:rPr>
              <w:t>5,555,000.00</w:t>
            </w:r>
          </w:p>
        </w:tc>
        <w:tc>
          <w:tcPr>
            <w:vAlign w:val="center"/>
          </w:tcPr>
          <w:p>
            <w:pPr>
              <w:jc w:val="right"/>
            </w:pPr>
            <w:r>
              <w:rPr>
                <w:color w:val="000000"/>
                <w:sz w:val="24"/>
              </w:rPr>
              <w:t>0.68</w:t>
            </w:r>
          </w:p>
        </w:tc>
      </w:tr>
      <w:tr>
        <w:tc>
          <w:tcPr>
            <w:vAlign w:val="center"/>
          </w:tcPr>
          <w:p>
            <w:pPr>
              <w:jc w:val="center"/>
            </w:pPr>
            <w:r>
              <w:rPr>
                <w:color w:val="000000"/>
                <w:sz w:val="24"/>
              </w:rPr>
              <w:t>8</w:t>
            </w:r>
          </w:p>
        </w:tc>
        <w:tc>
          <w:tcPr>
            <w:vAlign w:val="center"/>
          </w:tcPr>
          <w:p>
            <w:pPr>
              <w:jc w:val="center"/>
            </w:pPr>
            <w:r>
              <w:rPr>
                <w:color w:val="000000"/>
                <w:sz w:val="24"/>
              </w:rPr>
              <w:t>601398</w:t>
            </w:r>
          </w:p>
        </w:tc>
        <w:tc>
          <w:tcPr>
            <w:vAlign w:val="center"/>
          </w:tcPr>
          <w:p>
            <w:pPr>
              <w:jc w:val="center"/>
            </w:pPr>
            <w:r>
              <w:rPr>
                <w:color w:val="000000"/>
                <w:sz w:val="24"/>
              </w:rPr>
              <w:t>工商银行</w:t>
            </w:r>
          </w:p>
        </w:tc>
        <w:tc>
          <w:tcPr>
            <w:vAlign w:val="center"/>
          </w:tcPr>
          <w:p>
            <w:pPr>
              <w:jc w:val="right"/>
            </w:pPr>
            <w:r>
              <w:rPr>
                <w:color w:val="000000"/>
                <w:sz w:val="24"/>
              </w:rPr>
              <w:t>1,000,000</w:t>
            </w:r>
          </w:p>
        </w:tc>
        <w:tc>
          <w:tcPr>
            <w:vAlign w:val="center"/>
          </w:tcPr>
          <w:p>
            <w:pPr>
              <w:jc w:val="right"/>
            </w:pPr>
            <w:r>
              <w:rPr>
                <w:color w:val="000000"/>
                <w:sz w:val="24"/>
              </w:rPr>
              <w:t>5,150,000.00</w:t>
            </w:r>
          </w:p>
        </w:tc>
        <w:tc>
          <w:tcPr>
            <w:vAlign w:val="center"/>
          </w:tcPr>
          <w:p>
            <w:pPr>
              <w:jc w:val="right"/>
            </w:pPr>
            <w:r>
              <w:rPr>
                <w:color w:val="000000"/>
                <w:sz w:val="24"/>
              </w:rPr>
              <w:t>0.63</w:t>
            </w:r>
          </w:p>
        </w:tc>
      </w:tr>
      <w:tr>
        <w:tc>
          <w:tcPr>
            <w:vAlign w:val="center"/>
          </w:tcPr>
          <w:p>
            <w:pPr>
              <w:jc w:val="center"/>
            </w:pPr>
            <w:r>
              <w:rPr>
                <w:color w:val="000000"/>
                <w:sz w:val="24"/>
              </w:rPr>
              <w:t>9</w:t>
            </w:r>
          </w:p>
        </w:tc>
        <w:tc>
          <w:tcPr>
            <w:vAlign w:val="center"/>
          </w:tcPr>
          <w:p>
            <w:pPr>
              <w:jc w:val="center"/>
            </w:pPr>
            <w:r>
              <w:rPr>
                <w:color w:val="000000"/>
                <w:sz w:val="24"/>
              </w:rPr>
              <w:t>600028</w:t>
            </w:r>
          </w:p>
        </w:tc>
        <w:tc>
          <w:tcPr>
            <w:vAlign w:val="center"/>
          </w:tcPr>
          <w:p>
            <w:pPr>
              <w:jc w:val="center"/>
            </w:pPr>
            <w:r>
              <w:rPr>
                <w:color w:val="000000"/>
                <w:sz w:val="24"/>
              </w:rPr>
              <w:t>中国石化</w:t>
            </w:r>
          </w:p>
        </w:tc>
        <w:tc>
          <w:tcPr>
            <w:vAlign w:val="center"/>
          </w:tcPr>
          <w:p>
            <w:pPr>
              <w:jc w:val="right"/>
            </w:pPr>
            <w:r>
              <w:rPr>
                <w:color w:val="000000"/>
                <w:sz w:val="24"/>
              </w:rPr>
              <w:t>1,008,800</w:t>
            </w:r>
          </w:p>
        </w:tc>
        <w:tc>
          <w:tcPr>
            <w:vAlign w:val="center"/>
          </w:tcPr>
          <w:p>
            <w:pPr>
              <w:jc w:val="right"/>
            </w:pPr>
            <w:r>
              <w:rPr>
                <w:color w:val="000000"/>
                <w:sz w:val="24"/>
              </w:rPr>
              <w:t>4,468,984.00</w:t>
            </w:r>
          </w:p>
        </w:tc>
        <w:tc>
          <w:tcPr>
            <w:vAlign w:val="center"/>
          </w:tcPr>
          <w:p>
            <w:pPr>
              <w:jc w:val="right"/>
            </w:pPr>
            <w:r>
              <w:rPr>
                <w:color w:val="000000"/>
                <w:sz w:val="24"/>
              </w:rPr>
              <w:t>0.54</w:t>
            </w:r>
          </w:p>
        </w:tc>
      </w:tr>
      <w:tr>
        <w:tc>
          <w:tcPr>
            <w:vAlign w:val="center"/>
          </w:tcPr>
          <w:p>
            <w:pPr>
              <w:jc w:val="center"/>
            </w:pPr>
            <w:r>
              <w:rPr>
                <w:color w:val="000000"/>
                <w:sz w:val="24"/>
              </w:rPr>
              <w:t>10</w:t>
            </w:r>
          </w:p>
        </w:tc>
        <w:tc>
          <w:tcPr>
            <w:vAlign w:val="center"/>
          </w:tcPr>
          <w:p>
            <w:pPr>
              <w:jc w:val="center"/>
            </w:pPr>
            <w:r>
              <w:rPr>
                <w:color w:val="000000"/>
                <w:sz w:val="24"/>
              </w:rPr>
              <w:t>601668</w:t>
            </w:r>
          </w:p>
        </w:tc>
        <w:tc>
          <w:tcPr>
            <w:vAlign w:val="center"/>
          </w:tcPr>
          <w:p>
            <w:pPr>
              <w:jc w:val="center"/>
            </w:pPr>
            <w:r>
              <w:rPr>
                <w:color w:val="000000"/>
                <w:sz w:val="24"/>
              </w:rPr>
              <w:t>中国建筑</w:t>
            </w:r>
          </w:p>
        </w:tc>
        <w:tc>
          <w:tcPr>
            <w:vAlign w:val="center"/>
          </w:tcPr>
          <w:p>
            <w:pPr>
              <w:jc w:val="right"/>
            </w:pPr>
            <w:r>
              <w:rPr>
                <w:color w:val="000000"/>
                <w:sz w:val="24"/>
              </w:rPr>
              <w:t>580,200</w:t>
            </w:r>
          </w:p>
        </w:tc>
        <w:tc>
          <w:tcPr>
            <w:vAlign w:val="center"/>
          </w:tcPr>
          <w:p>
            <w:pPr>
              <w:jc w:val="right"/>
            </w:pPr>
            <w:r>
              <w:rPr>
                <w:color w:val="000000"/>
                <w:sz w:val="24"/>
              </w:rPr>
              <w:t>3,057,654.00</w:t>
            </w:r>
          </w:p>
        </w:tc>
        <w:tc>
          <w:tcPr>
            <w:vAlign w:val="center"/>
          </w:tcPr>
          <w:p>
            <w:pPr>
              <w:jc w:val="right"/>
            </w:pPr>
            <w:r>
              <w:rPr>
                <w:color w:val="000000"/>
                <w:sz w:val="24"/>
              </w:rPr>
              <w:t>0.37</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44,404,555.00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5.40</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44,404,555.00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5.40</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390,983,500.00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47.53</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347,759,000.00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42.28</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2,068.50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0.00</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783,149,123.50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95.21</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2"/>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101800543</w:t>
            </w:r>
          </w:p>
        </w:tc>
        <w:tc>
          <w:tcPr>
            <w:vAlign w:val="center"/>
          </w:tcPr>
          <w:p>
            <w:pPr>
              <w:jc w:val="center"/>
            </w:pPr>
            <w:r>
              <w:rPr>
                <w:color w:val="000000"/>
                <w:sz w:val="24"/>
              </w:rPr>
              <w:t>18苏交通MTN003</w:t>
            </w:r>
          </w:p>
        </w:tc>
        <w:tc>
          <w:tcPr>
            <w:vAlign w:val="center"/>
          </w:tcPr>
          <w:p>
            <w:pPr>
              <w:jc w:val="right"/>
            </w:pPr>
            <w:r>
              <w:rPr>
                <w:color w:val="000000"/>
                <w:sz w:val="24"/>
              </w:rPr>
              <w:t>500,000</w:t>
            </w:r>
          </w:p>
        </w:tc>
        <w:tc>
          <w:tcPr>
            <w:vAlign w:val="center"/>
          </w:tcPr>
          <w:p>
            <w:pPr>
              <w:jc w:val="right"/>
            </w:pPr>
            <w:r>
              <w:rPr>
                <w:color w:val="000000"/>
                <w:sz w:val="24"/>
              </w:rPr>
              <w:t>51,595,000.00</w:t>
            </w:r>
          </w:p>
        </w:tc>
        <w:tc>
          <w:tcPr>
            <w:vAlign w:val="center"/>
          </w:tcPr>
          <w:p>
            <w:pPr>
              <w:jc w:val="right"/>
            </w:pPr>
            <w:r>
              <w:rPr>
                <w:color w:val="000000"/>
                <w:sz w:val="24"/>
              </w:rPr>
              <w:t>6.27</w:t>
            </w:r>
          </w:p>
        </w:tc>
      </w:tr>
      <w:tr>
        <w:tc>
          <w:tcPr>
            <w:vAlign w:val="center"/>
          </w:tcPr>
          <w:p>
            <w:pPr>
              <w:jc w:val="center"/>
            </w:pPr>
            <w:r>
              <w:rPr>
                <w:color w:val="000000"/>
                <w:sz w:val="24"/>
              </w:rPr>
              <w:t>2</w:t>
            </w:r>
          </w:p>
        </w:tc>
        <w:tc>
          <w:tcPr>
            <w:vAlign w:val="center"/>
          </w:tcPr>
          <w:p>
            <w:pPr>
              <w:jc w:val="center"/>
            </w:pPr>
            <w:r>
              <w:rPr>
                <w:color w:val="000000"/>
                <w:sz w:val="24"/>
              </w:rPr>
              <w:t>143725</w:t>
            </w:r>
          </w:p>
        </w:tc>
        <w:tc>
          <w:tcPr>
            <w:vAlign w:val="center"/>
          </w:tcPr>
          <w:p>
            <w:pPr>
              <w:jc w:val="center"/>
            </w:pPr>
            <w:r>
              <w:rPr>
                <w:color w:val="000000"/>
                <w:sz w:val="24"/>
              </w:rPr>
              <w:t>18光明01</w:t>
            </w:r>
          </w:p>
        </w:tc>
        <w:tc>
          <w:tcPr>
            <w:vAlign w:val="center"/>
          </w:tcPr>
          <w:p>
            <w:pPr>
              <w:jc w:val="right"/>
            </w:pPr>
            <w:r>
              <w:rPr>
                <w:color w:val="000000"/>
                <w:sz w:val="24"/>
              </w:rPr>
              <w:t>500,000</w:t>
            </w:r>
          </w:p>
        </w:tc>
        <w:tc>
          <w:tcPr>
            <w:vAlign w:val="center"/>
          </w:tcPr>
          <w:p>
            <w:pPr>
              <w:jc w:val="right"/>
            </w:pPr>
            <w:r>
              <w:rPr>
                <w:color w:val="000000"/>
                <w:sz w:val="24"/>
              </w:rPr>
              <w:t>51,120,000.00</w:t>
            </w:r>
          </w:p>
        </w:tc>
        <w:tc>
          <w:tcPr>
            <w:vAlign w:val="center"/>
          </w:tcPr>
          <w:p>
            <w:pPr>
              <w:jc w:val="right"/>
            </w:pPr>
            <w:r>
              <w:rPr>
                <w:color w:val="000000"/>
                <w:sz w:val="24"/>
              </w:rPr>
              <w:t>6.21</w:t>
            </w:r>
          </w:p>
        </w:tc>
      </w:tr>
      <w:tr>
        <w:tc>
          <w:tcPr>
            <w:vAlign w:val="center"/>
          </w:tcPr>
          <w:p>
            <w:pPr>
              <w:jc w:val="center"/>
            </w:pPr>
            <w:r>
              <w:rPr>
                <w:color w:val="000000"/>
                <w:sz w:val="24"/>
              </w:rPr>
              <w:t>3</w:t>
            </w:r>
          </w:p>
        </w:tc>
        <w:tc>
          <w:tcPr>
            <w:vAlign w:val="center"/>
          </w:tcPr>
          <w:p>
            <w:pPr>
              <w:jc w:val="center"/>
            </w:pPr>
            <w:r>
              <w:rPr>
                <w:color w:val="000000"/>
                <w:sz w:val="24"/>
              </w:rPr>
              <w:t>101900121</w:t>
            </w:r>
          </w:p>
        </w:tc>
        <w:tc>
          <w:tcPr>
            <w:vAlign w:val="center"/>
          </w:tcPr>
          <w:p>
            <w:pPr>
              <w:jc w:val="center"/>
            </w:pPr>
            <w:r>
              <w:rPr>
                <w:color w:val="000000"/>
                <w:sz w:val="24"/>
              </w:rPr>
              <w:t>19中电信MTN001</w:t>
            </w:r>
          </w:p>
        </w:tc>
        <w:tc>
          <w:tcPr>
            <w:vAlign w:val="center"/>
          </w:tcPr>
          <w:p>
            <w:pPr>
              <w:jc w:val="right"/>
            </w:pPr>
            <w:r>
              <w:rPr>
                <w:color w:val="000000"/>
                <w:sz w:val="24"/>
              </w:rPr>
              <w:t>500,000</w:t>
            </w:r>
          </w:p>
        </w:tc>
        <w:tc>
          <w:tcPr>
            <w:vAlign w:val="center"/>
          </w:tcPr>
          <w:p>
            <w:pPr>
              <w:jc w:val="right"/>
            </w:pPr>
            <w:r>
              <w:rPr>
                <w:color w:val="000000"/>
                <w:sz w:val="24"/>
              </w:rPr>
              <w:t>50,700,000.00</w:t>
            </w:r>
          </w:p>
        </w:tc>
        <w:tc>
          <w:tcPr>
            <w:vAlign w:val="center"/>
          </w:tcPr>
          <w:p>
            <w:pPr>
              <w:jc w:val="right"/>
            </w:pPr>
            <w:r>
              <w:rPr>
                <w:color w:val="000000"/>
                <w:sz w:val="24"/>
              </w:rPr>
              <w:t>6.16</w:t>
            </w:r>
          </w:p>
        </w:tc>
      </w:tr>
      <w:tr>
        <w:tc>
          <w:tcPr>
            <w:vAlign w:val="center"/>
          </w:tcPr>
          <w:p>
            <w:pPr>
              <w:jc w:val="center"/>
            </w:pPr>
            <w:r>
              <w:rPr>
                <w:color w:val="000000"/>
                <w:sz w:val="24"/>
              </w:rPr>
              <w:t>4</w:t>
            </w:r>
          </w:p>
        </w:tc>
        <w:tc>
          <w:tcPr>
            <w:vAlign w:val="center"/>
          </w:tcPr>
          <w:p>
            <w:pPr>
              <w:jc w:val="center"/>
            </w:pPr>
            <w:r>
              <w:rPr>
                <w:color w:val="000000"/>
                <w:sz w:val="24"/>
              </w:rPr>
              <w:t>018007</w:t>
            </w:r>
          </w:p>
        </w:tc>
        <w:tc>
          <w:tcPr>
            <w:vAlign w:val="center"/>
          </w:tcPr>
          <w:p>
            <w:pPr>
              <w:jc w:val="center"/>
            </w:pPr>
            <w:r>
              <w:rPr>
                <w:color w:val="000000"/>
                <w:sz w:val="24"/>
              </w:rPr>
              <w:t>国开1801</w:t>
            </w:r>
          </w:p>
        </w:tc>
        <w:tc>
          <w:tcPr>
            <w:vAlign w:val="center"/>
          </w:tcPr>
          <w:p>
            <w:pPr>
              <w:jc w:val="right"/>
            </w:pPr>
            <w:r>
              <w:rPr>
                <w:color w:val="000000"/>
                <w:sz w:val="24"/>
              </w:rPr>
              <w:t>440,740</w:t>
            </w:r>
          </w:p>
        </w:tc>
        <w:tc>
          <w:tcPr>
            <w:vAlign w:val="center"/>
          </w:tcPr>
          <w:p>
            <w:pPr>
              <w:jc w:val="right"/>
            </w:pPr>
            <w:r>
              <w:rPr>
                <w:color w:val="000000"/>
                <w:sz w:val="24"/>
              </w:rPr>
              <w:t>44,404,555.00</w:t>
            </w:r>
          </w:p>
        </w:tc>
        <w:tc>
          <w:tcPr>
            <w:vAlign w:val="center"/>
          </w:tcPr>
          <w:p>
            <w:pPr>
              <w:jc w:val="right"/>
            </w:pPr>
            <w:r>
              <w:rPr>
                <w:color w:val="000000"/>
                <w:sz w:val="24"/>
              </w:rPr>
              <w:t>5.40</w:t>
            </w:r>
          </w:p>
        </w:tc>
      </w:tr>
      <w:tr>
        <w:tc>
          <w:tcPr>
            <w:vAlign w:val="center"/>
          </w:tcPr>
          <w:p>
            <w:pPr>
              <w:jc w:val="center"/>
            </w:pPr>
            <w:r>
              <w:rPr>
                <w:color w:val="000000"/>
                <w:sz w:val="24"/>
              </w:rPr>
              <w:t>5</w:t>
            </w:r>
          </w:p>
        </w:tc>
        <w:tc>
          <w:tcPr>
            <w:vAlign w:val="center"/>
          </w:tcPr>
          <w:p>
            <w:pPr>
              <w:jc w:val="center"/>
            </w:pPr>
            <w:r>
              <w:rPr>
                <w:color w:val="000000"/>
                <w:sz w:val="24"/>
              </w:rPr>
              <w:t>101800480</w:t>
            </w:r>
          </w:p>
        </w:tc>
        <w:tc>
          <w:tcPr>
            <w:vAlign w:val="center"/>
          </w:tcPr>
          <w:p>
            <w:pPr>
              <w:jc w:val="center"/>
            </w:pPr>
            <w:r>
              <w:rPr>
                <w:color w:val="000000"/>
                <w:sz w:val="24"/>
              </w:rPr>
              <w:t>18物产中大MTN001</w:t>
            </w:r>
          </w:p>
        </w:tc>
        <w:tc>
          <w:tcPr>
            <w:vAlign w:val="center"/>
          </w:tcPr>
          <w:p>
            <w:pPr>
              <w:jc w:val="right"/>
            </w:pPr>
            <w:r>
              <w:rPr>
                <w:color w:val="000000"/>
                <w:sz w:val="24"/>
              </w:rPr>
              <w:t>300,000</w:t>
            </w:r>
          </w:p>
        </w:tc>
        <w:tc>
          <w:tcPr>
            <w:vAlign w:val="center"/>
          </w:tcPr>
          <w:p>
            <w:pPr>
              <w:jc w:val="right"/>
            </w:pPr>
            <w:r>
              <w:rPr>
                <w:color w:val="000000"/>
                <w:sz w:val="24"/>
              </w:rPr>
              <w:t>30,996,000.00</w:t>
            </w:r>
          </w:p>
        </w:tc>
        <w:tc>
          <w:tcPr>
            <w:vAlign w:val="center"/>
          </w:tcPr>
          <w:p>
            <w:pPr>
              <w:jc w:val="right"/>
            </w:pPr>
            <w:r>
              <w:rPr>
                <w:color w:val="000000"/>
                <w:sz w:val="24"/>
              </w:rPr>
              <w:t>3.77</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bookmarkStart w:id="2" w:name="_GoBack"/>
      <w:r w:rsidRPr="00885AD9">
        <w:rPr>
          <w:b/>
          <w:kern w:val="0"/>
          <w:sz w:val="24"/>
        </w:rPr>
        <w:t>5.11.3</w:t>
      </w:r>
      <w:bookmarkEnd w:id="2"/>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2"/>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36,865.36</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294,084.78</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12,887,935.09</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77,551.36</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13,296,436.59</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本基金本报告期末前十名股票中不存在流通受限情况。</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交银优选回报灵活配置混合A</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交银优选回报灵活配置混合C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694,386,152.63</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521,224.85</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1,115,335.39</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2,185,478.66</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273,817.79</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832,666.86</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695,227,670.23</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1,874,036.65</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 xml:space="preserve">    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ED0E09" w:rsidRDefault="00ED0E09">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§8 </w:t>
      </w:r>
      <w:r w:rsidR="00F139D5">
        <w:rPr>
          <w:rFonts w:eastAsiaTheme="minorEastAsia"/>
          <w:color w:themeColor="text1" w:val="000000"/>
          <w:kern w:val="0"/>
          <w:sz w:val="21"/>
          <w:szCs w:val="21"/>
        </w:rPr>
        <w:t xml:space="preserve"> </w:t>
      </w:r>
      <w:r>
        <w:rPr>
          <w:rFonts w:eastAsiaTheme="minorEastAsia" w:hint="eastAsia"/>
          <w:color w:themeColor="text1" w:val="000000"/>
          <w:kern w:val="0"/>
          <w:sz w:val="21"/>
          <w:szCs w:val="21"/>
        </w:rPr>
        <w:t>影响投资者决策的其他重要信息</w:t>
      </w:r>
    </w:p>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ED0E09" w:rsidTr="00ED0E09">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type="dxa" w:w="993"/>
            <w:vMerge/>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2020/1/1-2020/3/31</w:t>
            </w:r>
          </w:p>
        </w:tc>
        <w:tc>
          <w:tcPr>
            <w:vAlign w:val="center"/>
          </w:tcPr>
          <w:p>
            <w:pPr>
              <w:jc w:val="center"/>
            </w:pPr>
            <w:r>
              <w:rPr>
                <w:rFonts w:ascii="宋体" w:hAnsi="宋体" w:hint="eastAsia"/>
                <w:color w:val="000000"/>
                <w:kern w:val="0"/>
                <w:szCs w:val="21"/>
              </w:rPr>
              <w:t>500,044,000.00</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500,044,000.00</w:t>
            </w:r>
          </w:p>
        </w:tc>
        <w:tc>
          <w:tcPr>
            <w:vAlign w:val="center"/>
          </w:tcPr>
          <w:p>
            <w:pPr>
              <w:jc w:val="center"/>
            </w:pPr>
            <w:r>
              <w:rPr>
                <w:rFonts w:ascii="宋体" w:hAnsi="宋体" w:hint="eastAsia"/>
                <w:color w:val="000000"/>
                <w:kern w:val="0"/>
                <w:szCs w:val="21"/>
              </w:rPr>
              <w:t>71.73%</w:t>
            </w:r>
          </w:p>
        </w:tc>
      </w:tr>
      <w:tr>
        <w:tc>
          <w:tcPr>
            <w:vMerge/>
          </w:tcPr>
          <w:p/>
        </w:tc>
        <w:tc>
          <w:tcPr>
            <w:vAlign w:val="center"/>
          </w:tcPr>
          <w:p>
            <w:pPr>
              <w:jc w:val="center"/>
            </w:pPr>
            <w:r>
              <w:rPr>
                <w:rFonts w:ascii="宋体" w:hAnsi="宋体" w:hint="eastAsia"/>
                <w:color w:val="000000"/>
                <w:kern w:val="0"/>
                <w:szCs w:val="21"/>
              </w:rPr>
              <w:t>2</w:t>
            </w:r>
          </w:p>
        </w:tc>
        <w:tc>
          <w:tcPr>
            <w:vAlign w:val="center"/>
          </w:tcPr>
          <w:p>
            <w:pPr>
              <w:jc w:val="center"/>
            </w:pPr>
            <w:r>
              <w:rPr>
                <w:rFonts w:ascii="宋体" w:hAnsi="宋体" w:hint="eastAsia"/>
                <w:color w:val="000000"/>
                <w:kern w:val="0"/>
                <w:szCs w:val="21"/>
              </w:rPr>
              <w:t>2020/1/1-2020/3/31</w:t>
            </w:r>
          </w:p>
        </w:tc>
        <w:tc>
          <w:tcPr>
            <w:vAlign w:val="center"/>
          </w:tcPr>
          <w:p>
            <w:pPr>
              <w:jc w:val="center"/>
            </w:pPr>
            <w:r>
              <w:rPr>
                <w:rFonts w:ascii="宋体" w:hAnsi="宋体" w:hint="eastAsia"/>
                <w:color w:val="000000"/>
                <w:kern w:val="0"/>
                <w:szCs w:val="21"/>
              </w:rPr>
              <w:t>193,985,451.02</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193,985,451.02</w:t>
            </w:r>
          </w:p>
        </w:tc>
        <w:tc>
          <w:tcPr>
            <w:vAlign w:val="center"/>
          </w:tcPr>
          <w:p>
            <w:pPr>
              <w:jc w:val="center"/>
            </w:pPr>
            <w:r>
              <w:rPr>
                <w:rFonts w:ascii="宋体" w:hAnsi="宋体" w:hint="eastAsia"/>
                <w:color w:val="000000"/>
                <w:kern w:val="0"/>
                <w:szCs w:val="21"/>
              </w:rPr>
              <w:t>27.83%</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1、中国证监会准予交银施罗德优选回报灵活配置混合型证券投资基金募集注册的文件； </w:t>
      </w:r>
    </w:p>
    <w:p>
      <w:pPr>
        <w:spacing w:before="29" w:line="288" w:lineRule="auto"/>
        <w:ind w:firstLine="480" w:firstLineChars="200"/>
        <w:rPr>
          <w:rFonts w:eastAsiaTheme="minorEastAsia"/>
          <w:color w:val="000000"/>
          <w:sz w:val="24"/>
        </w:rPr>
      </w:pPr>
      <w:r>
        <w:rPr>
          <w:rFonts w:eastAsiaTheme="minorEastAsia"/>
          <w:color w:val="000000"/>
          <w:sz w:val="24"/>
        </w:rPr>
        <w:t xml:space="preserve">2、《交银施罗德优选回报灵活配置混合型证券投资基金基金合同》； </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3、《交银施罗德优选回报灵活配置混合型证券投资基金招募说明书》；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4、《交银施罗德优选回报灵活配置混合型证券投资基金托管协议》；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 xml:space="preserve">5、关于申请募集注册交银施罗德优选回报灵活配置混合型证券投资基金的法律意见书； </w:t>
      </w:r>
    </w:p>
    <w:p>
      <w:pPr>
        <w:spacing w:before="29" w:line="288" w:lineRule="auto"/>
        <w:ind w:firstLine="480" w:firstLineChars="200"/>
        <w:rPr>
          <w:rFonts w:eastAsiaTheme="minorEastAsia"/>
          <w:color w:val="000000"/>
          <w:sz w:val="24"/>
        </w:rPr>
      </w:pPr>
      <w:r>
        <w:rPr>
          <w:rFonts w:eastAsiaTheme="minorEastAsia"/>
          <w:color w:val="000000"/>
          <w:sz w:val="24"/>
        </w:rPr>
        <w:t xml:space="preserve">6、基金管理人业务资格批件、营业执照； </w:t>
      </w:r>
    </w:p>
    <w:p>
      <w:pPr>
        <w:spacing w:before="29" w:line="288" w:lineRule="auto"/>
        <w:ind w:firstLine="480" w:firstLineChars="200"/>
        <w:rPr>
          <w:rFonts w:eastAsiaTheme="minorEastAsia"/>
          <w:color w:val="000000"/>
          <w:sz w:val="24"/>
        </w:rPr>
      </w:pPr>
      <w:r>
        <w:rPr>
          <w:rFonts w:eastAsiaTheme="minorEastAsia"/>
          <w:color w:val="000000"/>
          <w:sz w:val="24"/>
        </w:rPr>
        <w:t xml:space="preserve">7、基金托管人业务资格批件、营业执照； </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8、报告期内交银施罗德优选回报灵活配置混合型证券投资基金在指定报刊上各项公告的原稿。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9.2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AD1" w:rsidRDefault="00685AD1">
      <w:r>
        <w:separator/>
      </w:r>
    </w:p>
  </w:endnote>
  <w:endnote w:type="continuationSeparator" w:id="0">
    <w:p w:rsidR="00685AD1" w:rsidRDefault="0068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885AD9">
      <w:rPr>
        <w:noProof/>
        <w:kern w:val="0"/>
        <w:szCs w:val="21"/>
      </w:rPr>
      <w:t>19</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885AD9">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685AD1" w:rsidRDefault="00685AD1">
      <w:r>
        <w:separator/>
      </w:r>
    </w:p>
  </w:footnote>
  <w:footnote w:id="0" w:type="continuationSeparator">
    <w:p w:rsidR="00685AD1" w:rsidRDefault="00685AD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交银施罗德优选回报灵活配置混合型证券投资基金2020年第1季度报告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82FB8-C167-4963-8B27-9929FDC09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254</TotalTime>
  <Pages>27</Pages>
  <Words>4295</Words>
  <Characters>24488</Characters>
  <Application>Microsoft Office Word</Application>
  <DocSecurity>0</DocSecurity>
  <Lines>204</Lines>
  <Paragraphs>57</Paragraphs>
  <ScaleCrop>false</ScaleCrop>
  <Company>TRT. Ltd. Co.</Company>
  <LinksUpToDate>false</LinksUpToDate>
  <CharactersWithSpaces>28726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业务系统</cp:lastModifiedBy>
  <cp:lastPrinted>2007-07-19T00:46:00Z</cp:lastPrinted>
  <dcterms:modified xsi:type="dcterms:W3CDTF">2020-03-05T08:23:00Z</dcterms:modified>
  <cp:revision>404</cp:revision>
</cp:coreProperties>
</file>