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交银施罗德科锐科技创新混合型证券投资基金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本报告期自2020年1月20日起至3月31日止。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交银科锐科技创新混合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008734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008734</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2020年1月20日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989,622,080.10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xml:space="preserve">在严格控制风险的前提下，追求超越业绩比较基准的投资回报，力争实现基金资产的长期稳健增值。 </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科技创新企业主要是指坚持面向世界科技前沿、面向经济主战场、面向国家重大需求，符合国家战略、突破关键核心技术、市场认可度高的科技创新企业。</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中国战略新兴产业成份指数收益率×65%+中证综合债券指数收益率×35%</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(2020年1月20日（基金合同生效日）-2020年3月31日)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-13,080,717.52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-16,763,897.71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-0.0169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972,858,182.39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0.9831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pPr>
        <w:autoSpaceDE w:val="0"/>
        <w:autoSpaceDN w:val="0"/>
        <w:adjustRightInd w:val="0"/>
        <w:spacing w:before="29" w:line="288" w:lineRule="auto"/>
        <w:jc w:val="left"/>
        <w:rPr>
          <w:color w:val="000000"/>
          <w:sz w:val="24"/>
          <w:szCs w:val="24"/>
        </w:rPr>
      </w:pPr>
      <w:r>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3、本基金合同生效日为2020年1月20日，基金合同生效日至本报告期期末，本基金运作时间未满三个月。</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-1.69%</w:t>
            </w:r>
          </w:p>
        </w:tc>
        <w:tc>
          <w:tcPr>
            <w:vAlign w:val="center"/>
          </w:tcPr>
          <w:p>
            <w:pPr>
              <w:jc w:val="center"/>
            </w:pPr>
            <w:r>
              <w:rPr>
                <w:color w:val="000000"/>
                <w:sz w:val="24"/>
                <w:szCs w:val="24"/>
              </w:rPr>
              <w:t>0.66%</w:t>
            </w:r>
          </w:p>
        </w:tc>
        <w:tc>
          <w:tcPr>
            <w:vAlign w:val="center"/>
          </w:tcPr>
          <w:p>
            <w:pPr>
              <w:jc w:val="center"/>
            </w:pPr>
            <w:r>
              <w:rPr>
                <w:color w:val="000000"/>
                <w:sz w:val="24"/>
                <w:szCs w:val="24"/>
              </w:rPr>
              <w:t>-1.36%</w:t>
            </w:r>
          </w:p>
        </w:tc>
        <w:tc>
          <w:tcPr>
            <w:vAlign w:val="center"/>
          </w:tcPr>
          <w:p>
            <w:pPr>
              <w:jc w:val="center"/>
            </w:pPr>
            <w:r>
              <w:rPr>
                <w:color w:val="000000"/>
                <w:sz w:val="24"/>
                <w:szCs w:val="24"/>
              </w:rPr>
              <w:t>1.69%</w:t>
            </w:r>
          </w:p>
        </w:tc>
        <w:tc>
          <w:tcPr>
            <w:vAlign w:val="center"/>
          </w:tcPr>
          <w:p>
            <w:pPr>
              <w:jc w:val="center"/>
            </w:pPr>
            <w:r>
              <w:rPr>
                <w:color w:val="000000"/>
                <w:sz w:val="24"/>
                <w:szCs w:val="24"/>
              </w:rPr>
              <w:t>-0.33%</w:t>
            </w:r>
          </w:p>
        </w:tc>
        <w:tc>
          <w:tcPr>
            <w:vAlign w:val="center"/>
          </w:tcPr>
          <w:p>
            <w:pPr>
              <w:jc w:val="center"/>
            </w:pPr>
            <w:r>
              <w:rPr>
                <w:color w:val="000000"/>
                <w:sz w:val="24"/>
                <w:szCs w:val="24"/>
              </w:rPr>
              <w:t>-1.03%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交银施罗德科锐科技创新混合型证券投资基金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2020年1月20日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注：本基金基金合同生效日为2020年1月20日，基金合同生效日至报告期期末，本基金运作时间未满一年。本基金建仓期为自基金合同生效日起的6个月。截至2020年3月31日，本基金尚处于建仓期。</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交银定期支付双息平衡混合、交银新生活力灵活配置混合、交银内核驱动混合、交银科锐科技创新混合的基金经理</w:t>
            </w:r>
          </w:p>
        </w:tc>
        <w:tc>
          <w:tcPr>
            <w:vAlign w:val="center"/>
          </w:tcPr>
          <w:p>
            <w:pPr>
              <w:jc w:val="center"/>
            </w:pPr>
            <w:r>
              <w:rPr>
                <w:color w:val="000000"/>
                <w:sz w:val="24"/>
                <w:szCs w:val="24"/>
              </w:rPr>
              <w:t>2020-01-20</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r>
        <w:tc>
          <w:tcPr>
            <w:vAlign w:val="center"/>
          </w:tcPr>
          <w:p>
            <w:pPr>
              <w:jc w:val="center"/>
            </w:pPr>
            <w:r>
              <w:rPr>
                <w:color w:val="000000"/>
                <w:sz w:val="24"/>
                <w:szCs w:val="24"/>
              </w:rPr>
              <w:t>田彧龙</w:t>
            </w:r>
          </w:p>
        </w:tc>
        <w:tc>
          <w:tcPr>
            <w:vAlign w:val="center"/>
          </w:tcPr>
          <w:p>
            <w:pPr>
              <w:jc w:val="center"/>
            </w:pPr>
            <w:r>
              <w:rPr>
                <w:color w:val="000000"/>
                <w:sz w:val="24"/>
                <w:szCs w:val="24"/>
              </w:rPr>
              <w:t>交银数据产业灵活配置混合、交银科锐科技创新混合的基金经理</w:t>
            </w:r>
          </w:p>
        </w:tc>
        <w:tc>
          <w:tcPr>
            <w:vAlign w:val="center"/>
          </w:tcPr>
          <w:p>
            <w:pPr>
              <w:jc w:val="center"/>
            </w:pPr>
            <w:r>
              <w:rPr>
                <w:color w:val="000000"/>
                <w:sz w:val="24"/>
                <w:szCs w:val="24"/>
              </w:rPr>
              <w:t>2020-01-20</w:t>
            </w:r>
          </w:p>
        </w:tc>
        <w:tc>
          <w:tcPr>
            <w:vAlign w:val="center"/>
          </w:tcPr>
          <w:p>
            <w:pPr>
              <w:jc w:val="center"/>
            </w:pPr>
            <w:r>
              <w:rPr>
                <w:color w:val="000000"/>
                <w:sz w:val="24"/>
                <w:szCs w:val="24"/>
              </w:rPr>
              <w:t>-</w:t>
            </w:r>
          </w:p>
        </w:tc>
        <w:tc>
          <w:tcPr>
            <w:vAlign w:val="center"/>
          </w:tcPr>
          <w:p>
            <w:pPr>
              <w:jc w:val="center"/>
            </w:pPr>
            <w:r>
              <w:rPr>
                <w:color w:val="000000"/>
                <w:sz w:val="24"/>
                <w:szCs w:val="24"/>
              </w:rPr>
              <w:t>6年</w:t>
            </w:r>
          </w:p>
        </w:tc>
        <w:tc>
          <w:tcPr>
            <w:vAlign w:val="center"/>
          </w:tcPr>
          <w:p>
            <w:pPr>
              <w:jc w:val="both"/>
            </w:pPr>
            <w:r>
              <w:rPr>
                <w:color w:val="000000"/>
                <w:sz w:val="24"/>
                <w:szCs w:val="24"/>
              </w:rPr>
              <w:t>田彧龙先生，上海交通大学金融学硕士，浙江大学光电信息工程学学士。2014年7月加入交银施罗德基金管理有限公司，历任行业分析师、基金经理助理。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一季度，受新冠疫情影响，市场出现大幅波动。整体上来看，随着各国货币政策和财政政策的发力以及积极防疫的展开，资本市场的恐慌情绪正在减弱，但是从经济上来看，此次疫情仍给各国带来了不小的影响。短期来看，外需的影响仍需观察，复苏需要等待疫情拐点，重点布局内需和有可能受益于财政政策的方向。</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我们仍然看好以TMT为代表的科技创新领域，虽然短期部分公司需求受到经济冲击，但是长期来看，在新的一轮科技赋能周期下，中国科技公司仍将大有可为。与此同时，新基建政策的发力，会给5G、IDC等产业注入活力，同样值得重点关注。与此同时，我们关注到科创板有越来越多优质公司出现，这些公司管理架构优异，机制灵活，相信中长期来看，科创板或可诞生伟大公司。</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213,498,171.28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213,498,171.28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749,604,929.15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76.88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11,872,106.52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974,975,206.95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8,117,760.00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126,071,308.46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16,348,586.84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24,351,355.45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16,003,035.00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4,732,081.98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11,216,843.55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6,657,200.00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213,498,171.28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21.95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603186</w:t>
            </w:r>
          </w:p>
        </w:tc>
        <w:tc>
          <w:tcPr>
            <w:vAlign w:val="center"/>
          </w:tcPr>
          <w:p>
            <w:pPr>
              <w:jc w:val="center"/>
            </w:pPr>
            <w:r>
              <w:rPr>
                <w:color w:val="000000"/>
                <w:sz w:val="24"/>
                <w:szCs w:val="24"/>
              </w:rPr>
              <w:t>华正新材</w:t>
            </w:r>
          </w:p>
        </w:tc>
        <w:tc>
          <w:tcPr>
            <w:vAlign w:val="center"/>
          </w:tcPr>
          <w:p>
            <w:pPr>
              <w:jc w:val="right"/>
            </w:pPr>
            <w:r>
              <w:rPr>
                <w:color w:val="000000"/>
                <w:sz w:val="24"/>
                <w:szCs w:val="24"/>
              </w:rPr>
              <w:t>745,700</w:t>
            </w:r>
          </w:p>
        </w:tc>
        <w:tc>
          <w:tcPr>
            <w:vAlign w:val="center"/>
          </w:tcPr>
          <w:p>
            <w:pPr>
              <w:jc w:val="right"/>
            </w:pPr>
            <w:r>
              <w:rPr>
                <w:color w:val="000000"/>
                <w:sz w:val="24"/>
                <w:szCs w:val="24"/>
              </w:rPr>
              <w:t>32,244,068.00</w:t>
            </w:r>
          </w:p>
        </w:tc>
        <w:tc>
          <w:tcPr>
            <w:vAlign w:val="center"/>
          </w:tcPr>
          <w:p>
            <w:pPr>
              <w:jc w:val="right"/>
            </w:pPr>
            <w:r>
              <w:rPr>
                <w:color w:val="000000"/>
                <w:sz w:val="24"/>
                <w:szCs w:val="24"/>
              </w:rPr>
              <w:t>3.31</w:t>
            </w:r>
          </w:p>
        </w:tc>
      </w:tr>
      <w:tr>
        <w:tc>
          <w:tcPr>
            <w:vAlign w:val="center"/>
          </w:tcPr>
          <w:p>
            <w:pPr>
              <w:jc w:val="center"/>
            </w:pPr>
            <w:r>
              <w:rPr>
                <w:color w:val="000000"/>
                <w:sz w:val="24"/>
                <w:szCs w:val="24"/>
              </w:rPr>
              <w:t>2</w:t>
            </w:r>
          </w:p>
        </w:tc>
        <w:tc>
          <w:tcPr>
            <w:vAlign w:val="center"/>
          </w:tcPr>
          <w:p>
            <w:pPr>
              <w:jc w:val="center"/>
            </w:pPr>
            <w:r>
              <w:rPr>
                <w:color w:val="000000"/>
                <w:sz w:val="24"/>
                <w:szCs w:val="24"/>
              </w:rPr>
              <w:t>002837</w:t>
            </w:r>
          </w:p>
        </w:tc>
        <w:tc>
          <w:tcPr>
            <w:vAlign w:val="center"/>
          </w:tcPr>
          <w:p>
            <w:pPr>
              <w:jc w:val="center"/>
            </w:pPr>
            <w:r>
              <w:rPr>
                <w:color w:val="000000"/>
                <w:sz w:val="24"/>
                <w:szCs w:val="24"/>
              </w:rPr>
              <w:t>英维克</w:t>
            </w:r>
          </w:p>
        </w:tc>
        <w:tc>
          <w:tcPr>
            <w:vAlign w:val="center"/>
          </w:tcPr>
          <w:p>
            <w:pPr>
              <w:jc w:val="right"/>
            </w:pPr>
            <w:r>
              <w:rPr>
                <w:color w:val="000000"/>
                <w:sz w:val="24"/>
                <w:szCs w:val="24"/>
              </w:rPr>
              <w:t>617,700</w:t>
            </w:r>
          </w:p>
        </w:tc>
        <w:tc>
          <w:tcPr>
            <w:vAlign w:val="center"/>
          </w:tcPr>
          <w:p>
            <w:pPr>
              <w:jc w:val="right"/>
            </w:pPr>
            <w:r>
              <w:rPr>
                <w:color w:val="000000"/>
                <w:sz w:val="24"/>
                <w:szCs w:val="24"/>
              </w:rPr>
              <w:t>23,664,087.00</w:t>
            </w:r>
          </w:p>
        </w:tc>
        <w:tc>
          <w:tcPr>
            <w:vAlign w:val="center"/>
          </w:tcPr>
          <w:p>
            <w:pPr>
              <w:jc w:val="right"/>
            </w:pPr>
            <w:r>
              <w:rPr>
                <w:color w:val="000000"/>
                <w:sz w:val="24"/>
                <w:szCs w:val="24"/>
              </w:rPr>
              <w:t>2.43</w:t>
            </w:r>
          </w:p>
        </w:tc>
      </w:tr>
      <w:tr>
        <w:tc>
          <w:tcPr>
            <w:vAlign w:val="center"/>
          </w:tcPr>
          <w:p>
            <w:pPr>
              <w:jc w:val="center"/>
            </w:pPr>
            <w:r>
              <w:rPr>
                <w:color w:val="000000"/>
                <w:sz w:val="24"/>
                <w:szCs w:val="24"/>
              </w:rPr>
              <w:t>3</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353,791</w:t>
            </w:r>
          </w:p>
        </w:tc>
        <w:tc>
          <w:tcPr>
            <w:vAlign w:val="center"/>
          </w:tcPr>
          <w:p>
            <w:pPr>
              <w:jc w:val="right"/>
            </w:pPr>
            <w:r>
              <w:rPr>
                <w:color w:val="000000"/>
                <w:sz w:val="24"/>
                <w:szCs w:val="24"/>
              </w:rPr>
              <w:t>16,348,586.84</w:t>
            </w:r>
          </w:p>
        </w:tc>
        <w:tc>
          <w:tcPr>
            <w:vAlign w:val="center"/>
          </w:tcPr>
          <w:p>
            <w:pPr>
              <w:jc w:val="right"/>
            </w:pPr>
            <w:r>
              <w:rPr>
                <w:color w:val="000000"/>
                <w:sz w:val="24"/>
                <w:szCs w:val="24"/>
              </w:rPr>
              <w:t>1.68</w:t>
            </w:r>
          </w:p>
        </w:tc>
      </w:tr>
      <w:tr>
        <w:tc>
          <w:tcPr>
            <w:vAlign w:val="center"/>
          </w:tcPr>
          <w:p>
            <w:pPr>
              <w:jc w:val="center"/>
            </w:pPr>
            <w:r>
              <w:rPr>
                <w:color w:val="000000"/>
                <w:sz w:val="24"/>
                <w:szCs w:val="24"/>
              </w:rPr>
              <w:t>4</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623,900</w:t>
            </w:r>
          </w:p>
        </w:tc>
        <w:tc>
          <w:tcPr>
            <w:vAlign w:val="center"/>
          </w:tcPr>
          <w:p>
            <w:pPr>
              <w:jc w:val="right"/>
            </w:pPr>
            <w:r>
              <w:rPr>
                <w:color w:val="000000"/>
                <w:sz w:val="24"/>
                <w:szCs w:val="24"/>
              </w:rPr>
              <w:t>16,003,035.00</w:t>
            </w:r>
          </w:p>
        </w:tc>
        <w:tc>
          <w:tcPr>
            <w:vAlign w:val="center"/>
          </w:tcPr>
          <w:p>
            <w:pPr>
              <w:jc w:val="right"/>
            </w:pPr>
            <w:r>
              <w:rPr>
                <w:color w:val="000000"/>
                <w:sz w:val="24"/>
                <w:szCs w:val="24"/>
              </w:rPr>
              <w:t>1.64</w:t>
            </w:r>
          </w:p>
        </w:tc>
      </w:tr>
      <w:tr>
        <w:tc>
          <w:tcPr>
            <w:vAlign w:val="center"/>
          </w:tcPr>
          <w:p>
            <w:pPr>
              <w:jc w:val="center"/>
            </w:pPr>
            <w:r>
              <w:rPr>
                <w:color w:val="000000"/>
                <w:sz w:val="24"/>
                <w:szCs w:val="24"/>
              </w:rPr>
              <w:t>5</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492,615</w:t>
            </w:r>
          </w:p>
        </w:tc>
        <w:tc>
          <w:tcPr>
            <w:vAlign w:val="center"/>
          </w:tcPr>
          <w:p>
            <w:pPr>
              <w:jc w:val="right"/>
            </w:pPr>
            <w:r>
              <w:rPr>
                <w:color w:val="000000"/>
                <w:sz w:val="24"/>
                <w:szCs w:val="24"/>
              </w:rPr>
              <w:t>11,216,843.55</w:t>
            </w:r>
          </w:p>
        </w:tc>
        <w:tc>
          <w:tcPr>
            <w:vAlign w:val="center"/>
          </w:tcPr>
          <w:p>
            <w:pPr>
              <w:jc w:val="right"/>
            </w:pPr>
            <w:r>
              <w:rPr>
                <w:color w:val="000000"/>
                <w:sz w:val="24"/>
                <w:szCs w:val="24"/>
              </w:rPr>
              <w:t>1.15</w:t>
            </w:r>
          </w:p>
        </w:tc>
      </w:tr>
      <w:tr>
        <w:tc>
          <w:tcPr>
            <w:vAlign w:val="center"/>
          </w:tcPr>
          <w:p>
            <w:pPr>
              <w:jc w:val="center"/>
            </w:pPr>
            <w:r>
              <w:rPr>
                <w:color w:val="000000"/>
                <w:sz w:val="24"/>
                <w:szCs w:val="24"/>
              </w:rPr>
              <w:t>6</w:t>
            </w:r>
          </w:p>
        </w:tc>
        <w:tc>
          <w:tcPr>
            <w:vAlign w:val="center"/>
          </w:tcPr>
          <w:p>
            <w:pPr>
              <w:jc w:val="center"/>
            </w:pPr>
            <w:r>
              <w:rPr>
                <w:color w:val="000000"/>
                <w:sz w:val="24"/>
                <w:szCs w:val="24"/>
              </w:rPr>
              <w:t>603195</w:t>
            </w:r>
          </w:p>
        </w:tc>
        <w:tc>
          <w:tcPr>
            <w:vAlign w:val="center"/>
          </w:tcPr>
          <w:p>
            <w:pPr>
              <w:jc w:val="center"/>
            </w:pPr>
            <w:r>
              <w:rPr>
                <w:color w:val="000000"/>
                <w:sz w:val="24"/>
                <w:szCs w:val="24"/>
              </w:rPr>
              <w:t>公牛集团</w:t>
            </w:r>
          </w:p>
        </w:tc>
        <w:tc>
          <w:tcPr>
            <w:vAlign w:val="center"/>
          </w:tcPr>
          <w:p>
            <w:pPr>
              <w:jc w:val="right"/>
            </w:pPr>
            <w:r>
              <w:rPr>
                <w:color w:val="000000"/>
                <w:sz w:val="24"/>
                <w:szCs w:val="24"/>
              </w:rPr>
              <w:t>63,400</w:t>
            </w:r>
          </w:p>
        </w:tc>
        <w:tc>
          <w:tcPr>
            <w:vAlign w:val="center"/>
          </w:tcPr>
          <w:p>
            <w:pPr>
              <w:jc w:val="right"/>
            </w:pPr>
            <w:r>
              <w:rPr>
                <w:color w:val="000000"/>
                <w:sz w:val="24"/>
                <w:szCs w:val="24"/>
              </w:rPr>
              <w:t>9,825,098.00</w:t>
            </w:r>
          </w:p>
        </w:tc>
        <w:tc>
          <w:tcPr>
            <w:vAlign w:val="center"/>
          </w:tcPr>
          <w:p>
            <w:pPr>
              <w:jc w:val="right"/>
            </w:pPr>
            <w:r>
              <w:rPr>
                <w:color w:val="000000"/>
                <w:sz w:val="24"/>
                <w:szCs w:val="24"/>
              </w:rPr>
              <w:t>1.01</w:t>
            </w:r>
          </w:p>
        </w:tc>
      </w:tr>
      <w:tr>
        <w:tc>
          <w:tcPr>
            <w:vAlign w:val="center"/>
          </w:tcPr>
          <w:p>
            <w:pPr>
              <w:jc w:val="center"/>
            </w:pPr>
            <w:r>
              <w:rPr>
                <w:color w:val="000000"/>
                <w:sz w:val="24"/>
                <w:szCs w:val="24"/>
              </w:rPr>
              <w:t>7</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481,200</w:t>
            </w:r>
          </w:p>
        </w:tc>
        <w:tc>
          <w:tcPr>
            <w:vAlign w:val="center"/>
          </w:tcPr>
          <w:p>
            <w:pPr>
              <w:jc w:val="right"/>
            </w:pPr>
            <w:r>
              <w:rPr>
                <w:color w:val="000000"/>
                <w:sz w:val="24"/>
                <w:szCs w:val="24"/>
              </w:rPr>
              <w:t>9,715,428.00</w:t>
            </w:r>
          </w:p>
        </w:tc>
        <w:tc>
          <w:tcPr>
            <w:vAlign w:val="center"/>
          </w:tcPr>
          <w:p>
            <w:pPr>
              <w:jc w:val="right"/>
            </w:pPr>
            <w:r>
              <w:rPr>
                <w:color w:val="000000"/>
                <w:sz w:val="24"/>
                <w:szCs w:val="24"/>
              </w:rPr>
              <w:t>1.00</w:t>
            </w:r>
          </w:p>
        </w:tc>
      </w:tr>
      <w:tr>
        <w:tc>
          <w:tcPr>
            <w:vAlign w:val="center"/>
          </w:tcPr>
          <w:p>
            <w:pPr>
              <w:jc w:val="center"/>
            </w:pPr>
            <w:r>
              <w:rPr>
                <w:color w:val="000000"/>
                <w:sz w:val="24"/>
                <w:szCs w:val="24"/>
              </w:rPr>
              <w:t>8</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572,938</w:t>
            </w:r>
          </w:p>
        </w:tc>
        <w:tc>
          <w:tcPr>
            <w:vAlign w:val="center"/>
          </w:tcPr>
          <w:p>
            <w:pPr>
              <w:jc w:val="right"/>
            </w:pPr>
            <w:r>
              <w:rPr>
                <w:color w:val="000000"/>
                <w:sz w:val="24"/>
                <w:szCs w:val="24"/>
              </w:rPr>
              <w:t>9,207,113.66</w:t>
            </w:r>
          </w:p>
        </w:tc>
        <w:tc>
          <w:tcPr>
            <w:vAlign w:val="center"/>
          </w:tcPr>
          <w:p>
            <w:pPr>
              <w:jc w:val="right"/>
            </w:pPr>
            <w:r>
              <w:rPr>
                <w:color w:val="000000"/>
                <w:sz w:val="24"/>
                <w:szCs w:val="24"/>
              </w:rPr>
              <w:t>0.95</w:t>
            </w:r>
          </w:p>
        </w:tc>
      </w:tr>
      <w:tr>
        <w:tc>
          <w:tcPr>
            <w:vAlign w:val="center"/>
          </w:tcPr>
          <w:p>
            <w:pPr>
              <w:jc w:val="center"/>
            </w:pPr>
            <w:r>
              <w:rPr>
                <w:color w:val="000000"/>
                <w:sz w:val="24"/>
                <w:szCs w:val="24"/>
              </w:rPr>
              <w:t>9</w:t>
            </w:r>
          </w:p>
        </w:tc>
        <w:tc>
          <w:tcPr>
            <w:vAlign w:val="center"/>
          </w:tcPr>
          <w:p>
            <w:pPr>
              <w:jc w:val="center"/>
            </w:pPr>
            <w:r>
              <w:rPr>
                <w:color w:val="000000"/>
                <w:sz w:val="24"/>
                <w:szCs w:val="24"/>
              </w:rPr>
              <w:t>688039</w:t>
            </w:r>
          </w:p>
        </w:tc>
        <w:tc>
          <w:tcPr>
            <w:vAlign w:val="center"/>
          </w:tcPr>
          <w:p>
            <w:pPr>
              <w:jc w:val="center"/>
            </w:pPr>
            <w:r>
              <w:rPr>
                <w:color w:val="000000"/>
                <w:sz w:val="24"/>
                <w:szCs w:val="24"/>
              </w:rPr>
              <w:t>当虹科技</w:t>
            </w:r>
          </w:p>
        </w:tc>
        <w:tc>
          <w:tcPr>
            <w:vAlign w:val="center"/>
          </w:tcPr>
          <w:p>
            <w:pPr>
              <w:jc w:val="right"/>
            </w:pPr>
            <w:r>
              <w:rPr>
                <w:color w:val="000000"/>
                <w:sz w:val="24"/>
                <w:szCs w:val="24"/>
              </w:rPr>
              <w:t>97,713</w:t>
            </w:r>
          </w:p>
        </w:tc>
        <w:tc>
          <w:tcPr>
            <w:vAlign w:val="center"/>
          </w:tcPr>
          <w:p>
            <w:pPr>
              <w:jc w:val="right"/>
            </w:pPr>
            <w:r>
              <w:rPr>
                <w:color w:val="000000"/>
                <w:sz w:val="24"/>
                <w:szCs w:val="24"/>
              </w:rPr>
              <w:t>8,540,116.20</w:t>
            </w:r>
          </w:p>
        </w:tc>
        <w:tc>
          <w:tcPr>
            <w:vAlign w:val="center"/>
          </w:tcPr>
          <w:p>
            <w:pPr>
              <w:jc w:val="right"/>
            </w:pPr>
            <w:r>
              <w:rPr>
                <w:color w:val="000000"/>
                <w:sz w:val="24"/>
                <w:szCs w:val="24"/>
              </w:rPr>
              <w:t>0.88</w:t>
            </w:r>
          </w:p>
        </w:tc>
      </w:tr>
      <w:tr>
        <w:tc>
          <w:tcPr>
            <w:vAlign w:val="center"/>
          </w:tcPr>
          <w:p>
            <w:pPr>
              <w:jc w:val="center"/>
            </w:pPr>
            <w:r>
              <w:rPr>
                <w:color w:val="000000"/>
                <w:sz w:val="24"/>
                <w:szCs w:val="24"/>
              </w:rPr>
              <w:t>10</w:t>
            </w:r>
          </w:p>
        </w:tc>
        <w:tc>
          <w:tcPr>
            <w:vAlign w:val="center"/>
          </w:tcPr>
          <w:p>
            <w:pPr>
              <w:jc w:val="center"/>
            </w:pPr>
            <w:r>
              <w:rPr>
                <w:color w:val="000000"/>
                <w:sz w:val="24"/>
                <w:szCs w:val="24"/>
              </w:rPr>
              <w:t>300601</w:t>
            </w:r>
          </w:p>
        </w:tc>
        <w:tc>
          <w:tcPr>
            <w:vAlign w:val="center"/>
          </w:tcPr>
          <w:p>
            <w:pPr>
              <w:jc w:val="center"/>
            </w:pPr>
            <w:r>
              <w:rPr>
                <w:color w:val="000000"/>
                <w:sz w:val="24"/>
                <w:szCs w:val="24"/>
              </w:rPr>
              <w:t>康泰生物</w:t>
            </w:r>
          </w:p>
        </w:tc>
        <w:tc>
          <w:tcPr>
            <w:vAlign w:val="center"/>
          </w:tcPr>
          <w:p>
            <w:pPr>
              <w:jc w:val="right"/>
            </w:pPr>
            <w:r>
              <w:rPr>
                <w:color w:val="000000"/>
                <w:sz w:val="24"/>
                <w:szCs w:val="24"/>
              </w:rPr>
              <w:t>73,500</w:t>
            </w:r>
          </w:p>
        </w:tc>
        <w:tc>
          <w:tcPr>
            <w:vAlign w:val="center"/>
          </w:tcPr>
          <w:p>
            <w:pPr>
              <w:jc w:val="right"/>
            </w:pPr>
            <w:r>
              <w:rPr>
                <w:color w:val="000000"/>
                <w:sz w:val="24"/>
                <w:szCs w:val="24"/>
              </w:rPr>
              <w:t>8,423,100.00</w:t>
            </w:r>
          </w:p>
        </w:tc>
        <w:tc>
          <w:tcPr>
            <w:vAlign w:val="center"/>
          </w:tcPr>
          <w:p>
            <w:pPr>
              <w:jc w:val="right"/>
            </w:pPr>
            <w:r>
              <w:rPr>
                <w:color w:val="000000"/>
                <w:sz w:val="24"/>
                <w:szCs w:val="24"/>
              </w:rPr>
              <w:t>0.87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72,161.03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11,625,762.78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174,182.71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11,872,106.52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6,721,500.00</w:t>
            </w:r>
          </w:p>
        </w:tc>
        <w:tc>
          <w:tcPr>
            <w:vAlign w:val="center"/>
          </w:tcPr>
          <w:p>
            <w:pPr>
              <w:jc w:val="right"/>
            </w:pPr>
            <w:r>
              <w:rPr>
                <w:color w:val="000000"/>
                <w:sz w:val="24"/>
                <w:szCs w:val="24"/>
              </w:rPr>
              <w:t>0.69</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w:t>
            </w:r>
            <w:r w:rsidR="004061AC" w:rsidRPr="00414345">
              <w:rPr>
                <w:color w:val="000000"/>
                <w:kern w:val="0"/>
                <w:sz w:val="24"/>
                <w:szCs w:val="24"/>
              </w:rPr>
              <w:t>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4061AC" w:rsidRPr="00414345">
              <w:rPr>
                <w:color w:val="000000"/>
                <w:sz w:val="24"/>
                <w:szCs w:val="24"/>
              </w:rPr>
              <w:t>989,622,080.10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基金合同生效日起至报告期期末</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989,622,080.10</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1、中国证监会准予交银施罗德科锐科技创新混合型证券投资基金募集注册的文件；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2、《交银施罗德科锐科技创新混合型证券投资基金基金合同》；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3、《交银施罗德科锐科技创新混合型证券投资基金招募说明书》；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4、《交银施罗德科锐科技创新混合型证券投资基金托管协议》；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5、关于申请募集注册交银施罗德科锐科技创新混合型证券投资基金的法律意见书；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8、报告期内交银施罗德科锐科技创新混合型证券投资基金在指定报刊上各项公告的原稿。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交银施罗德科锐科技创新混合型证券投资基金2020年第1季度报告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