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36"/>
          <w:szCs w:val="36"/>
        </w:rPr>
      </w:pP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交银施罗德创业板50指数型证券投资基金</w:t>
      </w: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2020年第1季度报告</w:t>
      </w:r>
    </w:p>
    <w:p w:rsidR="00A62673" w:rsidRPr="00977154" w:rsidRDefault="00A62673" w:rsidP="000020BB">
      <w:pPr>
        <w:spacing w:line="360" w:lineRule="auto"/>
        <w:jc w:val="center"/>
        <w:rPr>
          <w:rFonts w:ascii="宋体" w:hAnsi="宋体"/>
          <w:b/>
          <w:sz w:val="24"/>
        </w:rPr>
      </w:pPr>
      <w:r w:rsidRPr="00977154">
        <w:rPr>
          <w:rFonts w:ascii="宋体" w:hAnsi="宋体"/>
          <w:b/>
          <w:sz w:val="24"/>
        </w:rPr>
        <w:t>2020年3月31日</w:t>
      </w: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rPr>
          <w:rFonts w:ascii="宋体"/>
          <w:b/>
          <w:color w:val="000000"/>
          <w:sz w:val="24"/>
        </w:rPr>
      </w:pP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基金管理人：</w:t>
      </w:r>
      <w:r w:rsidRPr="00EC5CE0">
        <w:rPr>
          <w:rFonts w:ascii="宋体" w:hAnsi="宋体"/>
          <w:b/>
          <w:color w:val="000000"/>
          <w:sz w:val="24"/>
        </w:rPr>
        <w:t>交银施罗德基金管理有限公司</w:t>
      </w: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基金托管人：</w:t>
      </w:r>
      <w:r w:rsidRPr="00EC5CE0">
        <w:rPr>
          <w:rFonts w:ascii="宋体" w:hAnsi="宋体"/>
          <w:b/>
          <w:color w:val="000000"/>
          <w:sz w:val="24"/>
        </w:rPr>
        <w:t>招商银行股份有限公司</w:t>
      </w:r>
    </w:p>
    <w:p w:rsidR="00A62673" w:rsidRPr="00EC5CE0" w:rsidRDefault="00A62673" w:rsidP="005A2769">
      <w:pPr>
        <w:spacing w:line="360" w:lineRule="auto"/>
        <w:ind w:firstLineChars="900" w:firstLine="2168"/>
        <w:rPr>
          <w:rFonts w:ascii="宋体" w:hAnsi="宋体"/>
          <w:b/>
          <w:color w:val="000000"/>
          <w:sz w:val="24"/>
        </w:rPr>
        <w:sectPr w:rsidR="00A62673" w:rsidRPr="00EC5CE0" w:rsidSect="00230A66">
          <w:headerReference w:type="default" r:id="rId7"/>
          <w:footerReference w:type="default" r:id="rId8"/>
          <w:pgSz w:w="11926" w:h="15840"/>
          <w:pgMar w:top="1418" w:right="1418" w:bottom="851" w:left="1418" w:header="851" w:footer="992" w:gutter="0"/>
          <w:cols w:space="720"/>
          <w:noEndnote/>
        </w:sectPr>
      </w:pPr>
      <w:r w:rsidRPr="00EC5CE0">
        <w:rPr>
          <w:rFonts w:ascii="宋体" w:hAnsi="宋体" w:hint="eastAsia"/>
          <w:b/>
          <w:color w:val="000000"/>
          <w:sz w:val="24"/>
        </w:rPr>
        <w:t>报告送出日期：</w:t>
      </w:r>
      <w:r w:rsidRPr="00EC5CE0">
        <w:rPr>
          <w:rFonts w:ascii="宋体" w:hAnsi="宋体"/>
          <w:b/>
          <w:color w:val="000000"/>
          <w:sz w:val="24"/>
        </w:rPr>
        <w:t>二〇二〇年四月二十二日</w:t>
      </w:r>
    </w:p>
    <w:p w:rsidR="00A62673" w:rsidRPr="00EC5CE0" w:rsidRDefault="00A62673" w:rsidP="00F729DC">
      <w:pPr>
        <w:pStyle w:val="1"/>
        <w:spacing w:beforeLines="100" w:before="312" w:afterLines="100" w:after="312" w:line="360" w:lineRule="auto"/>
        <w:jc w:val="center"/>
        <w:rPr>
          <w:rFonts w:ascii="宋体" w:cs="Arial"/>
          <w:b w:val="0"/>
          <w:color w:val="000000"/>
          <w:kern w:val="0"/>
          <w:sz w:val="24"/>
          <w:szCs w:val="24"/>
        </w:rPr>
      </w:pPr>
      <w:r w:rsidRPr="00EC5CE0">
        <w:rPr>
          <w:rFonts w:ascii="宋体" w:hAnsi="宋体" w:cs="Arial" w:hint="eastAsia"/>
          <w:color w:val="000000"/>
          <w:kern w:val="0"/>
          <w:sz w:val="24"/>
          <w:szCs w:val="24"/>
        </w:rPr>
        <w:lastRenderedPageBreak/>
        <w:t>§</w:t>
      </w:r>
      <w:r w:rsidRPr="00EC5CE0">
        <w:rPr>
          <w:rFonts w:ascii="宋体" w:hAnsi="宋体" w:cs="Arial"/>
          <w:color w:val="000000"/>
          <w:kern w:val="0"/>
          <w:sz w:val="24"/>
          <w:szCs w:val="24"/>
        </w:rPr>
        <w:t xml:space="preserve">1  </w:t>
      </w:r>
      <w:r w:rsidRPr="00EC5CE0">
        <w:rPr>
          <w:rFonts w:ascii="宋体" w:hAnsi="宋体" w:cs="Arial" w:hint="eastAsia"/>
          <w:color w:val="000000"/>
          <w:kern w:val="0"/>
          <w:sz w:val="24"/>
          <w:szCs w:val="24"/>
        </w:rPr>
        <w:t>重要提示</w:t>
      </w:r>
    </w:p>
    <w:p w:rsidR="00777D6F" w:rsidRDefault="00843846">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本报告中财务资料未经审计。</w:t>
      </w:r>
    </w:p>
    <w:p w:rsidR="00A62673" w:rsidRPr="00DC315B" w:rsidRDefault="00A62673" w:rsidP="00DC315B">
      <w:pPr>
        <w:spacing w:line="360" w:lineRule="auto"/>
        <w:ind w:firstLineChars="200" w:firstLine="480"/>
        <w:rPr>
          <w:color w:val="000000"/>
          <w:sz w:val="24"/>
        </w:rPr>
      </w:pPr>
      <w:r w:rsidRPr="00DC315B">
        <w:rPr>
          <w:color w:val="000000"/>
          <w:sz w:val="24"/>
        </w:rPr>
        <w:t>本报告期自</w:t>
      </w:r>
      <w:r w:rsidRPr="00DC315B">
        <w:rPr>
          <w:color w:val="000000"/>
          <w:sz w:val="24"/>
        </w:rPr>
        <w:t>2020</w:t>
      </w:r>
      <w:r w:rsidRPr="00DC315B">
        <w:rPr>
          <w:color w:val="000000"/>
          <w:sz w:val="24"/>
        </w:rPr>
        <w:t>年</w:t>
      </w:r>
      <w:r w:rsidRPr="00DC315B">
        <w:rPr>
          <w:color w:val="000000"/>
          <w:sz w:val="24"/>
        </w:rPr>
        <w:t>1</w:t>
      </w:r>
      <w:r w:rsidRPr="00DC315B">
        <w:rPr>
          <w:color w:val="000000"/>
          <w:sz w:val="24"/>
        </w:rPr>
        <w:t>月</w:t>
      </w:r>
      <w:r w:rsidRPr="00DC315B">
        <w:rPr>
          <w:color w:val="000000"/>
          <w:sz w:val="24"/>
        </w:rPr>
        <w:t>1</w:t>
      </w:r>
      <w:r w:rsidRPr="00DC315B">
        <w:rPr>
          <w:color w:val="000000"/>
          <w:sz w:val="24"/>
        </w:rPr>
        <w:t>日起至</w:t>
      </w:r>
      <w:r w:rsidRPr="00DC315B">
        <w:rPr>
          <w:color w:val="000000"/>
          <w:sz w:val="24"/>
        </w:rPr>
        <w:t>3</w:t>
      </w:r>
      <w:r w:rsidRPr="00DC315B">
        <w:rPr>
          <w:color w:val="000000"/>
          <w:sz w:val="24"/>
        </w:rPr>
        <w:t>月</w:t>
      </w:r>
      <w:r w:rsidRPr="00DC315B">
        <w:rPr>
          <w:color w:val="000000"/>
          <w:sz w:val="24"/>
        </w:rPr>
        <w:t>31</w:t>
      </w:r>
      <w:r w:rsidRPr="00DC315B">
        <w:rPr>
          <w:color w:val="000000"/>
          <w:sz w:val="24"/>
        </w:rPr>
        <w:t>日止。</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2  </w:t>
      </w:r>
      <w:r w:rsidRPr="00EC5CE0">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694"/>
        <w:gridCol w:w="2693"/>
      </w:tblGrid>
      <w:tr w:rsidR="00A62673" w:rsidRPr="00EC5CE0" w:rsidTr="005F23CA">
        <w:tc>
          <w:tcPr>
            <w:tcW w:w="2835" w:type="dxa"/>
          </w:tcPr>
          <w:p w:rsidR="00A62673" w:rsidRPr="00DC315B" w:rsidRDefault="00A62673" w:rsidP="00C21C43">
            <w:pPr>
              <w:adjustRightInd w:val="0"/>
              <w:spacing w:before="29" w:line="360" w:lineRule="auto"/>
              <w:ind w:left="17"/>
              <w:jc w:val="left"/>
              <w:rPr>
                <w:kern w:val="0"/>
                <w:sz w:val="24"/>
              </w:rPr>
            </w:pPr>
            <w:r w:rsidRPr="00DC315B">
              <w:rPr>
                <w:kern w:val="0"/>
                <w:sz w:val="24"/>
              </w:rPr>
              <w:t>基金简称</w:t>
            </w:r>
          </w:p>
        </w:tc>
        <w:tc>
          <w:tcPr>
            <w:tcW w:w="5387" w:type="dxa"/>
            <w:gridSpan w:val="2"/>
          </w:tcPr>
          <w:p w:rsidR="00A62673" w:rsidRPr="00DC315B" w:rsidRDefault="00A62673" w:rsidP="00C21C43">
            <w:pPr>
              <w:adjustRightInd w:val="0"/>
              <w:spacing w:before="29" w:line="360" w:lineRule="auto"/>
              <w:ind w:left="17"/>
              <w:jc w:val="left"/>
              <w:rPr>
                <w:color w:val="000000"/>
                <w:kern w:val="0"/>
                <w:sz w:val="24"/>
              </w:rPr>
            </w:pPr>
            <w:r w:rsidRPr="00DC315B">
              <w:rPr>
                <w:color w:val="000000"/>
                <w:kern w:val="0"/>
                <w:sz w:val="24"/>
              </w:rPr>
              <w:t>交银创业板</w:t>
            </w:r>
            <w:r w:rsidRPr="00DC315B">
              <w:rPr>
                <w:color w:val="000000"/>
                <w:kern w:val="0"/>
                <w:sz w:val="24"/>
              </w:rPr>
              <w:t>50</w:t>
            </w:r>
            <w:r w:rsidRPr="00DC315B">
              <w:rPr>
                <w:color w:val="000000"/>
                <w:kern w:val="0"/>
                <w:sz w:val="24"/>
              </w:rPr>
              <w:t>指数</w:t>
            </w:r>
          </w:p>
        </w:tc>
      </w:tr>
      <w:tr w:rsidR="00A62673" w:rsidRPr="00EC5CE0" w:rsidTr="005F23CA">
        <w:tc>
          <w:tcPr>
            <w:tcW w:w="2835" w:type="dxa"/>
          </w:tcPr>
          <w:p w:rsidR="00A62673" w:rsidRPr="00DC315B" w:rsidRDefault="00A62673">
            <w:pPr>
              <w:adjustRightInd w:val="0"/>
              <w:spacing w:before="29" w:line="360" w:lineRule="auto"/>
              <w:ind w:left="17"/>
              <w:jc w:val="left"/>
              <w:rPr>
                <w:kern w:val="0"/>
                <w:sz w:val="24"/>
              </w:rPr>
            </w:pPr>
            <w:r w:rsidRPr="00DC315B">
              <w:rPr>
                <w:kern w:val="0"/>
                <w:sz w:val="24"/>
              </w:rPr>
              <w:t>基金主代码</w:t>
            </w:r>
          </w:p>
        </w:tc>
        <w:tc>
          <w:tcPr>
            <w:tcW w:w="5387" w:type="dxa"/>
            <w:gridSpan w:val="2"/>
          </w:tcPr>
          <w:p w:rsidR="00A62673" w:rsidRPr="00DC315B" w:rsidRDefault="00A62673">
            <w:pPr>
              <w:adjustRightInd w:val="0"/>
              <w:spacing w:before="29" w:line="360" w:lineRule="auto"/>
              <w:ind w:left="17"/>
              <w:jc w:val="left"/>
              <w:rPr>
                <w:color w:val="000000"/>
                <w:kern w:val="0"/>
                <w:sz w:val="24"/>
              </w:rPr>
            </w:pPr>
            <w:r w:rsidRPr="00DC315B">
              <w:rPr>
                <w:color w:val="000000"/>
                <w:kern w:val="0"/>
                <w:sz w:val="24"/>
              </w:rPr>
              <w:t>007464</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基金运作方式</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契约型开放式</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基金合同生效日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2019</w:t>
            </w:r>
            <w:r w:rsidRPr="00DC315B">
              <w:rPr>
                <w:color w:val="000000"/>
                <w:kern w:val="0"/>
                <w:sz w:val="24"/>
              </w:rPr>
              <w:t>年</w:t>
            </w:r>
            <w:r w:rsidRPr="00DC315B">
              <w:rPr>
                <w:color w:val="000000"/>
                <w:kern w:val="0"/>
                <w:sz w:val="24"/>
              </w:rPr>
              <w:t>11</w:t>
            </w:r>
            <w:r w:rsidRPr="00DC315B">
              <w:rPr>
                <w:color w:val="000000"/>
                <w:kern w:val="0"/>
                <w:sz w:val="24"/>
              </w:rPr>
              <w:t>月</w:t>
            </w:r>
            <w:r w:rsidRPr="00DC315B">
              <w:rPr>
                <w:color w:val="000000"/>
                <w:kern w:val="0"/>
                <w:sz w:val="24"/>
              </w:rPr>
              <w:t>20</w:t>
            </w:r>
            <w:r w:rsidRPr="00DC315B">
              <w:rPr>
                <w:color w:val="000000"/>
                <w:kern w:val="0"/>
                <w:sz w:val="24"/>
              </w:rPr>
              <w:t>日</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报告期末基金份额总额</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565,798,514.70</w:t>
            </w:r>
            <w:r w:rsidRPr="00DC315B">
              <w:rPr>
                <w:color w:val="000000"/>
                <w:kern w:val="0"/>
                <w:sz w:val="24"/>
              </w:rPr>
              <w:t>份</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投资目标</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本基金采用指数化投资策略，紧密跟踪创业板</w:t>
            </w:r>
            <w:r w:rsidRPr="00DC315B">
              <w:rPr>
                <w:color w:val="000000"/>
                <w:kern w:val="0"/>
                <w:sz w:val="24"/>
              </w:rPr>
              <w:t>50</w:t>
            </w:r>
            <w:r w:rsidRPr="00DC315B">
              <w:rPr>
                <w:color w:val="000000"/>
                <w:kern w:val="0"/>
                <w:sz w:val="24"/>
              </w:rPr>
              <w:t>指数，追求跟踪偏离度与跟踪误差最小化。</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投资策略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w:t>
            </w:r>
            <w:r w:rsidRPr="00DC315B">
              <w:rPr>
                <w:color w:val="000000"/>
                <w:kern w:val="0"/>
                <w:sz w:val="24"/>
              </w:rPr>
              <w:lastRenderedPageBreak/>
              <w:t>组合进行优化，尽量降低跟踪误差。</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lastRenderedPageBreak/>
              <w:t>业绩比较基准</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创业板</w:t>
            </w:r>
            <w:r w:rsidRPr="00DC315B">
              <w:rPr>
                <w:color w:val="000000"/>
                <w:kern w:val="0"/>
                <w:sz w:val="24"/>
              </w:rPr>
              <w:t>50</w:t>
            </w:r>
            <w:r w:rsidRPr="00DC315B">
              <w:rPr>
                <w:color w:val="000000"/>
                <w:kern w:val="0"/>
                <w:sz w:val="24"/>
              </w:rPr>
              <w:t>指数收益率</w:t>
            </w:r>
            <w:r w:rsidRPr="00DC315B">
              <w:rPr>
                <w:color w:val="000000"/>
                <w:kern w:val="0"/>
                <w:sz w:val="24"/>
              </w:rPr>
              <w:t>×95%</w:t>
            </w:r>
            <w:r w:rsidRPr="00DC315B">
              <w:rPr>
                <w:color w:val="000000"/>
                <w:kern w:val="0"/>
                <w:sz w:val="24"/>
              </w:rPr>
              <w:t>＋人民币银行活期存款利率（税后）</w:t>
            </w:r>
            <w:r w:rsidRPr="00DC315B">
              <w:rPr>
                <w:color w:val="000000"/>
                <w:kern w:val="0"/>
                <w:sz w:val="24"/>
              </w:rPr>
              <w:t>×5%</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风险收益特征</w:t>
            </w:r>
          </w:p>
        </w:tc>
        <w:tc>
          <w:tcPr>
            <w:tcW w:w="5387" w:type="dxa"/>
            <w:gridSpan w:val="2"/>
          </w:tcPr>
          <w:p w:rsidR="00777D6F" w:rsidRDefault="00843846">
            <w:pPr>
              <w:adjustRightInd w:val="0"/>
              <w:spacing w:before="29" w:line="360" w:lineRule="auto"/>
              <w:ind w:left="17"/>
              <w:jc w:val="left"/>
              <w:rPr>
                <w:color w:val="000000"/>
                <w:sz w:val="24"/>
              </w:rPr>
            </w:pPr>
            <w:r>
              <w:rPr>
                <w:color w:val="000000"/>
                <w:kern w:val="0"/>
                <w:sz w:val="24"/>
              </w:rPr>
              <w:t>本基金是一只股票型基金，其预期风险和预期收益高于混合型基金、债券型基金和货币市场基金。</w:t>
            </w:r>
          </w:p>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本基金为指数型基金，主要采用组合复制策略及适当的替代性策略跟踪创业板</w:t>
            </w:r>
            <w:r w:rsidRPr="00DC315B">
              <w:rPr>
                <w:color w:val="000000"/>
                <w:kern w:val="0"/>
                <w:sz w:val="24"/>
              </w:rPr>
              <w:t>50</w:t>
            </w:r>
            <w:r w:rsidRPr="00DC315B">
              <w:rPr>
                <w:color w:val="000000"/>
                <w:kern w:val="0"/>
                <w:sz w:val="24"/>
              </w:rPr>
              <w:t>指数，具有与标的指数以及标的指数所代表的股票市场相似的风险收益特征。</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基金管理人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交银施罗德基金管理有限公司</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基金托管人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招商银行股份有限公司</w:t>
            </w:r>
          </w:p>
        </w:tc>
      </w:tr>
      <w:tr w:rsidR="002C4578" w:rsidRPr="00C30CFF" w:rsidTr="005F23CA">
        <w:tc>
          <w:tcPr>
            <w:tcW w:w="2835" w:type="dxa"/>
          </w:tcPr>
          <w:p w:rsidR="002C4578" w:rsidRPr="00C30CFF" w:rsidRDefault="002C4578" w:rsidP="00320C1E">
            <w:pPr>
              <w:adjustRightInd w:val="0"/>
              <w:spacing w:before="29" w:line="360" w:lineRule="auto"/>
              <w:ind w:left="17"/>
              <w:jc w:val="left"/>
              <w:rPr>
                <w:kern w:val="0"/>
                <w:sz w:val="24"/>
              </w:rPr>
            </w:pPr>
            <w:r w:rsidRPr="00C30CFF">
              <w:rPr>
                <w:color w:val="000000"/>
                <w:sz w:val="24"/>
              </w:rPr>
              <w:t>下属</w:t>
            </w:r>
            <w:r w:rsidR="00F853D7" w:rsidRPr="00F853D7">
              <w:rPr>
                <w:rFonts w:hint="eastAsia"/>
                <w:color w:val="000000"/>
                <w:sz w:val="24"/>
              </w:rPr>
              <w:t>两级</w:t>
            </w:r>
            <w:r w:rsidRPr="00C30CFF">
              <w:rPr>
                <w:color w:val="000000"/>
                <w:sz w:val="24"/>
              </w:rPr>
              <w:t>基金的基金简称</w:t>
            </w:r>
          </w:p>
        </w:tc>
        <w:tc>
          <w:tcPr>
            <w:tcW w:w="2694" w:type="dxa"/>
            <w:vAlign w:val="center"/>
          </w:tcPr>
          <w:p w:rsidR="002C4578" w:rsidRPr="00C30CFF" w:rsidRDefault="002C4578" w:rsidP="00320C1E">
            <w:pPr>
              <w:jc w:val="left"/>
              <w:rPr>
                <w:sz w:val="24"/>
              </w:rPr>
            </w:pPr>
            <w:r w:rsidRPr="00C30CFF">
              <w:rPr>
                <w:sz w:val="24"/>
              </w:rPr>
              <w:t>交银创业板</w:t>
            </w:r>
            <w:r w:rsidRPr="00C30CFF">
              <w:rPr>
                <w:sz w:val="24"/>
              </w:rPr>
              <w:t>50</w:t>
            </w:r>
            <w:r w:rsidRPr="00C30CFF">
              <w:rPr>
                <w:sz w:val="24"/>
              </w:rPr>
              <w:t>指数</w:t>
            </w:r>
            <w:r w:rsidRPr="00C30CFF">
              <w:rPr>
                <w:sz w:val="24"/>
              </w:rPr>
              <w:t>A</w:t>
            </w:r>
          </w:p>
        </w:tc>
        <w:tc>
          <w:tcPr>
            <w:tcW w:w="2693" w:type="dxa"/>
            <w:vAlign w:val="center"/>
          </w:tcPr>
          <w:p w:rsidR="002C4578" w:rsidRPr="00C30CFF" w:rsidRDefault="002C4578" w:rsidP="00320C1E">
            <w:pPr>
              <w:jc w:val="left"/>
              <w:rPr>
                <w:sz w:val="24"/>
              </w:rPr>
            </w:pPr>
            <w:r w:rsidRPr="00C30CFF">
              <w:rPr>
                <w:sz w:val="24"/>
              </w:rPr>
              <w:t>交银创业板</w:t>
            </w:r>
            <w:r w:rsidRPr="00C30CFF">
              <w:rPr>
                <w:sz w:val="24"/>
              </w:rPr>
              <w:t>50</w:t>
            </w:r>
            <w:r w:rsidRPr="00C30CFF">
              <w:rPr>
                <w:sz w:val="24"/>
              </w:rPr>
              <w:t>指数</w:t>
            </w:r>
            <w:r w:rsidRPr="00C30CFF">
              <w:rPr>
                <w:sz w:val="24"/>
              </w:rPr>
              <w:t>C</w:t>
            </w:r>
          </w:p>
        </w:tc>
      </w:tr>
      <w:tr w:rsidR="002C4578" w:rsidRPr="00C30CFF" w:rsidTr="005F23CA">
        <w:tc>
          <w:tcPr>
            <w:tcW w:w="2835" w:type="dxa"/>
          </w:tcPr>
          <w:p w:rsidR="002C4578" w:rsidRPr="00C30CFF" w:rsidRDefault="002C4578" w:rsidP="00320C1E">
            <w:pPr>
              <w:adjustRightInd w:val="0"/>
              <w:spacing w:before="29" w:line="360" w:lineRule="auto"/>
              <w:ind w:left="17"/>
              <w:jc w:val="left"/>
              <w:rPr>
                <w:color w:val="000000"/>
                <w:sz w:val="24"/>
              </w:rPr>
            </w:pPr>
            <w:r w:rsidRPr="00C30CFF">
              <w:rPr>
                <w:color w:val="000000"/>
                <w:sz w:val="24"/>
              </w:rPr>
              <w:t>下属</w:t>
            </w:r>
            <w:r w:rsidR="00F853D7" w:rsidRPr="00F853D7">
              <w:rPr>
                <w:rFonts w:hint="eastAsia"/>
                <w:color w:val="000000"/>
                <w:sz w:val="24"/>
              </w:rPr>
              <w:t>两级</w:t>
            </w:r>
            <w:r w:rsidRPr="00C30CFF">
              <w:rPr>
                <w:color w:val="000000"/>
                <w:sz w:val="24"/>
              </w:rPr>
              <w:t>基金的交易代码</w:t>
            </w:r>
          </w:p>
        </w:tc>
        <w:tc>
          <w:tcPr>
            <w:tcW w:w="2694" w:type="dxa"/>
            <w:vAlign w:val="center"/>
          </w:tcPr>
          <w:p w:rsidR="002C4578" w:rsidRPr="00C30CFF" w:rsidRDefault="002C4578" w:rsidP="00320C1E">
            <w:pPr>
              <w:jc w:val="left"/>
              <w:rPr>
                <w:color w:val="000000"/>
                <w:sz w:val="24"/>
              </w:rPr>
            </w:pPr>
            <w:r w:rsidRPr="00C30CFF">
              <w:rPr>
                <w:color w:val="000000"/>
                <w:sz w:val="24"/>
              </w:rPr>
              <w:t>007464</w:t>
            </w:r>
          </w:p>
        </w:tc>
        <w:tc>
          <w:tcPr>
            <w:tcW w:w="2693" w:type="dxa"/>
            <w:vAlign w:val="center"/>
          </w:tcPr>
          <w:p w:rsidR="002C4578" w:rsidRPr="00C30CFF" w:rsidRDefault="002C4578" w:rsidP="00320C1E">
            <w:pPr>
              <w:jc w:val="left"/>
              <w:rPr>
                <w:color w:val="000000"/>
                <w:sz w:val="24"/>
              </w:rPr>
            </w:pPr>
            <w:r w:rsidRPr="00C30CFF">
              <w:rPr>
                <w:color w:val="000000"/>
                <w:sz w:val="24"/>
              </w:rPr>
              <w:t>007465</w:t>
            </w:r>
          </w:p>
        </w:tc>
      </w:tr>
      <w:tr w:rsidR="002C4578" w:rsidRPr="00C30CFF" w:rsidTr="005F23CA">
        <w:tc>
          <w:tcPr>
            <w:tcW w:w="2835" w:type="dxa"/>
          </w:tcPr>
          <w:p w:rsidR="002C4578" w:rsidRPr="00C30CFF" w:rsidRDefault="002C4578" w:rsidP="00320C1E">
            <w:pPr>
              <w:adjustRightInd w:val="0"/>
              <w:spacing w:before="29" w:line="360" w:lineRule="auto"/>
              <w:ind w:left="17"/>
              <w:jc w:val="left"/>
              <w:rPr>
                <w:color w:val="000000"/>
                <w:sz w:val="24"/>
              </w:rPr>
            </w:pPr>
            <w:r w:rsidRPr="00C30CFF">
              <w:rPr>
                <w:color w:val="000000"/>
                <w:sz w:val="24"/>
              </w:rPr>
              <w:t>报告期末下属</w:t>
            </w:r>
            <w:r w:rsidR="00F853D7" w:rsidRPr="00F853D7">
              <w:rPr>
                <w:rFonts w:hint="eastAsia"/>
                <w:color w:val="000000"/>
                <w:sz w:val="24"/>
              </w:rPr>
              <w:t>两级</w:t>
            </w:r>
            <w:r w:rsidRPr="00C30CFF">
              <w:rPr>
                <w:color w:val="000000"/>
                <w:sz w:val="24"/>
              </w:rPr>
              <w:t>基金的份额总额</w:t>
            </w:r>
          </w:p>
        </w:tc>
        <w:tc>
          <w:tcPr>
            <w:tcW w:w="2694" w:type="dxa"/>
            <w:vAlign w:val="center"/>
          </w:tcPr>
          <w:p w:rsidR="002C4578" w:rsidRPr="00C30CFF" w:rsidRDefault="002C4578" w:rsidP="00320C1E">
            <w:pPr>
              <w:jc w:val="left"/>
              <w:rPr>
                <w:sz w:val="24"/>
              </w:rPr>
            </w:pPr>
            <w:r w:rsidRPr="00C30CFF">
              <w:rPr>
                <w:sz w:val="24"/>
              </w:rPr>
              <w:t>481,352,536.84</w:t>
            </w:r>
            <w:r w:rsidRPr="00C30CFF">
              <w:rPr>
                <w:color w:val="000000"/>
                <w:kern w:val="0"/>
                <w:sz w:val="24"/>
              </w:rPr>
              <w:t>份</w:t>
            </w:r>
          </w:p>
        </w:tc>
        <w:tc>
          <w:tcPr>
            <w:tcW w:w="2693" w:type="dxa"/>
            <w:vAlign w:val="center"/>
          </w:tcPr>
          <w:p w:rsidR="002C4578" w:rsidRPr="00C30CFF" w:rsidRDefault="002C4578" w:rsidP="00320C1E">
            <w:pPr>
              <w:jc w:val="left"/>
              <w:rPr>
                <w:sz w:val="24"/>
              </w:rPr>
            </w:pPr>
            <w:r w:rsidRPr="00C30CFF">
              <w:rPr>
                <w:sz w:val="24"/>
              </w:rPr>
              <w:t>84,445,977.86</w:t>
            </w:r>
            <w:r w:rsidRPr="00C30CFF">
              <w:rPr>
                <w:color w:val="000000"/>
                <w:kern w:val="0"/>
                <w:sz w:val="24"/>
              </w:rPr>
              <w:t>份</w:t>
            </w:r>
          </w:p>
        </w:tc>
      </w:tr>
    </w:tbl>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3  </w:t>
      </w:r>
      <w:r w:rsidRPr="00EC5CE0">
        <w:rPr>
          <w:rFonts w:ascii="宋体" w:hAnsi="宋体" w:cs="Arial" w:hint="eastAsia"/>
          <w:color w:val="000000"/>
          <w:kern w:val="0"/>
          <w:sz w:val="24"/>
          <w:szCs w:val="24"/>
        </w:rPr>
        <w:t>主要财务指标和基金净值表现</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3.1 </w:t>
      </w:r>
      <w:r w:rsidRPr="00EC5CE0">
        <w:rPr>
          <w:rFonts w:ascii="宋体" w:hAnsi="宋体" w:cs="Arial" w:hint="eastAsia"/>
          <w:b/>
          <w:color w:val="000000"/>
          <w:kern w:val="0"/>
          <w:sz w:val="24"/>
        </w:rPr>
        <w:t>主要财务指标</w:t>
      </w:r>
    </w:p>
    <w:p w:rsidR="005F23CA" w:rsidRPr="00FA472B" w:rsidRDefault="005F23CA" w:rsidP="005F23CA">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5F23CA" w:rsidRPr="00FA472B" w:rsidTr="00320C1E">
        <w:tc>
          <w:tcPr>
            <w:tcW w:w="3402" w:type="dxa"/>
            <w:vMerge w:val="restart"/>
            <w:vAlign w:val="center"/>
          </w:tcPr>
          <w:p w:rsidR="005F23CA" w:rsidRPr="00FA472B" w:rsidRDefault="005F23CA" w:rsidP="00320C1E">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5F23CA" w:rsidRPr="00FA472B" w:rsidRDefault="005F23CA" w:rsidP="00320C1E">
            <w:pPr>
              <w:adjustRightInd w:val="0"/>
              <w:spacing w:before="29" w:line="360" w:lineRule="auto"/>
              <w:ind w:left="17"/>
              <w:jc w:val="center"/>
              <w:rPr>
                <w:color w:val="000000"/>
                <w:sz w:val="24"/>
              </w:rPr>
            </w:pPr>
            <w:r w:rsidRPr="00FA472B">
              <w:rPr>
                <w:color w:val="000000"/>
                <w:sz w:val="24"/>
              </w:rPr>
              <w:t>报告期</w:t>
            </w:r>
          </w:p>
          <w:p w:rsidR="005F23CA" w:rsidRPr="00FA472B" w:rsidRDefault="005F23CA" w:rsidP="00320C1E">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3</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5F23CA" w:rsidRPr="00FA472B" w:rsidTr="00320C1E">
        <w:tc>
          <w:tcPr>
            <w:tcW w:w="3402" w:type="dxa"/>
            <w:vMerge/>
            <w:vAlign w:val="center"/>
          </w:tcPr>
          <w:p w:rsidR="005F23CA" w:rsidRPr="00FA472B" w:rsidRDefault="005F23CA" w:rsidP="00320C1E">
            <w:pPr>
              <w:adjustRightInd w:val="0"/>
              <w:spacing w:before="29" w:line="360" w:lineRule="auto"/>
              <w:ind w:left="17"/>
              <w:jc w:val="center"/>
              <w:rPr>
                <w:kern w:val="0"/>
                <w:sz w:val="24"/>
              </w:rPr>
            </w:pPr>
          </w:p>
        </w:tc>
        <w:tc>
          <w:tcPr>
            <w:tcW w:w="2481" w:type="dxa"/>
            <w:vAlign w:val="center"/>
          </w:tcPr>
          <w:p w:rsidR="005F23CA" w:rsidRPr="00FA472B" w:rsidRDefault="005F23CA" w:rsidP="00320C1E">
            <w:pPr>
              <w:adjustRightInd w:val="0"/>
              <w:spacing w:before="29" w:line="360" w:lineRule="auto"/>
              <w:ind w:left="17"/>
              <w:jc w:val="center"/>
              <w:rPr>
                <w:color w:val="000000"/>
                <w:sz w:val="24"/>
              </w:rPr>
            </w:pPr>
            <w:r w:rsidRPr="00FA472B">
              <w:rPr>
                <w:sz w:val="24"/>
              </w:rPr>
              <w:t>交银创业板</w:t>
            </w:r>
            <w:r w:rsidRPr="00FA472B">
              <w:rPr>
                <w:sz w:val="24"/>
              </w:rPr>
              <w:t>50</w:t>
            </w:r>
            <w:r w:rsidRPr="00FA472B">
              <w:rPr>
                <w:sz w:val="24"/>
              </w:rPr>
              <w:t>指数</w:t>
            </w:r>
            <w:r w:rsidRPr="00FA472B">
              <w:rPr>
                <w:sz w:val="24"/>
              </w:rPr>
              <w:t>A</w:t>
            </w:r>
          </w:p>
        </w:tc>
        <w:tc>
          <w:tcPr>
            <w:tcW w:w="2481" w:type="dxa"/>
            <w:vAlign w:val="center"/>
          </w:tcPr>
          <w:p w:rsidR="005F23CA" w:rsidRPr="00FA472B" w:rsidRDefault="005F23CA" w:rsidP="00320C1E">
            <w:pPr>
              <w:adjustRightInd w:val="0"/>
              <w:spacing w:before="29" w:line="360" w:lineRule="auto"/>
              <w:ind w:left="17"/>
              <w:jc w:val="center"/>
              <w:rPr>
                <w:color w:val="000000"/>
                <w:sz w:val="24"/>
              </w:rPr>
            </w:pPr>
            <w:r w:rsidRPr="00FA472B">
              <w:rPr>
                <w:sz w:val="24"/>
              </w:rPr>
              <w:t>交银创业板</w:t>
            </w:r>
            <w:r w:rsidRPr="00FA472B">
              <w:rPr>
                <w:sz w:val="24"/>
              </w:rPr>
              <w:t>50</w:t>
            </w:r>
            <w:r w:rsidRPr="00FA472B">
              <w:rPr>
                <w:sz w:val="24"/>
              </w:rPr>
              <w:t>指数</w:t>
            </w:r>
            <w:r w:rsidRPr="00FA472B">
              <w:rPr>
                <w:sz w:val="24"/>
              </w:rPr>
              <w:t>C</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75,332,831.67</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2,333,939.98</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84,977,632.98</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-10,029,984.53</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0.1202</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-0.2401</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522,970,945.35</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91,621,001.13</w:t>
            </w:r>
          </w:p>
        </w:tc>
      </w:tr>
      <w:tr w:rsidR="005F23CA" w:rsidRPr="00FA472B" w:rsidTr="00320C1E">
        <w:trPr>
          <w:trHeight w:val="158"/>
        </w:trPr>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1.0865</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1.0850</w:t>
            </w:r>
          </w:p>
        </w:tc>
      </w:tr>
    </w:tbl>
    <w:p w:rsidR="00843846" w:rsidRDefault="00843846" w:rsidP="0084384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843846" w:rsidRPr="0036023B" w:rsidRDefault="00843846" w:rsidP="00843846">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843846" w:rsidRPr="00843846" w:rsidRDefault="00843846" w:rsidP="005A2DCB">
      <w:pPr>
        <w:autoSpaceDE w:val="0"/>
        <w:autoSpaceDN w:val="0"/>
        <w:adjustRightInd w:val="0"/>
        <w:spacing w:line="360" w:lineRule="auto"/>
        <w:jc w:val="left"/>
        <w:rPr>
          <w:rFonts w:ascii="宋体" w:hAnsi="宋体" w:cs="Arial"/>
          <w:b/>
          <w:color w:val="000000"/>
          <w:kern w:val="0"/>
          <w:sz w:val="24"/>
        </w:rPr>
      </w:pP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3.2 </w:t>
      </w:r>
      <w:r w:rsidRPr="00EC5CE0">
        <w:rPr>
          <w:rFonts w:ascii="宋体" w:hAnsi="宋体" w:cs="Arial" w:hint="eastAsia"/>
          <w:b/>
          <w:color w:val="000000"/>
          <w:kern w:val="0"/>
          <w:sz w:val="24"/>
        </w:rPr>
        <w:t>基金净值表现</w:t>
      </w:r>
    </w:p>
    <w:p w:rsidR="009B2EE9" w:rsidRPr="0078105B" w:rsidRDefault="009B2EE9" w:rsidP="009B2EE9">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9B2EE9" w:rsidRPr="0078105B" w:rsidRDefault="009B2EE9" w:rsidP="009B2EE9">
      <w:pPr>
        <w:spacing w:line="360" w:lineRule="auto"/>
        <w:ind w:firstLineChars="150" w:firstLine="361"/>
        <w:rPr>
          <w:rFonts w:ascii="宋体"/>
          <w:b/>
          <w:sz w:val="24"/>
        </w:rPr>
      </w:pPr>
      <w:r w:rsidRPr="0078105B">
        <w:rPr>
          <w:rFonts w:ascii="宋体" w:hAnsi="宋体" w:cs="Arial"/>
          <w:b/>
          <w:color w:val="000000"/>
          <w:kern w:val="0"/>
          <w:sz w:val="24"/>
        </w:rPr>
        <w:t>交银创业板50指数A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777D6F">
        <w:trPr>
          <w:jc w:val="center"/>
        </w:trPr>
        <w:tc>
          <w:tcPr>
            <w:tcW w:w="1290" w:type="dxa"/>
            <w:vAlign w:val="center"/>
          </w:tcPr>
          <w:p w:rsidR="00777D6F" w:rsidRDefault="00843846">
            <w:pPr>
              <w:jc w:val="left"/>
            </w:pPr>
            <w:r>
              <w:rPr>
                <w:color w:val="000000"/>
                <w:sz w:val="24"/>
              </w:rPr>
              <w:t>过去三个月</w:t>
            </w:r>
          </w:p>
        </w:tc>
        <w:tc>
          <w:tcPr>
            <w:tcW w:w="1291" w:type="dxa"/>
            <w:vAlign w:val="center"/>
          </w:tcPr>
          <w:p w:rsidR="00777D6F" w:rsidRDefault="00843846">
            <w:pPr>
              <w:jc w:val="center"/>
            </w:pPr>
            <w:r>
              <w:rPr>
                <w:color w:val="000000"/>
                <w:sz w:val="24"/>
              </w:rPr>
              <w:t>5.73%</w:t>
            </w:r>
          </w:p>
        </w:tc>
        <w:tc>
          <w:tcPr>
            <w:tcW w:w="1291" w:type="dxa"/>
            <w:vAlign w:val="center"/>
          </w:tcPr>
          <w:p w:rsidR="00777D6F" w:rsidRDefault="00843846">
            <w:pPr>
              <w:jc w:val="center"/>
            </w:pPr>
            <w:r>
              <w:rPr>
                <w:color w:val="000000"/>
                <w:sz w:val="24"/>
              </w:rPr>
              <w:t>2.57%</w:t>
            </w:r>
          </w:p>
        </w:tc>
        <w:tc>
          <w:tcPr>
            <w:tcW w:w="1291" w:type="dxa"/>
            <w:vAlign w:val="center"/>
          </w:tcPr>
          <w:p w:rsidR="00777D6F" w:rsidRDefault="00843846">
            <w:pPr>
              <w:jc w:val="center"/>
            </w:pPr>
            <w:r>
              <w:rPr>
                <w:color w:val="000000"/>
                <w:sz w:val="24"/>
              </w:rPr>
              <w:t>4.87%</w:t>
            </w:r>
          </w:p>
        </w:tc>
        <w:tc>
          <w:tcPr>
            <w:tcW w:w="1291" w:type="dxa"/>
            <w:vAlign w:val="center"/>
          </w:tcPr>
          <w:p w:rsidR="00777D6F" w:rsidRDefault="00843846">
            <w:pPr>
              <w:jc w:val="center"/>
            </w:pPr>
            <w:r>
              <w:rPr>
                <w:color w:val="000000"/>
                <w:sz w:val="24"/>
              </w:rPr>
              <w:t>2.56%</w:t>
            </w:r>
          </w:p>
        </w:tc>
        <w:tc>
          <w:tcPr>
            <w:tcW w:w="1291" w:type="dxa"/>
            <w:vAlign w:val="center"/>
          </w:tcPr>
          <w:p w:rsidR="00777D6F" w:rsidRDefault="00843846">
            <w:pPr>
              <w:jc w:val="center"/>
            </w:pPr>
            <w:r>
              <w:rPr>
                <w:color w:val="000000"/>
                <w:sz w:val="24"/>
              </w:rPr>
              <w:t>0.86%</w:t>
            </w:r>
          </w:p>
        </w:tc>
        <w:tc>
          <w:tcPr>
            <w:tcW w:w="1291" w:type="dxa"/>
            <w:vAlign w:val="center"/>
          </w:tcPr>
          <w:p w:rsidR="00777D6F" w:rsidRDefault="00843846">
            <w:pPr>
              <w:jc w:val="center"/>
            </w:pPr>
            <w:r>
              <w:rPr>
                <w:color w:val="000000"/>
                <w:sz w:val="24"/>
              </w:rPr>
              <w:t>0.01%</w:t>
            </w:r>
          </w:p>
        </w:tc>
      </w:tr>
    </w:tbl>
    <w:p w:rsidR="009B2EE9" w:rsidRPr="0078105B" w:rsidRDefault="009B2EE9" w:rsidP="009B2EE9">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交银创业板50指数C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320C1E">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320C1E">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777D6F">
        <w:trPr>
          <w:jc w:val="center"/>
        </w:trPr>
        <w:tc>
          <w:tcPr>
            <w:tcW w:w="1290" w:type="dxa"/>
            <w:vAlign w:val="center"/>
          </w:tcPr>
          <w:p w:rsidR="00777D6F" w:rsidRDefault="00843846">
            <w:pPr>
              <w:jc w:val="left"/>
            </w:pPr>
            <w:r>
              <w:rPr>
                <w:color w:val="000000"/>
                <w:sz w:val="24"/>
              </w:rPr>
              <w:t>过去三个月</w:t>
            </w:r>
          </w:p>
        </w:tc>
        <w:tc>
          <w:tcPr>
            <w:tcW w:w="1291" w:type="dxa"/>
            <w:vAlign w:val="center"/>
          </w:tcPr>
          <w:p w:rsidR="00777D6F" w:rsidRDefault="00843846">
            <w:pPr>
              <w:jc w:val="center"/>
            </w:pPr>
            <w:r>
              <w:rPr>
                <w:color w:val="000000"/>
                <w:sz w:val="24"/>
              </w:rPr>
              <w:t>5.64%</w:t>
            </w:r>
          </w:p>
        </w:tc>
        <w:tc>
          <w:tcPr>
            <w:tcW w:w="1291" w:type="dxa"/>
            <w:vAlign w:val="center"/>
          </w:tcPr>
          <w:p w:rsidR="00777D6F" w:rsidRDefault="00843846">
            <w:pPr>
              <w:jc w:val="center"/>
            </w:pPr>
            <w:r>
              <w:rPr>
                <w:color w:val="000000"/>
                <w:sz w:val="24"/>
              </w:rPr>
              <w:t>2.58%</w:t>
            </w:r>
          </w:p>
        </w:tc>
        <w:tc>
          <w:tcPr>
            <w:tcW w:w="1291" w:type="dxa"/>
            <w:vAlign w:val="center"/>
          </w:tcPr>
          <w:p w:rsidR="00777D6F" w:rsidRDefault="00843846">
            <w:pPr>
              <w:jc w:val="center"/>
            </w:pPr>
            <w:r>
              <w:rPr>
                <w:color w:val="000000"/>
                <w:sz w:val="24"/>
              </w:rPr>
              <w:t>4.87%</w:t>
            </w:r>
          </w:p>
        </w:tc>
        <w:tc>
          <w:tcPr>
            <w:tcW w:w="1291" w:type="dxa"/>
            <w:vAlign w:val="center"/>
          </w:tcPr>
          <w:p w:rsidR="00777D6F" w:rsidRDefault="00843846">
            <w:pPr>
              <w:jc w:val="center"/>
            </w:pPr>
            <w:r>
              <w:rPr>
                <w:color w:val="000000"/>
                <w:sz w:val="24"/>
              </w:rPr>
              <w:t>2.56%</w:t>
            </w:r>
          </w:p>
        </w:tc>
        <w:tc>
          <w:tcPr>
            <w:tcW w:w="1291" w:type="dxa"/>
            <w:vAlign w:val="center"/>
          </w:tcPr>
          <w:p w:rsidR="00777D6F" w:rsidRDefault="00843846">
            <w:pPr>
              <w:jc w:val="center"/>
            </w:pPr>
            <w:r>
              <w:rPr>
                <w:color w:val="000000"/>
                <w:sz w:val="24"/>
              </w:rPr>
              <w:t>0.77%</w:t>
            </w:r>
          </w:p>
        </w:tc>
        <w:tc>
          <w:tcPr>
            <w:tcW w:w="1291" w:type="dxa"/>
            <w:vAlign w:val="center"/>
          </w:tcPr>
          <w:p w:rsidR="00777D6F" w:rsidRDefault="00843846">
            <w:pPr>
              <w:jc w:val="center"/>
            </w:pPr>
            <w:r>
              <w:rPr>
                <w:color w:val="000000"/>
                <w:sz w:val="24"/>
              </w:rPr>
              <w:t>0.02%</w:t>
            </w:r>
          </w:p>
        </w:tc>
      </w:tr>
    </w:tbl>
    <w:p w:rsidR="009B2EE9" w:rsidRPr="0078105B" w:rsidRDefault="009B2EE9" w:rsidP="009B2EE9">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Pr="00370BEA">
        <w:rPr>
          <w:rStyle w:val="af8"/>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9B2EE9" w:rsidRPr="00FA472B" w:rsidRDefault="009B2EE9" w:rsidP="009B2EE9">
      <w:pPr>
        <w:spacing w:line="360" w:lineRule="auto"/>
        <w:jc w:val="center"/>
        <w:rPr>
          <w:color w:val="000000"/>
          <w:sz w:val="24"/>
        </w:rPr>
      </w:pPr>
      <w:r w:rsidRPr="00FA472B">
        <w:rPr>
          <w:color w:val="000000"/>
          <w:sz w:val="24"/>
        </w:rPr>
        <w:t>交银施罗德创业板</w:t>
      </w:r>
      <w:r w:rsidRPr="00FA472B">
        <w:rPr>
          <w:color w:val="000000"/>
          <w:sz w:val="24"/>
        </w:rPr>
        <w:t>50</w:t>
      </w:r>
      <w:r w:rsidRPr="00FA472B">
        <w:rPr>
          <w:color w:val="000000"/>
          <w:sz w:val="24"/>
        </w:rPr>
        <w:t>指数型证券投资基金</w:t>
      </w:r>
    </w:p>
    <w:p w:rsidR="009B2EE9" w:rsidRPr="00FA472B" w:rsidRDefault="009B2EE9" w:rsidP="009B2EE9">
      <w:pPr>
        <w:pStyle w:val="a5"/>
        <w:snapToGrid w:val="0"/>
        <w:spacing w:line="360" w:lineRule="auto"/>
        <w:jc w:val="center"/>
        <w:rPr>
          <w:rFonts w:ascii="Times New Roman" w:hAnsi="Times New Roman"/>
          <w:color w:val="000000"/>
          <w:sz w:val="24"/>
          <w:szCs w:val="24"/>
        </w:rPr>
      </w:pPr>
      <w:r w:rsidRPr="00FA472B">
        <w:rPr>
          <w:rFonts w:ascii="Times New Roman" w:hAnsi="Times New Roman"/>
          <w:color w:val="000000"/>
          <w:sz w:val="24"/>
          <w:szCs w:val="24"/>
        </w:rPr>
        <w:t>累计净值增长率与业绩比较基准收益率的历史走势对比图</w:t>
      </w:r>
    </w:p>
    <w:p w:rsidR="009B2EE9" w:rsidRPr="00FA472B" w:rsidRDefault="009B2EE9" w:rsidP="009B2EE9">
      <w:pPr>
        <w:pStyle w:val="a5"/>
        <w:snapToGrid w:val="0"/>
        <w:spacing w:line="360" w:lineRule="auto"/>
        <w:ind w:firstLine="480"/>
        <w:jc w:val="center"/>
        <w:rPr>
          <w:rFonts w:ascii="Times New Roman" w:hAnsi="Times New Roman"/>
          <w:sz w:val="24"/>
          <w:szCs w:val="24"/>
        </w:rPr>
      </w:pPr>
      <w:r w:rsidRPr="00FA472B">
        <w:rPr>
          <w:rFonts w:ascii="Times New Roman" w:hAnsi="Times New Roman"/>
          <w:sz w:val="24"/>
          <w:szCs w:val="24"/>
        </w:rPr>
        <w:t>(2019</w:t>
      </w:r>
      <w:r w:rsidRPr="00FA472B">
        <w:rPr>
          <w:rFonts w:ascii="Times New Roman" w:hAnsi="Times New Roman"/>
          <w:sz w:val="24"/>
          <w:szCs w:val="24"/>
        </w:rPr>
        <w:t>年</w:t>
      </w:r>
      <w:r w:rsidRPr="00FA472B">
        <w:rPr>
          <w:rFonts w:ascii="Times New Roman" w:hAnsi="Times New Roman"/>
          <w:sz w:val="24"/>
          <w:szCs w:val="24"/>
        </w:rPr>
        <w:t>11</w:t>
      </w:r>
      <w:r w:rsidRPr="00FA472B">
        <w:rPr>
          <w:rFonts w:ascii="Times New Roman" w:hAnsi="Times New Roman"/>
          <w:sz w:val="24"/>
          <w:szCs w:val="24"/>
        </w:rPr>
        <w:t>月</w:t>
      </w:r>
      <w:r w:rsidRPr="00FA472B">
        <w:rPr>
          <w:rFonts w:ascii="Times New Roman" w:hAnsi="Times New Roman"/>
          <w:sz w:val="24"/>
          <w:szCs w:val="24"/>
        </w:rPr>
        <w:t>20</w:t>
      </w:r>
      <w:r w:rsidRPr="00FA472B">
        <w:rPr>
          <w:rFonts w:ascii="Times New Roman" w:hAnsi="Times New Roman"/>
          <w:sz w:val="24"/>
          <w:szCs w:val="24"/>
        </w:rPr>
        <w:t>日至</w:t>
      </w:r>
      <w:r w:rsidRPr="00FA472B">
        <w:rPr>
          <w:rFonts w:ascii="Times New Roman" w:hAnsi="Times New Roman"/>
          <w:sz w:val="24"/>
          <w:szCs w:val="24"/>
        </w:rPr>
        <w:t>2020</w:t>
      </w:r>
      <w:r w:rsidRPr="00FA472B">
        <w:rPr>
          <w:rFonts w:ascii="Times New Roman" w:hAnsi="Times New Roman"/>
          <w:sz w:val="24"/>
          <w:szCs w:val="24"/>
        </w:rPr>
        <w:t>年</w:t>
      </w:r>
      <w:r w:rsidRPr="00FA472B">
        <w:rPr>
          <w:rFonts w:ascii="Times New Roman" w:hAnsi="Times New Roman"/>
          <w:sz w:val="24"/>
          <w:szCs w:val="24"/>
        </w:rPr>
        <w:t>3</w:t>
      </w:r>
      <w:r w:rsidRPr="00FA472B">
        <w:rPr>
          <w:rFonts w:ascii="Times New Roman" w:hAnsi="Times New Roman"/>
          <w:sz w:val="24"/>
          <w:szCs w:val="24"/>
        </w:rPr>
        <w:t>月</w:t>
      </w:r>
      <w:r w:rsidRPr="00FA472B">
        <w:rPr>
          <w:rFonts w:ascii="Times New Roman" w:hAnsi="Times New Roman"/>
          <w:sz w:val="24"/>
          <w:szCs w:val="24"/>
        </w:rPr>
        <w:t>31</w:t>
      </w:r>
      <w:r w:rsidRPr="00FA472B">
        <w:rPr>
          <w:rFonts w:ascii="Times New Roman" w:hAnsi="Times New Roman"/>
          <w:sz w:val="24"/>
          <w:szCs w:val="24"/>
        </w:rPr>
        <w:t>日</w:t>
      </w:r>
      <w:r w:rsidRPr="00FA472B">
        <w:rPr>
          <w:rFonts w:ascii="Times New Roman" w:hAnsi="Times New Roman"/>
          <w:sz w:val="24"/>
          <w:szCs w:val="24"/>
        </w:rPr>
        <w:t>)</w:t>
      </w:r>
    </w:p>
    <w:p w:rsidR="009B2EE9" w:rsidRPr="00611CB2" w:rsidRDefault="009B2EE9" w:rsidP="009B2EE9">
      <w:pPr>
        <w:snapToGrid w:val="0"/>
        <w:spacing w:line="360" w:lineRule="auto"/>
        <w:ind w:firstLineChars="50" w:firstLine="120"/>
        <w:rPr>
          <w:color w:val="000000"/>
          <w:sz w:val="24"/>
        </w:rPr>
      </w:pPr>
      <w:r w:rsidRPr="00611CB2">
        <w:rPr>
          <w:color w:val="000000"/>
          <w:sz w:val="24"/>
        </w:rPr>
        <w:t>交银创业板</w:t>
      </w:r>
      <w:r w:rsidRPr="00611CB2">
        <w:rPr>
          <w:color w:val="000000"/>
          <w:sz w:val="24"/>
        </w:rPr>
        <w:t>50</w:t>
      </w:r>
      <w:r w:rsidRPr="00611CB2">
        <w:rPr>
          <w:color w:val="000000"/>
          <w:sz w:val="24"/>
        </w:rPr>
        <w:t>指数</w:t>
      </w:r>
      <w:r w:rsidRPr="00611CB2">
        <w:rPr>
          <w:color w:val="000000"/>
          <w:sz w:val="24"/>
        </w:rPr>
        <w:t>A</w:t>
      </w:r>
    </w:p>
    <w:p w:rsidR="009B2EE9" w:rsidRPr="0078105B" w:rsidRDefault="009B2EE9" w:rsidP="009B2EE9">
      <w:pPr>
        <w:pStyle w:val="20"/>
        <w:spacing w:line="288" w:lineRule="auto"/>
        <w:ind w:firstLineChars="0" w:firstLine="0"/>
        <w:jc w:val="center"/>
        <w:rPr>
          <w:color w:val="000000"/>
        </w:rPr>
      </w:pPr>
      <w:r>
        <w:rPr>
          <w:noProof/>
          <w:color w:val="000000"/>
        </w:rPr>
        <w:lastRenderedPageBreak/>
        <w:drawing>
          <wp:inline distT="0" distB="0" distL="0" distR="0">
            <wp:extent cx="5538470" cy="32759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9B2EE9" w:rsidRPr="00C30CFF" w:rsidRDefault="009B2EE9" w:rsidP="009B2EE9">
      <w:pPr>
        <w:spacing w:line="360" w:lineRule="auto"/>
        <w:ind w:firstLineChars="200" w:firstLine="480"/>
        <w:rPr>
          <w:color w:val="000000"/>
          <w:sz w:val="24"/>
        </w:rPr>
      </w:pPr>
      <w:r w:rsidRPr="00C30CFF">
        <w:rPr>
          <w:color w:val="000000"/>
          <w:sz w:val="24"/>
        </w:rPr>
        <w:t>注：本基金基金合同生效日为</w:t>
      </w:r>
      <w:r w:rsidRPr="00C30CFF">
        <w:rPr>
          <w:color w:val="000000"/>
          <w:sz w:val="24"/>
        </w:rPr>
        <w:t>2019</w:t>
      </w:r>
      <w:r w:rsidRPr="00C30CFF">
        <w:rPr>
          <w:color w:val="000000"/>
          <w:sz w:val="24"/>
        </w:rPr>
        <w:t>年</w:t>
      </w:r>
      <w:r w:rsidRPr="00C30CFF">
        <w:rPr>
          <w:color w:val="000000"/>
          <w:sz w:val="24"/>
        </w:rPr>
        <w:t>11</w:t>
      </w:r>
      <w:r w:rsidRPr="00C30CFF">
        <w:rPr>
          <w:color w:val="000000"/>
          <w:sz w:val="24"/>
        </w:rPr>
        <w:t>月</w:t>
      </w:r>
      <w:r w:rsidRPr="00C30CFF">
        <w:rPr>
          <w:color w:val="000000"/>
          <w:sz w:val="24"/>
        </w:rPr>
        <w:t>20</w:t>
      </w:r>
      <w:r w:rsidRPr="00C30CFF">
        <w:rPr>
          <w:color w:val="000000"/>
          <w:sz w:val="24"/>
        </w:rPr>
        <w:t>日，基金合同生效日至报告期期末，本基金运作时间未满一年。本基金建仓期为自基金合同生效日起的</w:t>
      </w:r>
      <w:r w:rsidRPr="00C30CFF">
        <w:rPr>
          <w:color w:val="000000"/>
          <w:sz w:val="24"/>
        </w:rPr>
        <w:t>6</w:t>
      </w:r>
      <w:r w:rsidRPr="00C30CFF">
        <w:rPr>
          <w:color w:val="000000"/>
          <w:sz w:val="24"/>
        </w:rPr>
        <w:t>个月。截至</w:t>
      </w:r>
      <w:r w:rsidRPr="00C30CFF">
        <w:rPr>
          <w:color w:val="000000"/>
          <w:sz w:val="24"/>
        </w:rPr>
        <w:t>2020</w:t>
      </w:r>
      <w:r w:rsidRPr="00C30CFF">
        <w:rPr>
          <w:color w:val="000000"/>
          <w:sz w:val="24"/>
        </w:rPr>
        <w:t>年</w:t>
      </w:r>
      <w:r w:rsidRPr="00C30CFF">
        <w:rPr>
          <w:color w:val="000000"/>
          <w:sz w:val="24"/>
        </w:rPr>
        <w:t>3</w:t>
      </w:r>
      <w:r w:rsidRPr="00C30CFF">
        <w:rPr>
          <w:color w:val="000000"/>
          <w:sz w:val="24"/>
        </w:rPr>
        <w:t>月</w:t>
      </w:r>
      <w:r w:rsidRPr="00C30CFF">
        <w:rPr>
          <w:color w:val="000000"/>
          <w:sz w:val="24"/>
        </w:rPr>
        <w:t>31</w:t>
      </w:r>
      <w:r w:rsidRPr="00C30CFF">
        <w:rPr>
          <w:color w:val="000000"/>
          <w:sz w:val="24"/>
        </w:rPr>
        <w:t>日，本基金尚处于建仓期。</w:t>
      </w:r>
    </w:p>
    <w:p w:rsidR="009B2EE9" w:rsidRPr="00611CB2" w:rsidRDefault="009B2EE9" w:rsidP="009B2EE9">
      <w:pPr>
        <w:snapToGrid w:val="0"/>
        <w:spacing w:line="360" w:lineRule="auto"/>
        <w:ind w:firstLineChars="50" w:firstLine="120"/>
        <w:rPr>
          <w:color w:val="000000"/>
          <w:sz w:val="24"/>
        </w:rPr>
      </w:pPr>
      <w:r w:rsidRPr="00611CB2">
        <w:rPr>
          <w:color w:val="000000"/>
          <w:sz w:val="24"/>
        </w:rPr>
        <w:t>交银创业板</w:t>
      </w:r>
      <w:r w:rsidRPr="00611CB2">
        <w:rPr>
          <w:color w:val="000000"/>
          <w:sz w:val="24"/>
        </w:rPr>
        <w:t>50</w:t>
      </w:r>
      <w:r w:rsidRPr="00611CB2">
        <w:rPr>
          <w:color w:val="000000"/>
          <w:sz w:val="24"/>
        </w:rPr>
        <w:t>指数</w:t>
      </w:r>
      <w:r w:rsidRPr="00611CB2">
        <w:rPr>
          <w:color w:val="000000"/>
          <w:sz w:val="24"/>
        </w:rPr>
        <w:t>C</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9B2EE9" w:rsidRPr="00DF18FE" w:rsidRDefault="009B2EE9" w:rsidP="009B2EE9">
      <w:pPr>
        <w:spacing w:line="360" w:lineRule="auto"/>
        <w:ind w:firstLineChars="200" w:firstLine="480"/>
        <w:rPr>
          <w:color w:val="000000"/>
          <w:sz w:val="24"/>
        </w:rPr>
      </w:pPr>
      <w:r w:rsidRPr="00DF18FE">
        <w:rPr>
          <w:color w:val="000000"/>
          <w:sz w:val="24"/>
        </w:rPr>
        <w:t>注：本基金基金合同生效日为</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20</w:t>
      </w:r>
      <w:r w:rsidRPr="00DF18FE">
        <w:rPr>
          <w:color w:val="000000"/>
          <w:sz w:val="24"/>
        </w:rPr>
        <w:t>日，基金合同生效日至报告期期末，本基金运作时间未满一年。本基金建仓期为自基金合同生效日起的</w:t>
      </w:r>
      <w:r w:rsidRPr="00DF18FE">
        <w:rPr>
          <w:color w:val="000000"/>
          <w:sz w:val="24"/>
        </w:rPr>
        <w:t>6</w:t>
      </w:r>
      <w:r w:rsidRPr="00DF18FE">
        <w:rPr>
          <w:color w:val="000000"/>
          <w:sz w:val="24"/>
        </w:rPr>
        <w:t>个月。截至</w:t>
      </w:r>
      <w:r w:rsidRPr="00DF18FE">
        <w:rPr>
          <w:color w:val="000000"/>
          <w:sz w:val="24"/>
        </w:rPr>
        <w:t>2020</w:t>
      </w:r>
      <w:r w:rsidRPr="00DF18FE">
        <w:rPr>
          <w:color w:val="000000"/>
          <w:sz w:val="24"/>
        </w:rPr>
        <w:t>年</w:t>
      </w:r>
      <w:r w:rsidRPr="00DF18FE">
        <w:rPr>
          <w:color w:val="000000"/>
          <w:sz w:val="24"/>
        </w:rPr>
        <w:t>3</w:t>
      </w:r>
      <w:r w:rsidRPr="00DF18FE">
        <w:rPr>
          <w:color w:val="000000"/>
          <w:sz w:val="24"/>
        </w:rPr>
        <w:t>月</w:t>
      </w:r>
      <w:r w:rsidRPr="00DF18FE">
        <w:rPr>
          <w:color w:val="000000"/>
          <w:sz w:val="24"/>
        </w:rPr>
        <w:t>31</w:t>
      </w:r>
      <w:r w:rsidRPr="00DF18FE">
        <w:rPr>
          <w:color w:val="000000"/>
          <w:sz w:val="24"/>
        </w:rPr>
        <w:t>日，本基金尚处于建仓期。</w:t>
      </w:r>
    </w:p>
    <w:p w:rsidR="00A62673" w:rsidRPr="00EC5CE0" w:rsidRDefault="00A62673" w:rsidP="009B2EE9">
      <w:pPr>
        <w:spacing w:line="360" w:lineRule="auto"/>
        <w:ind w:firstLineChars="200" w:firstLine="480"/>
        <w:rPr>
          <w:rFonts w:hAnsi="宋体"/>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4  </w:t>
      </w:r>
      <w:r w:rsidRPr="00EC5CE0">
        <w:rPr>
          <w:rFonts w:ascii="宋体" w:hAnsi="宋体" w:cs="Arial" w:hint="eastAsia"/>
          <w:color w:val="000000"/>
          <w:kern w:val="0"/>
          <w:sz w:val="24"/>
          <w:szCs w:val="24"/>
        </w:rPr>
        <w:t>管理人报告</w:t>
      </w:r>
    </w:p>
    <w:p w:rsidR="007467A8" w:rsidRPr="0078105B" w:rsidRDefault="00A62673" w:rsidP="007467A8">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4.1 </w:t>
      </w:r>
      <w:r w:rsidRPr="00EC5CE0">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7467A8" w:rsidRPr="0078105B" w:rsidTr="002C4578">
        <w:trPr>
          <w:cantSplit/>
        </w:trPr>
        <w:tc>
          <w:tcPr>
            <w:tcW w:w="56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7467A8" w:rsidRPr="0078105B" w:rsidTr="002C4578">
        <w:trPr>
          <w:cantSplit/>
        </w:trPr>
        <w:tc>
          <w:tcPr>
            <w:tcW w:w="56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835" w:type="dxa"/>
            <w:vMerge/>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851"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97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r>
      <w:tr w:rsidR="00777D6F">
        <w:tc>
          <w:tcPr>
            <w:tcW w:w="567" w:type="dxa"/>
            <w:vAlign w:val="center"/>
          </w:tcPr>
          <w:p w:rsidR="00777D6F" w:rsidRDefault="00843846">
            <w:pPr>
              <w:jc w:val="center"/>
            </w:pPr>
            <w:r>
              <w:rPr>
                <w:color w:val="000000"/>
                <w:sz w:val="24"/>
              </w:rPr>
              <w:t>蔡铮</w:t>
            </w:r>
          </w:p>
        </w:tc>
        <w:tc>
          <w:tcPr>
            <w:tcW w:w="2835" w:type="dxa"/>
            <w:vAlign w:val="center"/>
          </w:tcPr>
          <w:p w:rsidR="00777D6F" w:rsidRDefault="0084384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851" w:type="dxa"/>
            <w:vAlign w:val="center"/>
          </w:tcPr>
          <w:p w:rsidR="00777D6F" w:rsidRDefault="00843846">
            <w:pPr>
              <w:jc w:val="center"/>
            </w:pPr>
            <w:r>
              <w:rPr>
                <w:color w:val="000000"/>
                <w:sz w:val="24"/>
              </w:rPr>
              <w:t>2019-11-20</w:t>
            </w:r>
          </w:p>
        </w:tc>
        <w:tc>
          <w:tcPr>
            <w:tcW w:w="850" w:type="dxa"/>
            <w:vAlign w:val="center"/>
          </w:tcPr>
          <w:p w:rsidR="00777D6F" w:rsidRDefault="00843846">
            <w:pPr>
              <w:jc w:val="center"/>
            </w:pPr>
            <w:r>
              <w:rPr>
                <w:color w:val="000000"/>
                <w:sz w:val="24"/>
              </w:rPr>
              <w:t>-</w:t>
            </w:r>
          </w:p>
        </w:tc>
        <w:tc>
          <w:tcPr>
            <w:tcW w:w="851" w:type="dxa"/>
            <w:vAlign w:val="center"/>
          </w:tcPr>
          <w:p w:rsidR="00777D6F" w:rsidRDefault="00843846">
            <w:pPr>
              <w:jc w:val="center"/>
            </w:pPr>
            <w:r>
              <w:rPr>
                <w:color w:val="000000"/>
                <w:sz w:val="24"/>
              </w:rPr>
              <w:t>11</w:t>
            </w:r>
            <w:r>
              <w:rPr>
                <w:color w:val="000000"/>
                <w:sz w:val="24"/>
              </w:rPr>
              <w:t>年</w:t>
            </w:r>
          </w:p>
        </w:tc>
        <w:tc>
          <w:tcPr>
            <w:tcW w:w="2977" w:type="dxa"/>
            <w:vAlign w:val="center"/>
          </w:tcPr>
          <w:p w:rsidR="00777D6F" w:rsidRDefault="0084384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560F37" w:rsidRPr="00232B03" w:rsidRDefault="007467A8" w:rsidP="007467A8">
      <w:pPr>
        <w:autoSpaceDE w:val="0"/>
        <w:autoSpaceDN w:val="0"/>
        <w:adjustRightInd w:val="0"/>
        <w:spacing w:line="360" w:lineRule="auto"/>
        <w:ind w:firstLineChars="200" w:firstLine="480"/>
        <w:jc w:val="left"/>
        <w:rPr>
          <w:color w:val="000000"/>
          <w:sz w:val="24"/>
        </w:rPr>
      </w:pPr>
      <w:r w:rsidRPr="00DF18FE">
        <w:rPr>
          <w:color w:val="000000"/>
          <w:sz w:val="24"/>
        </w:rPr>
        <w:t>注：基金经理（或基金经理小组）期后变动（如有）敬请关注基金管理人发布的相关公告。</w:t>
      </w:r>
    </w:p>
    <w:p w:rsidR="00A62673" w:rsidRPr="00EC5CE0" w:rsidRDefault="00A62673" w:rsidP="00560F37">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4.2</w:t>
      </w:r>
      <w:r w:rsidRPr="00EC5CE0">
        <w:rPr>
          <w:rFonts w:ascii="宋体" w:hAnsi="宋体" w:hint="eastAsia"/>
          <w:b/>
          <w:bCs/>
          <w:color w:val="000000"/>
          <w:sz w:val="24"/>
        </w:rPr>
        <w:t>管理人对报告期内本基金运作遵规守信情况的说明</w:t>
      </w:r>
    </w:p>
    <w:p w:rsidR="00A62673" w:rsidRPr="00C1648E" w:rsidRDefault="00A62673" w:rsidP="00C1648E">
      <w:pPr>
        <w:spacing w:line="360" w:lineRule="auto"/>
        <w:ind w:firstLineChars="200" w:firstLine="480"/>
        <w:rPr>
          <w:color w:val="000000"/>
          <w:sz w:val="24"/>
        </w:rPr>
      </w:pPr>
      <w:r w:rsidRPr="00DC315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w:t>
      </w:r>
      <w:r w:rsidRPr="00DC315B">
        <w:rPr>
          <w:color w:val="000000"/>
          <w:sz w:val="24"/>
        </w:rPr>
        <w:lastRenderedPageBreak/>
        <w:t>人谋求最大利益。</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4.3 </w:t>
      </w:r>
      <w:r w:rsidRPr="00EC5CE0">
        <w:rPr>
          <w:rFonts w:ascii="宋体" w:hAnsi="宋体" w:cs="Arial" w:hint="eastAsia"/>
          <w:b/>
          <w:color w:val="000000"/>
          <w:kern w:val="0"/>
          <w:sz w:val="24"/>
        </w:rPr>
        <w:t>公平交易专项说明</w:t>
      </w:r>
    </w:p>
    <w:p w:rsidR="00A62673" w:rsidRPr="00EC5CE0" w:rsidRDefault="00A62673" w:rsidP="005A2DCB">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EC5CE0">
          <w:rPr>
            <w:rFonts w:ascii="宋体" w:hAnsi="宋体"/>
            <w:sz w:val="24"/>
          </w:rPr>
          <w:t>4.3.1</w:t>
        </w:r>
      </w:smartTag>
      <w:r w:rsidRPr="00EC5CE0">
        <w:rPr>
          <w:rFonts w:ascii="宋体" w:hAnsi="宋体" w:hint="eastAsia"/>
          <w:sz w:val="24"/>
        </w:rPr>
        <w:t>公平交易制度的执行情况</w:t>
      </w:r>
    </w:p>
    <w:p w:rsidR="00777D6F" w:rsidRDefault="00843846">
      <w:pPr>
        <w:spacing w:line="360"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77D6F" w:rsidRDefault="00843846">
      <w:pPr>
        <w:spacing w:line="360"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77D6F" w:rsidRDefault="00843846">
      <w:pPr>
        <w:spacing w:line="360"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62673" w:rsidRPr="00DC315B" w:rsidRDefault="00A62673" w:rsidP="005A2769">
      <w:pPr>
        <w:spacing w:line="360" w:lineRule="auto"/>
        <w:ind w:firstLineChars="200" w:firstLine="480"/>
        <w:rPr>
          <w:color w:val="000000"/>
          <w:sz w:val="24"/>
        </w:rPr>
      </w:pPr>
      <w:r w:rsidRPr="00DC315B">
        <w:rPr>
          <w:color w:val="000000"/>
          <w:sz w:val="24"/>
        </w:rPr>
        <w:t>报告期内本公司严格执行公平交易制度，公平对待旗下各投资组合，未发现任何违反公平交易的行为。</w:t>
      </w:r>
    </w:p>
    <w:p w:rsidR="00A62673" w:rsidRPr="00EC5CE0" w:rsidRDefault="00A62673" w:rsidP="005A2DCB">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EC5CE0">
          <w:rPr>
            <w:rFonts w:ascii="宋体" w:hAnsi="宋体"/>
            <w:sz w:val="24"/>
          </w:rPr>
          <w:t>4.3.2</w:t>
        </w:r>
      </w:smartTag>
      <w:r w:rsidRPr="00EC5CE0">
        <w:rPr>
          <w:rFonts w:ascii="宋体" w:hAnsi="宋体" w:hint="eastAsia"/>
          <w:sz w:val="24"/>
        </w:rPr>
        <w:t>异常交易行为的专项说明</w:t>
      </w:r>
    </w:p>
    <w:p w:rsidR="00A62673" w:rsidRDefault="00A62673" w:rsidP="00C1648E">
      <w:pPr>
        <w:spacing w:line="360" w:lineRule="auto"/>
        <w:ind w:firstLineChars="200" w:firstLine="480"/>
        <w:rPr>
          <w:color w:val="000000"/>
          <w:sz w:val="24"/>
        </w:rPr>
      </w:pPr>
      <w:r w:rsidRPr="00DC315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DC315B">
        <w:rPr>
          <w:color w:val="000000"/>
          <w:sz w:val="24"/>
        </w:rPr>
        <w:t>5%</w:t>
      </w:r>
      <w:r w:rsidRPr="00DC315B">
        <w:rPr>
          <w:color w:val="000000"/>
          <w:sz w:val="24"/>
        </w:rPr>
        <w:t>的情形，本基金与本公司管理的其他投资组合在不同时间窗下（如日内、</w:t>
      </w:r>
      <w:r w:rsidRPr="00DC315B">
        <w:rPr>
          <w:color w:val="000000"/>
          <w:sz w:val="24"/>
        </w:rPr>
        <w:t>3</w:t>
      </w:r>
      <w:r w:rsidRPr="00DC315B">
        <w:rPr>
          <w:color w:val="000000"/>
          <w:sz w:val="24"/>
        </w:rPr>
        <w:t>日内、</w:t>
      </w:r>
      <w:r w:rsidRPr="00DC315B">
        <w:rPr>
          <w:color w:val="000000"/>
          <w:sz w:val="24"/>
        </w:rPr>
        <w:t>5</w:t>
      </w:r>
      <w:r w:rsidRPr="00DC315B">
        <w:rPr>
          <w:color w:val="000000"/>
          <w:sz w:val="24"/>
        </w:rPr>
        <w:t>日内）同向交易的交易价差未出现异常。</w:t>
      </w:r>
    </w:p>
    <w:p w:rsidR="003223A2" w:rsidRPr="00C1648E" w:rsidRDefault="003223A2" w:rsidP="00C1648E">
      <w:pPr>
        <w:spacing w:line="360" w:lineRule="auto"/>
        <w:ind w:firstLineChars="200" w:firstLine="480"/>
        <w:rPr>
          <w:color w:val="000000"/>
          <w:sz w:val="24"/>
        </w:rPr>
      </w:pP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4.4</w:t>
      </w:r>
      <w:r w:rsidR="003223A2">
        <w:rPr>
          <w:rFonts w:ascii="宋体" w:hAnsi="宋体" w:cs="Arial"/>
          <w:b/>
          <w:color w:val="000000"/>
          <w:kern w:val="0"/>
          <w:sz w:val="24"/>
        </w:rPr>
        <w:t xml:space="preserve"> </w:t>
      </w:r>
      <w:r w:rsidR="003223A2" w:rsidRPr="003223A2">
        <w:rPr>
          <w:rFonts w:ascii="宋体" w:hAnsi="宋体" w:cs="Arial" w:hint="eastAsia"/>
          <w:b/>
          <w:color w:val="000000"/>
          <w:kern w:val="0"/>
          <w:sz w:val="24"/>
        </w:rPr>
        <w:t>报告期内基金的投资策略和运作分析</w:t>
      </w:r>
    </w:p>
    <w:p w:rsidR="00777D6F" w:rsidRDefault="00843846">
      <w:pPr>
        <w:spacing w:line="360" w:lineRule="auto"/>
        <w:ind w:firstLineChars="200" w:firstLine="480"/>
        <w:rPr>
          <w:color w:val="000000"/>
          <w:sz w:val="24"/>
        </w:rPr>
      </w:pPr>
      <w:r>
        <w:rPr>
          <w:color w:val="000000"/>
          <w:sz w:val="24"/>
        </w:rPr>
        <w:t>2020</w:t>
      </w:r>
      <w:r>
        <w:rPr>
          <w:color w:val="000000"/>
          <w:sz w:val="24"/>
        </w:rPr>
        <w:t>年一季度，新冠疫情对全球经济和资本市场均产生较大冲击。国内经济短期的不确定性有所增加，内外需受疫情影响呈现较大幅走低，生产端也因为推迟复工复产而显著回落。三月以来国内疫情得到有效控制，各行各业陆续复工</w:t>
      </w:r>
      <w:r>
        <w:rPr>
          <w:color w:val="000000"/>
          <w:sz w:val="24"/>
        </w:rPr>
        <w:lastRenderedPageBreak/>
        <w:t>复产，未来随疫情进一步缓解，外部事件影响或将逐步减弱。一季度资本市场受疫情黑天鹅冲击，整体波动较</w:t>
      </w:r>
      <w:r>
        <w:rPr>
          <w:color w:val="000000"/>
          <w:sz w:val="24"/>
        </w:rPr>
        <w:t>2019</w:t>
      </w:r>
      <w:r>
        <w:rPr>
          <w:color w:val="000000"/>
          <w:sz w:val="24"/>
        </w:rPr>
        <w:t>年底明显加大。在上述市场环境下，基于对市场的判断，本基金已逐批建仓，截至本报告期末，本基金各项资产配置比例符合基金合同及招募说明书有关投资比例的约定。</w:t>
      </w:r>
    </w:p>
    <w:p w:rsidR="00A62673" w:rsidRDefault="00A62673" w:rsidP="005A2769">
      <w:pPr>
        <w:spacing w:line="360" w:lineRule="auto"/>
        <w:ind w:firstLineChars="200" w:firstLine="480"/>
        <w:rPr>
          <w:color w:val="000000"/>
          <w:sz w:val="24"/>
        </w:rPr>
      </w:pPr>
      <w:r w:rsidRPr="00DC315B">
        <w:rPr>
          <w:color w:val="000000"/>
          <w:sz w:val="24"/>
        </w:rPr>
        <w:t>展望</w:t>
      </w:r>
      <w:r w:rsidRPr="00DC315B">
        <w:rPr>
          <w:color w:val="000000"/>
          <w:sz w:val="24"/>
        </w:rPr>
        <w:t>2020</w:t>
      </w:r>
      <w:r w:rsidRPr="00DC315B">
        <w:rPr>
          <w:color w:val="000000"/>
          <w:sz w:val="24"/>
        </w:rPr>
        <w:t>年二季度，伴随着全面复工复产的有序推进和经济社会秩序的加快恢复，国内经济基本面短期阵痛有望逐步消解；另外政策层面上，财政政策或将更加积极有为，货币政策或将更加灵活适度，共同支持实体经济恢复发展。中国经济正处于向高质量发展的转型过程中，新旧动能转换持续加快，中国经济长期向好的大趋势基本没有改变，在此背景下我们对</w:t>
      </w:r>
      <w:r w:rsidRPr="00DC315B">
        <w:rPr>
          <w:color w:val="000000"/>
          <w:sz w:val="24"/>
        </w:rPr>
        <w:t>A</w:t>
      </w:r>
      <w:r w:rsidRPr="00DC315B">
        <w:rPr>
          <w:color w:val="000000"/>
          <w:sz w:val="24"/>
        </w:rPr>
        <w:t>股市场维持谨慎乐观的看法。</w:t>
      </w:r>
    </w:p>
    <w:p w:rsidR="003223A2" w:rsidRPr="00DC315B" w:rsidRDefault="003223A2" w:rsidP="005A2769">
      <w:pPr>
        <w:spacing w:line="360" w:lineRule="auto"/>
        <w:ind w:firstLineChars="200" w:firstLine="480"/>
        <w:rPr>
          <w:color w:val="000000"/>
          <w:sz w:val="24"/>
        </w:rPr>
      </w:pPr>
    </w:p>
    <w:p w:rsidR="00A62673" w:rsidRPr="003223A2" w:rsidRDefault="003223A2" w:rsidP="005A2DCB">
      <w:pPr>
        <w:spacing w:line="360" w:lineRule="auto"/>
        <w:rPr>
          <w:rFonts w:ascii="宋体"/>
          <w:b/>
          <w:sz w:val="24"/>
        </w:rPr>
      </w:pPr>
      <w:r w:rsidRPr="003223A2">
        <w:rPr>
          <w:rFonts w:ascii="宋体" w:hAnsi="宋体" w:hint="eastAsia"/>
          <w:b/>
          <w:sz w:val="24"/>
        </w:rPr>
        <w:t>4.5报告期内基金的业绩表现</w:t>
      </w:r>
    </w:p>
    <w:p w:rsidR="00A62673" w:rsidRDefault="00A62673" w:rsidP="00C1648E">
      <w:pPr>
        <w:spacing w:line="360" w:lineRule="auto"/>
        <w:ind w:firstLineChars="200" w:firstLine="480"/>
        <w:rPr>
          <w:color w:val="000000"/>
          <w:sz w:val="24"/>
        </w:rPr>
      </w:pPr>
      <w:r w:rsidRPr="00DC315B">
        <w:rPr>
          <w:color w:val="000000"/>
          <w:sz w:val="24"/>
        </w:rPr>
        <w:t>本基金（各类）份额净值及业绩表现请见</w:t>
      </w:r>
      <w:r w:rsidRPr="00DC315B">
        <w:rPr>
          <w:color w:val="000000"/>
          <w:sz w:val="24"/>
        </w:rPr>
        <w:t>“3.1</w:t>
      </w:r>
      <w:r w:rsidRPr="00DC315B">
        <w:rPr>
          <w:color w:val="000000"/>
          <w:sz w:val="24"/>
        </w:rPr>
        <w:t>主要财务指标</w:t>
      </w:r>
      <w:r w:rsidRPr="00DC315B">
        <w:rPr>
          <w:color w:val="000000"/>
          <w:sz w:val="24"/>
        </w:rPr>
        <w:t xml:space="preserve">” </w:t>
      </w:r>
      <w:r w:rsidRPr="00DC315B">
        <w:rPr>
          <w:color w:val="000000"/>
          <w:sz w:val="24"/>
        </w:rPr>
        <w:t>及</w:t>
      </w:r>
      <w:r w:rsidRPr="00DC315B">
        <w:rPr>
          <w:color w:val="000000"/>
          <w:sz w:val="24"/>
        </w:rPr>
        <w:t xml:space="preserve">“3.2.1 </w:t>
      </w:r>
      <w:r w:rsidRPr="00DC315B">
        <w:rPr>
          <w:color w:val="000000"/>
          <w:sz w:val="24"/>
        </w:rPr>
        <w:t>本报告期基金份额净值增长率及其与同期业绩比较基准收益率的比较</w:t>
      </w:r>
      <w:r w:rsidRPr="00DC315B">
        <w:rPr>
          <w:color w:val="000000"/>
          <w:sz w:val="24"/>
        </w:rPr>
        <w:t>”</w:t>
      </w:r>
      <w:r w:rsidRPr="00DC315B">
        <w:rPr>
          <w:color w:val="000000"/>
          <w:sz w:val="24"/>
        </w:rPr>
        <w:t>部分披露。</w:t>
      </w:r>
    </w:p>
    <w:p w:rsidR="003223A2" w:rsidRPr="00C1648E" w:rsidRDefault="003223A2" w:rsidP="00C1648E">
      <w:pPr>
        <w:spacing w:line="360" w:lineRule="auto"/>
        <w:ind w:firstLineChars="200" w:firstLine="480"/>
        <w:rPr>
          <w:color w:val="000000"/>
          <w:sz w:val="24"/>
        </w:rPr>
      </w:pPr>
    </w:p>
    <w:p w:rsidR="00701A03" w:rsidRPr="00701A03" w:rsidRDefault="00701A03" w:rsidP="00701A03">
      <w:pPr>
        <w:autoSpaceDE w:val="0"/>
        <w:autoSpaceDN w:val="0"/>
        <w:adjustRightInd w:val="0"/>
        <w:spacing w:line="360" w:lineRule="auto"/>
        <w:jc w:val="left"/>
        <w:rPr>
          <w:rFonts w:ascii="宋体" w:hAnsi="宋体" w:cs="Arial"/>
          <w:b/>
          <w:color w:val="000000"/>
          <w:kern w:val="0"/>
          <w:sz w:val="24"/>
        </w:rPr>
      </w:pPr>
      <w:r w:rsidRPr="00701A03">
        <w:rPr>
          <w:rFonts w:ascii="宋体" w:hAnsi="宋体" w:cs="Arial"/>
          <w:b/>
          <w:color w:val="000000"/>
          <w:kern w:val="0"/>
          <w:sz w:val="24"/>
        </w:rPr>
        <w:t>4</w:t>
      </w:r>
      <w:r w:rsidR="008E2983">
        <w:rPr>
          <w:rFonts w:ascii="宋体" w:hAnsi="宋体" w:cs="Arial" w:hint="eastAsia"/>
          <w:b/>
          <w:color w:val="000000"/>
          <w:kern w:val="0"/>
          <w:sz w:val="24"/>
        </w:rPr>
        <w:t>.</w:t>
      </w:r>
      <w:r w:rsidR="003223A2">
        <w:rPr>
          <w:rFonts w:ascii="宋体" w:hAnsi="宋体" w:cs="Arial"/>
          <w:b/>
          <w:color w:val="000000"/>
          <w:kern w:val="0"/>
          <w:sz w:val="24"/>
        </w:rPr>
        <w:t>6</w:t>
      </w:r>
      <w:r w:rsidR="00C87BC7">
        <w:rPr>
          <w:rFonts w:ascii="宋体" w:hAnsi="宋体" w:cs="Arial"/>
          <w:b/>
          <w:color w:val="000000"/>
          <w:kern w:val="0"/>
          <w:sz w:val="24"/>
        </w:rPr>
        <w:t xml:space="preserve"> </w:t>
      </w:r>
      <w:r w:rsidRPr="00701A03">
        <w:rPr>
          <w:rFonts w:ascii="宋体" w:hAnsi="宋体" w:cs="Arial" w:hint="eastAsia"/>
          <w:b/>
          <w:color w:val="000000"/>
          <w:kern w:val="0"/>
          <w:sz w:val="24"/>
        </w:rPr>
        <w:t>报告期内基金持有人数或基金资产净值预警说明</w:t>
      </w:r>
    </w:p>
    <w:p w:rsidR="00701A03" w:rsidRPr="00942DF0" w:rsidRDefault="00701A03" w:rsidP="00942DF0">
      <w:pPr>
        <w:spacing w:line="360" w:lineRule="auto"/>
        <w:ind w:firstLineChars="200" w:firstLine="480"/>
        <w:rPr>
          <w:color w:val="000000"/>
          <w:sz w:val="24"/>
        </w:rPr>
      </w:pPr>
      <w:r w:rsidRPr="00942DF0">
        <w:rPr>
          <w:color w:val="000000"/>
          <w:sz w:val="24"/>
        </w:rPr>
        <w:t>本基金本报告期内无需预警说明。</w:t>
      </w:r>
    </w:p>
    <w:p w:rsidR="00701A03" w:rsidRPr="00DC315B" w:rsidRDefault="00701A03" w:rsidP="005A2769">
      <w:pPr>
        <w:spacing w:line="360" w:lineRule="auto"/>
        <w:ind w:firstLineChars="200" w:firstLine="480"/>
        <w:rPr>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5  </w:t>
      </w:r>
      <w:r w:rsidRPr="00EC5CE0">
        <w:rPr>
          <w:rFonts w:ascii="宋体" w:hAnsi="宋体" w:cs="Arial" w:hint="eastAsia"/>
          <w:color w:val="000000"/>
          <w:kern w:val="0"/>
          <w:sz w:val="24"/>
          <w:szCs w:val="24"/>
        </w:rPr>
        <w:t>投资组合报告</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5.1 </w:t>
      </w:r>
      <w:r w:rsidRPr="00EC5CE0">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序号</w:t>
            </w:r>
          </w:p>
        </w:tc>
        <w:tc>
          <w:tcPr>
            <w:tcW w:w="3357"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项目</w:t>
            </w:r>
          </w:p>
        </w:tc>
        <w:tc>
          <w:tcPr>
            <w:tcW w:w="2977"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金额</w:t>
            </w:r>
            <w:r w:rsidR="005A2769" w:rsidRPr="00C1648E">
              <w:rPr>
                <w:color w:val="000000"/>
                <w:sz w:val="24"/>
              </w:rPr>
              <w:t>（元）</w:t>
            </w:r>
          </w:p>
        </w:tc>
        <w:tc>
          <w:tcPr>
            <w:tcW w:w="1843"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占基金总资产的比例</w:t>
            </w:r>
            <w:r w:rsidR="005A2769" w:rsidRPr="00C1648E">
              <w:rPr>
                <w:color w:val="000000"/>
                <w:sz w:val="24"/>
              </w:rPr>
              <w:t>（</w:t>
            </w:r>
            <w:r w:rsidR="005A2769" w:rsidRPr="00C1648E">
              <w:rPr>
                <w:color w:val="000000"/>
                <w:sz w:val="24"/>
              </w:rPr>
              <w:t>%</w:t>
            </w:r>
            <w:r w:rsidR="005A2769"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1</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权益投资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570,848,778.47</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91.85</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其中：股票</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570,848,778.47</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91.85</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2</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固定收益投资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4,504,050.00</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0.72</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其中：债券</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4,504,050.00</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0.72</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autoSpaceDE w:val="0"/>
              <w:autoSpaceDN w:val="0"/>
              <w:adjustRightInd w:val="0"/>
              <w:spacing w:before="29" w:line="360" w:lineRule="auto"/>
              <w:ind w:left="17"/>
              <w:jc w:val="left"/>
              <w:rPr>
                <w:color w:val="000000"/>
                <w:sz w:val="24"/>
              </w:rPr>
            </w:pPr>
            <w:r w:rsidRPr="00C1648E">
              <w:rPr>
                <w:color w:val="000000"/>
                <w:sz w:val="24"/>
              </w:rPr>
              <w:t>资产支持证券</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tcPr>
          <w:p w:rsidR="00A62673" w:rsidRPr="00C1648E" w:rsidRDefault="00A62673" w:rsidP="006B315F">
            <w:pPr>
              <w:spacing w:before="29" w:line="360" w:lineRule="auto"/>
              <w:ind w:left="17"/>
              <w:jc w:val="center"/>
              <w:rPr>
                <w:color w:val="000000"/>
                <w:sz w:val="24"/>
              </w:rPr>
            </w:pPr>
            <w:r w:rsidRPr="00C1648E">
              <w:rPr>
                <w:color w:val="000000"/>
                <w:sz w:val="24"/>
              </w:rPr>
              <w:lastRenderedPageBreak/>
              <w:t>3</w:t>
            </w:r>
          </w:p>
        </w:tc>
        <w:tc>
          <w:tcPr>
            <w:tcW w:w="3357" w:type="dxa"/>
          </w:tcPr>
          <w:p w:rsidR="00A62673" w:rsidRPr="00C1648E" w:rsidRDefault="00A62673" w:rsidP="005A2769">
            <w:pPr>
              <w:spacing w:before="29" w:line="360" w:lineRule="auto"/>
              <w:ind w:leftChars="50" w:left="105"/>
              <w:rPr>
                <w:color w:val="000000"/>
                <w:sz w:val="24"/>
              </w:rPr>
            </w:pPr>
            <w:r w:rsidRPr="00C1648E">
              <w:rPr>
                <w:color w:val="000000"/>
                <w:sz w:val="24"/>
              </w:rPr>
              <w:t>贵金属投资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4</w:t>
            </w:r>
          </w:p>
        </w:tc>
        <w:tc>
          <w:tcPr>
            <w:tcW w:w="3357" w:type="dxa"/>
            <w:vAlign w:val="center"/>
          </w:tcPr>
          <w:p w:rsidR="00A62673" w:rsidRPr="00C1648E" w:rsidRDefault="00A62673" w:rsidP="006B315F">
            <w:pPr>
              <w:spacing w:before="29" w:line="360" w:lineRule="auto"/>
              <w:ind w:left="17"/>
              <w:jc w:val="left"/>
              <w:rPr>
                <w:color w:val="000000"/>
                <w:sz w:val="24"/>
              </w:rPr>
            </w:pPr>
            <w:r w:rsidRPr="00C1648E">
              <w:rPr>
                <w:color w:val="000000"/>
                <w:sz w:val="24"/>
              </w:rPr>
              <w:t>金融衍生品投资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5</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买入返售金融资产</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其中：买断式回购的买入返售金融资产</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6</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银行存款和结算备付金合计</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41,020,389.55</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6.60</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7</w:t>
            </w:r>
          </w:p>
        </w:tc>
        <w:tc>
          <w:tcPr>
            <w:tcW w:w="3357" w:type="dxa"/>
            <w:vAlign w:val="center"/>
          </w:tcPr>
          <w:p w:rsidR="00A62673" w:rsidRPr="00C1648E" w:rsidRDefault="00A62673" w:rsidP="006B315F">
            <w:pPr>
              <w:jc w:val="left"/>
              <w:rPr>
                <w:sz w:val="24"/>
              </w:rPr>
            </w:pPr>
            <w:r w:rsidRPr="00C1648E">
              <w:rPr>
                <w:color w:val="000000"/>
                <w:sz w:val="24"/>
              </w:rPr>
              <w:t>其他资产</w:t>
            </w:r>
          </w:p>
        </w:tc>
        <w:tc>
          <w:tcPr>
            <w:tcW w:w="2977" w:type="dxa"/>
            <w:vAlign w:val="center"/>
          </w:tcPr>
          <w:p w:rsidR="00A62673" w:rsidRPr="00C1648E" w:rsidRDefault="00A62673" w:rsidP="006B315F">
            <w:pPr>
              <w:jc w:val="right"/>
              <w:rPr>
                <w:color w:val="000000"/>
                <w:sz w:val="24"/>
              </w:rPr>
            </w:pPr>
            <w:r w:rsidRPr="00C1648E">
              <w:rPr>
                <w:color w:val="000000"/>
                <w:sz w:val="24"/>
              </w:rPr>
              <w:t>5,112,153.76</w:t>
            </w:r>
          </w:p>
        </w:tc>
        <w:tc>
          <w:tcPr>
            <w:tcW w:w="1843" w:type="dxa"/>
            <w:vAlign w:val="center"/>
          </w:tcPr>
          <w:p w:rsidR="00A62673" w:rsidRPr="00C1648E" w:rsidRDefault="00A62673" w:rsidP="006B315F">
            <w:pPr>
              <w:jc w:val="right"/>
              <w:rPr>
                <w:color w:val="000000"/>
                <w:sz w:val="24"/>
              </w:rPr>
            </w:pPr>
            <w:r w:rsidRPr="00C1648E">
              <w:rPr>
                <w:color w:val="000000"/>
                <w:sz w:val="24"/>
              </w:rPr>
              <w:t>0.82</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8</w:t>
            </w:r>
          </w:p>
        </w:tc>
        <w:tc>
          <w:tcPr>
            <w:tcW w:w="3357" w:type="dxa"/>
            <w:vAlign w:val="center"/>
          </w:tcPr>
          <w:p w:rsidR="00A62673" w:rsidRPr="00C1648E" w:rsidRDefault="00A62673" w:rsidP="006B315F">
            <w:pPr>
              <w:jc w:val="left"/>
              <w:rPr>
                <w:sz w:val="24"/>
              </w:rPr>
            </w:pPr>
            <w:r w:rsidRPr="00C1648E">
              <w:rPr>
                <w:color w:val="000000"/>
                <w:sz w:val="24"/>
              </w:rPr>
              <w:t>合计</w:t>
            </w:r>
          </w:p>
        </w:tc>
        <w:tc>
          <w:tcPr>
            <w:tcW w:w="2977" w:type="dxa"/>
            <w:vAlign w:val="center"/>
          </w:tcPr>
          <w:p w:rsidR="00A62673" w:rsidRPr="00C1648E" w:rsidRDefault="00A62673" w:rsidP="006B315F">
            <w:pPr>
              <w:jc w:val="right"/>
              <w:rPr>
                <w:color w:val="000000"/>
                <w:sz w:val="24"/>
              </w:rPr>
            </w:pPr>
            <w:r w:rsidRPr="00C1648E">
              <w:rPr>
                <w:color w:val="000000"/>
                <w:sz w:val="24"/>
              </w:rPr>
              <w:t>621,485,371.78</w:t>
            </w:r>
          </w:p>
        </w:tc>
        <w:tc>
          <w:tcPr>
            <w:tcW w:w="1843" w:type="dxa"/>
            <w:vAlign w:val="center"/>
          </w:tcPr>
          <w:p w:rsidR="00A62673" w:rsidRPr="00C1648E" w:rsidRDefault="00A62673" w:rsidP="006B315F">
            <w:pPr>
              <w:jc w:val="right"/>
              <w:rPr>
                <w:color w:val="000000"/>
                <w:sz w:val="24"/>
              </w:rPr>
            </w:pPr>
            <w:r w:rsidRPr="00C1648E">
              <w:rPr>
                <w:color w:val="000000"/>
                <w:sz w:val="24"/>
              </w:rPr>
              <w:t>100.00</w:t>
            </w:r>
          </w:p>
        </w:tc>
      </w:tr>
    </w:tbl>
    <w:p w:rsidR="008624F9"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 xml:space="preserve">5.2 </w:t>
      </w:r>
      <w:r w:rsidRPr="00105C87">
        <w:rPr>
          <w:rFonts w:eastAsiaTheme="minorEastAsia"/>
          <w:b/>
          <w:color w:val="000000" w:themeColor="text1"/>
          <w:kern w:val="0"/>
          <w:sz w:val="24"/>
        </w:rPr>
        <w:t>报告期末按行业分类的股票投资组合</w:t>
      </w:r>
    </w:p>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5.2.1</w:t>
      </w:r>
      <w:r w:rsidRPr="00105C87">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2,355,429.00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0.38</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2,998,400.00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0.49</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17,552.98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12,953,600.00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2.11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18,324,981.98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2.98</w:t>
            </w:r>
          </w:p>
        </w:tc>
      </w:tr>
    </w:tbl>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5.2.2</w:t>
      </w:r>
      <w:r w:rsidRPr="00105C87">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341,113,593.75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55.50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97,920,683.62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15.93</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43,850,766.75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7.13</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7,733,110.00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1.26</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8,687,102.44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1.41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45,056,156.22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7.33</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8,162,383.71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1.33</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552,523,796.49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89.90</w:t>
            </w:r>
          </w:p>
        </w:tc>
      </w:tr>
    </w:tbl>
    <w:p w:rsidR="004F7045" w:rsidRPr="00BC47D5" w:rsidRDefault="004F7045" w:rsidP="004F704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Pr>
          <w:rFonts w:hint="eastAsia"/>
          <w:b/>
          <w:color w:val="000000"/>
          <w:kern w:val="0"/>
          <w:sz w:val="24"/>
        </w:rPr>
        <w:t>港股通</w:t>
      </w:r>
      <w:r w:rsidRPr="00BC47D5">
        <w:rPr>
          <w:rFonts w:hint="eastAsia"/>
          <w:b/>
          <w:color w:val="000000"/>
          <w:kern w:val="0"/>
          <w:sz w:val="24"/>
        </w:rPr>
        <w:t>投资股票投资组合</w:t>
      </w:r>
    </w:p>
    <w:p w:rsidR="004F7045" w:rsidRPr="00497448" w:rsidRDefault="004F7045" w:rsidP="004F704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774C7D" w:rsidRPr="00EC5CE0" w:rsidRDefault="00774C7D" w:rsidP="00774C7D">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5.3</w:t>
      </w:r>
      <w:r w:rsidRPr="007F456A">
        <w:rPr>
          <w:rFonts w:ascii="宋体" w:hAnsi="宋体" w:cs="Arial" w:hint="eastAsia"/>
          <w:b/>
          <w:color w:val="000000"/>
          <w:kern w:val="0"/>
          <w:sz w:val="24"/>
        </w:rPr>
        <w:t>报告期末按公允价值占基金资产净值比例大小排序的股票投资明细</w:t>
      </w:r>
    </w:p>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5.3.1</w:t>
      </w:r>
      <w:r w:rsidRPr="00045BEC">
        <w:rPr>
          <w:rFonts w:ascii="宋体" w:hAnsi="宋体" w:cs="Arial" w:hint="eastAsia"/>
          <w:b/>
          <w:color w:val="000000"/>
          <w:kern w:val="0"/>
          <w:sz w:val="24"/>
        </w:rPr>
        <w:t>期末</w:t>
      </w:r>
      <w:r w:rsidRPr="00045BEC">
        <w:rPr>
          <w:rFonts w:ascii="宋体" w:hAnsi="宋体" w:hint="eastAsia"/>
          <w:b/>
          <w:sz w:val="24"/>
        </w:rPr>
        <w:t>指数投资按公允价值占基金资产净值比例大小排序的前十名股票投资明细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559"/>
        <w:gridCol w:w="1843"/>
        <w:gridCol w:w="2268"/>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559"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268"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w:t>
            </w:r>
            <w:r w:rsidRPr="00C1648E">
              <w:rPr>
                <w:color w:val="000000"/>
                <w:sz w:val="24"/>
              </w:rPr>
              <w:lastRenderedPageBreak/>
              <w:t>资产净值比例</w:t>
            </w:r>
            <w:r w:rsidRPr="00C1648E">
              <w:rPr>
                <w:color w:val="000000"/>
                <w:sz w:val="24"/>
              </w:rPr>
              <w:t>(</w:t>
            </w:r>
            <w:r w:rsidRPr="00C1648E">
              <w:rPr>
                <w:color w:val="000000"/>
                <w:sz w:val="24"/>
              </w:rPr>
              <w:t>％</w:t>
            </w:r>
            <w:r w:rsidRPr="00C1648E">
              <w:rPr>
                <w:color w:val="000000"/>
                <w:sz w:val="24"/>
              </w:rPr>
              <w:t>)</w:t>
            </w:r>
          </w:p>
        </w:tc>
      </w:tr>
      <w:tr w:rsidR="00777D6F">
        <w:tc>
          <w:tcPr>
            <w:tcW w:w="817" w:type="dxa"/>
            <w:vAlign w:val="center"/>
          </w:tcPr>
          <w:p w:rsidR="00777D6F" w:rsidRDefault="00843846">
            <w:pPr>
              <w:jc w:val="center"/>
            </w:pPr>
            <w:r>
              <w:rPr>
                <w:color w:val="000000"/>
                <w:sz w:val="24"/>
              </w:rPr>
              <w:lastRenderedPageBreak/>
              <w:t>1</w:t>
            </w:r>
          </w:p>
        </w:tc>
        <w:tc>
          <w:tcPr>
            <w:tcW w:w="1276" w:type="dxa"/>
            <w:vAlign w:val="center"/>
          </w:tcPr>
          <w:p w:rsidR="00777D6F" w:rsidRDefault="00843846">
            <w:pPr>
              <w:jc w:val="center"/>
            </w:pPr>
            <w:r>
              <w:rPr>
                <w:color w:val="000000"/>
                <w:sz w:val="24"/>
              </w:rPr>
              <w:t>300760</w:t>
            </w:r>
          </w:p>
        </w:tc>
        <w:tc>
          <w:tcPr>
            <w:tcW w:w="1559" w:type="dxa"/>
            <w:vAlign w:val="center"/>
          </w:tcPr>
          <w:p w:rsidR="00777D6F" w:rsidRDefault="00843846">
            <w:pPr>
              <w:jc w:val="center"/>
            </w:pPr>
            <w:r>
              <w:rPr>
                <w:color w:val="000000"/>
                <w:sz w:val="24"/>
              </w:rPr>
              <w:t>迈瑞医疗</w:t>
            </w:r>
          </w:p>
        </w:tc>
        <w:tc>
          <w:tcPr>
            <w:tcW w:w="1843" w:type="dxa"/>
            <w:vAlign w:val="center"/>
          </w:tcPr>
          <w:p w:rsidR="00777D6F" w:rsidRDefault="00843846">
            <w:pPr>
              <w:jc w:val="right"/>
            </w:pPr>
            <w:r>
              <w:rPr>
                <w:color w:val="000000"/>
                <w:sz w:val="24"/>
              </w:rPr>
              <w:t>215,900</w:t>
            </w:r>
          </w:p>
        </w:tc>
        <w:tc>
          <w:tcPr>
            <w:tcW w:w="2268" w:type="dxa"/>
            <w:vAlign w:val="center"/>
          </w:tcPr>
          <w:p w:rsidR="00777D6F" w:rsidRDefault="00843846">
            <w:pPr>
              <w:jc w:val="right"/>
            </w:pPr>
            <w:r>
              <w:rPr>
                <w:color w:val="000000"/>
                <w:sz w:val="24"/>
              </w:rPr>
              <w:t>56,501,030.00</w:t>
            </w:r>
          </w:p>
        </w:tc>
        <w:tc>
          <w:tcPr>
            <w:tcW w:w="1134" w:type="dxa"/>
            <w:vAlign w:val="center"/>
          </w:tcPr>
          <w:p w:rsidR="00777D6F" w:rsidRDefault="00843846">
            <w:pPr>
              <w:jc w:val="right"/>
            </w:pPr>
            <w:r>
              <w:rPr>
                <w:color w:val="000000"/>
                <w:sz w:val="24"/>
              </w:rPr>
              <w:t>9.19</w:t>
            </w:r>
          </w:p>
        </w:tc>
      </w:tr>
      <w:tr w:rsidR="00777D6F">
        <w:tc>
          <w:tcPr>
            <w:tcW w:w="817" w:type="dxa"/>
            <w:vAlign w:val="center"/>
          </w:tcPr>
          <w:p w:rsidR="00777D6F" w:rsidRDefault="00843846">
            <w:pPr>
              <w:jc w:val="center"/>
            </w:pPr>
            <w:r>
              <w:rPr>
                <w:color w:val="000000"/>
                <w:sz w:val="24"/>
              </w:rPr>
              <w:t>2</w:t>
            </w:r>
          </w:p>
        </w:tc>
        <w:tc>
          <w:tcPr>
            <w:tcW w:w="1276" w:type="dxa"/>
            <w:vAlign w:val="center"/>
          </w:tcPr>
          <w:p w:rsidR="00777D6F" w:rsidRDefault="00843846">
            <w:pPr>
              <w:jc w:val="center"/>
            </w:pPr>
            <w:r>
              <w:rPr>
                <w:color w:val="000000"/>
                <w:sz w:val="24"/>
              </w:rPr>
              <w:t>300750</w:t>
            </w:r>
          </w:p>
        </w:tc>
        <w:tc>
          <w:tcPr>
            <w:tcW w:w="1559" w:type="dxa"/>
            <w:vAlign w:val="center"/>
          </w:tcPr>
          <w:p w:rsidR="00777D6F" w:rsidRDefault="00843846">
            <w:pPr>
              <w:jc w:val="center"/>
            </w:pPr>
            <w:r>
              <w:rPr>
                <w:color w:val="000000"/>
                <w:sz w:val="24"/>
              </w:rPr>
              <w:t>宁德时代</w:t>
            </w:r>
          </w:p>
        </w:tc>
        <w:tc>
          <w:tcPr>
            <w:tcW w:w="1843" w:type="dxa"/>
            <w:vAlign w:val="center"/>
          </w:tcPr>
          <w:p w:rsidR="00777D6F" w:rsidRDefault="00843846">
            <w:pPr>
              <w:jc w:val="right"/>
            </w:pPr>
            <w:r>
              <w:rPr>
                <w:color w:val="000000"/>
                <w:sz w:val="24"/>
              </w:rPr>
              <w:t>441,800</w:t>
            </w:r>
          </w:p>
        </w:tc>
        <w:tc>
          <w:tcPr>
            <w:tcW w:w="2268" w:type="dxa"/>
            <w:vAlign w:val="center"/>
          </w:tcPr>
          <w:p w:rsidR="00777D6F" w:rsidRDefault="00843846">
            <w:pPr>
              <w:jc w:val="right"/>
            </w:pPr>
            <w:r>
              <w:rPr>
                <w:color w:val="000000"/>
                <w:sz w:val="24"/>
              </w:rPr>
              <w:t>53,188,302.00</w:t>
            </w:r>
          </w:p>
        </w:tc>
        <w:tc>
          <w:tcPr>
            <w:tcW w:w="1134" w:type="dxa"/>
            <w:vAlign w:val="center"/>
          </w:tcPr>
          <w:p w:rsidR="00777D6F" w:rsidRDefault="00843846">
            <w:pPr>
              <w:jc w:val="right"/>
            </w:pPr>
            <w:r>
              <w:rPr>
                <w:color w:val="000000"/>
                <w:sz w:val="24"/>
              </w:rPr>
              <w:t>8.65</w:t>
            </w:r>
          </w:p>
        </w:tc>
      </w:tr>
      <w:tr w:rsidR="00777D6F">
        <w:tc>
          <w:tcPr>
            <w:tcW w:w="817" w:type="dxa"/>
            <w:vAlign w:val="center"/>
          </w:tcPr>
          <w:p w:rsidR="00777D6F" w:rsidRDefault="00843846">
            <w:pPr>
              <w:jc w:val="center"/>
            </w:pPr>
            <w:r>
              <w:rPr>
                <w:color w:val="000000"/>
                <w:sz w:val="24"/>
              </w:rPr>
              <w:t>3</w:t>
            </w:r>
          </w:p>
        </w:tc>
        <w:tc>
          <w:tcPr>
            <w:tcW w:w="1276" w:type="dxa"/>
            <w:vAlign w:val="center"/>
          </w:tcPr>
          <w:p w:rsidR="00777D6F" w:rsidRDefault="00843846">
            <w:pPr>
              <w:jc w:val="center"/>
            </w:pPr>
            <w:r>
              <w:rPr>
                <w:color w:val="000000"/>
                <w:sz w:val="24"/>
              </w:rPr>
              <w:t>300059</w:t>
            </w:r>
          </w:p>
        </w:tc>
        <w:tc>
          <w:tcPr>
            <w:tcW w:w="1559" w:type="dxa"/>
            <w:vAlign w:val="center"/>
          </w:tcPr>
          <w:p w:rsidR="00777D6F" w:rsidRDefault="00843846">
            <w:pPr>
              <w:jc w:val="center"/>
            </w:pPr>
            <w:r>
              <w:rPr>
                <w:color w:val="000000"/>
                <w:sz w:val="24"/>
              </w:rPr>
              <w:t>东方财富</w:t>
            </w:r>
          </w:p>
        </w:tc>
        <w:tc>
          <w:tcPr>
            <w:tcW w:w="1843" w:type="dxa"/>
            <w:vAlign w:val="center"/>
          </w:tcPr>
          <w:p w:rsidR="00777D6F" w:rsidRDefault="00843846">
            <w:pPr>
              <w:jc w:val="right"/>
            </w:pPr>
            <w:r>
              <w:rPr>
                <w:color w:val="000000"/>
                <w:sz w:val="24"/>
              </w:rPr>
              <w:t>2,732,135</w:t>
            </w:r>
          </w:p>
        </w:tc>
        <w:tc>
          <w:tcPr>
            <w:tcW w:w="2268" w:type="dxa"/>
            <w:vAlign w:val="center"/>
          </w:tcPr>
          <w:p w:rsidR="00777D6F" w:rsidRDefault="00843846">
            <w:pPr>
              <w:jc w:val="right"/>
            </w:pPr>
            <w:r>
              <w:rPr>
                <w:color w:val="000000"/>
                <w:sz w:val="24"/>
              </w:rPr>
              <w:t>43,850,766.75</w:t>
            </w:r>
          </w:p>
        </w:tc>
        <w:tc>
          <w:tcPr>
            <w:tcW w:w="1134" w:type="dxa"/>
            <w:vAlign w:val="center"/>
          </w:tcPr>
          <w:p w:rsidR="00777D6F" w:rsidRDefault="00843846">
            <w:pPr>
              <w:jc w:val="right"/>
            </w:pPr>
            <w:r>
              <w:rPr>
                <w:color w:val="000000"/>
                <w:sz w:val="24"/>
              </w:rPr>
              <w:t>7.13</w:t>
            </w:r>
          </w:p>
        </w:tc>
      </w:tr>
      <w:tr w:rsidR="00777D6F">
        <w:tc>
          <w:tcPr>
            <w:tcW w:w="817" w:type="dxa"/>
            <w:vAlign w:val="center"/>
          </w:tcPr>
          <w:p w:rsidR="00777D6F" w:rsidRDefault="00843846">
            <w:pPr>
              <w:jc w:val="center"/>
            </w:pPr>
            <w:r>
              <w:rPr>
                <w:color w:val="000000"/>
                <w:sz w:val="24"/>
              </w:rPr>
              <w:t>4</w:t>
            </w:r>
          </w:p>
        </w:tc>
        <w:tc>
          <w:tcPr>
            <w:tcW w:w="1276" w:type="dxa"/>
            <w:vAlign w:val="center"/>
          </w:tcPr>
          <w:p w:rsidR="00777D6F" w:rsidRDefault="00843846">
            <w:pPr>
              <w:jc w:val="center"/>
            </w:pPr>
            <w:r>
              <w:rPr>
                <w:color w:val="000000"/>
                <w:sz w:val="24"/>
              </w:rPr>
              <w:t>300015</w:t>
            </w:r>
          </w:p>
        </w:tc>
        <w:tc>
          <w:tcPr>
            <w:tcW w:w="1559" w:type="dxa"/>
            <w:vAlign w:val="center"/>
          </w:tcPr>
          <w:p w:rsidR="00777D6F" w:rsidRDefault="00843846">
            <w:pPr>
              <w:jc w:val="center"/>
            </w:pPr>
            <w:r>
              <w:rPr>
                <w:color w:val="000000"/>
                <w:sz w:val="24"/>
              </w:rPr>
              <w:t>爱尔眼科</w:t>
            </w:r>
          </w:p>
        </w:tc>
        <w:tc>
          <w:tcPr>
            <w:tcW w:w="1843" w:type="dxa"/>
            <w:vAlign w:val="center"/>
          </w:tcPr>
          <w:p w:rsidR="00777D6F" w:rsidRDefault="00843846">
            <w:pPr>
              <w:jc w:val="right"/>
            </w:pPr>
            <w:r>
              <w:rPr>
                <w:color w:val="000000"/>
                <w:sz w:val="24"/>
              </w:rPr>
              <w:t>698,244</w:t>
            </w:r>
          </w:p>
        </w:tc>
        <w:tc>
          <w:tcPr>
            <w:tcW w:w="2268" w:type="dxa"/>
            <w:vAlign w:val="center"/>
          </w:tcPr>
          <w:p w:rsidR="00777D6F" w:rsidRDefault="00843846">
            <w:pPr>
              <w:jc w:val="right"/>
            </w:pPr>
            <w:r>
              <w:rPr>
                <w:color w:val="000000"/>
                <w:sz w:val="24"/>
              </w:rPr>
              <w:t>27,496,848.72</w:t>
            </w:r>
          </w:p>
        </w:tc>
        <w:tc>
          <w:tcPr>
            <w:tcW w:w="1134" w:type="dxa"/>
            <w:vAlign w:val="center"/>
          </w:tcPr>
          <w:p w:rsidR="00777D6F" w:rsidRDefault="00843846">
            <w:pPr>
              <w:jc w:val="right"/>
            </w:pPr>
            <w:r>
              <w:rPr>
                <w:color w:val="000000"/>
                <w:sz w:val="24"/>
              </w:rPr>
              <w:t>4.47</w:t>
            </w:r>
          </w:p>
        </w:tc>
      </w:tr>
      <w:tr w:rsidR="00777D6F">
        <w:tc>
          <w:tcPr>
            <w:tcW w:w="817" w:type="dxa"/>
            <w:vAlign w:val="center"/>
          </w:tcPr>
          <w:p w:rsidR="00777D6F" w:rsidRDefault="00843846">
            <w:pPr>
              <w:jc w:val="center"/>
            </w:pPr>
            <w:r>
              <w:rPr>
                <w:color w:val="000000"/>
                <w:sz w:val="24"/>
              </w:rPr>
              <w:t>5</w:t>
            </w:r>
          </w:p>
        </w:tc>
        <w:tc>
          <w:tcPr>
            <w:tcW w:w="1276" w:type="dxa"/>
            <w:vAlign w:val="center"/>
          </w:tcPr>
          <w:p w:rsidR="00777D6F" w:rsidRDefault="00843846">
            <w:pPr>
              <w:jc w:val="center"/>
            </w:pPr>
            <w:r>
              <w:rPr>
                <w:color w:val="000000"/>
                <w:sz w:val="24"/>
              </w:rPr>
              <w:t>300003</w:t>
            </w:r>
          </w:p>
        </w:tc>
        <w:tc>
          <w:tcPr>
            <w:tcW w:w="1559" w:type="dxa"/>
            <w:vAlign w:val="center"/>
          </w:tcPr>
          <w:p w:rsidR="00777D6F" w:rsidRDefault="00843846">
            <w:pPr>
              <w:jc w:val="center"/>
            </w:pPr>
            <w:r>
              <w:rPr>
                <w:color w:val="000000"/>
                <w:sz w:val="24"/>
              </w:rPr>
              <w:t>乐普医疗</w:t>
            </w:r>
          </w:p>
        </w:tc>
        <w:tc>
          <w:tcPr>
            <w:tcW w:w="1843" w:type="dxa"/>
            <w:vAlign w:val="center"/>
          </w:tcPr>
          <w:p w:rsidR="00777D6F" w:rsidRDefault="00843846">
            <w:pPr>
              <w:jc w:val="right"/>
            </w:pPr>
            <w:r>
              <w:rPr>
                <w:color w:val="000000"/>
                <w:sz w:val="24"/>
              </w:rPr>
              <w:t>614,941</w:t>
            </w:r>
          </w:p>
        </w:tc>
        <w:tc>
          <w:tcPr>
            <w:tcW w:w="2268" w:type="dxa"/>
            <w:vAlign w:val="center"/>
          </w:tcPr>
          <w:p w:rsidR="00777D6F" w:rsidRDefault="00843846">
            <w:pPr>
              <w:jc w:val="right"/>
            </w:pPr>
            <w:r>
              <w:rPr>
                <w:color w:val="000000"/>
                <w:sz w:val="24"/>
              </w:rPr>
              <w:t>22,273,163.02</w:t>
            </w:r>
          </w:p>
        </w:tc>
        <w:tc>
          <w:tcPr>
            <w:tcW w:w="1134" w:type="dxa"/>
            <w:vAlign w:val="center"/>
          </w:tcPr>
          <w:p w:rsidR="00777D6F" w:rsidRDefault="00843846">
            <w:pPr>
              <w:jc w:val="right"/>
            </w:pPr>
            <w:r>
              <w:rPr>
                <w:color w:val="000000"/>
                <w:sz w:val="24"/>
              </w:rPr>
              <w:t>3.62</w:t>
            </w:r>
          </w:p>
        </w:tc>
      </w:tr>
      <w:tr w:rsidR="00777D6F">
        <w:tc>
          <w:tcPr>
            <w:tcW w:w="817" w:type="dxa"/>
            <w:vAlign w:val="center"/>
          </w:tcPr>
          <w:p w:rsidR="00777D6F" w:rsidRDefault="00843846">
            <w:pPr>
              <w:jc w:val="center"/>
            </w:pPr>
            <w:r>
              <w:rPr>
                <w:color w:val="000000"/>
                <w:sz w:val="24"/>
              </w:rPr>
              <w:t>6</w:t>
            </w:r>
          </w:p>
        </w:tc>
        <w:tc>
          <w:tcPr>
            <w:tcW w:w="1276" w:type="dxa"/>
            <w:vAlign w:val="center"/>
          </w:tcPr>
          <w:p w:rsidR="00777D6F" w:rsidRDefault="00843846">
            <w:pPr>
              <w:jc w:val="center"/>
            </w:pPr>
            <w:r>
              <w:rPr>
                <w:color w:val="000000"/>
                <w:sz w:val="24"/>
              </w:rPr>
              <w:t>300142</w:t>
            </w:r>
          </w:p>
        </w:tc>
        <w:tc>
          <w:tcPr>
            <w:tcW w:w="1559" w:type="dxa"/>
            <w:vAlign w:val="center"/>
          </w:tcPr>
          <w:p w:rsidR="00777D6F" w:rsidRDefault="00843846">
            <w:pPr>
              <w:jc w:val="center"/>
            </w:pPr>
            <w:r>
              <w:rPr>
                <w:color w:val="000000"/>
                <w:sz w:val="24"/>
              </w:rPr>
              <w:t>沃森生物</w:t>
            </w:r>
          </w:p>
        </w:tc>
        <w:tc>
          <w:tcPr>
            <w:tcW w:w="1843" w:type="dxa"/>
            <w:vAlign w:val="center"/>
          </w:tcPr>
          <w:p w:rsidR="00777D6F" w:rsidRDefault="00843846">
            <w:pPr>
              <w:jc w:val="right"/>
            </w:pPr>
            <w:r>
              <w:rPr>
                <w:color w:val="000000"/>
                <w:sz w:val="24"/>
              </w:rPr>
              <w:t>678,598</w:t>
            </w:r>
          </w:p>
        </w:tc>
        <w:tc>
          <w:tcPr>
            <w:tcW w:w="2268" w:type="dxa"/>
            <w:vAlign w:val="center"/>
          </w:tcPr>
          <w:p w:rsidR="00777D6F" w:rsidRDefault="00843846">
            <w:pPr>
              <w:jc w:val="right"/>
            </w:pPr>
            <w:r>
              <w:rPr>
                <w:color w:val="000000"/>
                <w:sz w:val="24"/>
              </w:rPr>
              <w:t>21,484,412.68</w:t>
            </w:r>
          </w:p>
        </w:tc>
        <w:tc>
          <w:tcPr>
            <w:tcW w:w="1134" w:type="dxa"/>
            <w:vAlign w:val="center"/>
          </w:tcPr>
          <w:p w:rsidR="00777D6F" w:rsidRDefault="00843846">
            <w:pPr>
              <w:jc w:val="right"/>
            </w:pPr>
            <w:r>
              <w:rPr>
                <w:color w:val="000000"/>
                <w:sz w:val="24"/>
              </w:rPr>
              <w:t>3.50</w:t>
            </w:r>
          </w:p>
        </w:tc>
      </w:tr>
      <w:tr w:rsidR="00777D6F">
        <w:tc>
          <w:tcPr>
            <w:tcW w:w="817" w:type="dxa"/>
            <w:vAlign w:val="center"/>
          </w:tcPr>
          <w:p w:rsidR="00777D6F" w:rsidRDefault="00843846">
            <w:pPr>
              <w:jc w:val="center"/>
            </w:pPr>
            <w:r>
              <w:rPr>
                <w:color w:val="000000"/>
                <w:sz w:val="24"/>
              </w:rPr>
              <w:t>7</w:t>
            </w:r>
          </w:p>
        </w:tc>
        <w:tc>
          <w:tcPr>
            <w:tcW w:w="1276" w:type="dxa"/>
            <w:vAlign w:val="center"/>
          </w:tcPr>
          <w:p w:rsidR="00777D6F" w:rsidRDefault="00843846">
            <w:pPr>
              <w:jc w:val="center"/>
            </w:pPr>
            <w:r>
              <w:rPr>
                <w:color w:val="000000"/>
                <w:sz w:val="24"/>
              </w:rPr>
              <w:t>300122</w:t>
            </w:r>
          </w:p>
        </w:tc>
        <w:tc>
          <w:tcPr>
            <w:tcW w:w="1559" w:type="dxa"/>
            <w:vAlign w:val="center"/>
          </w:tcPr>
          <w:p w:rsidR="00777D6F" w:rsidRDefault="00843846">
            <w:pPr>
              <w:jc w:val="center"/>
            </w:pPr>
            <w:r>
              <w:rPr>
                <w:color w:val="000000"/>
                <w:sz w:val="24"/>
              </w:rPr>
              <w:t>智飞生物</w:t>
            </w:r>
          </w:p>
        </w:tc>
        <w:tc>
          <w:tcPr>
            <w:tcW w:w="1843" w:type="dxa"/>
            <w:vAlign w:val="center"/>
          </w:tcPr>
          <w:p w:rsidR="00777D6F" w:rsidRDefault="00843846">
            <w:pPr>
              <w:jc w:val="right"/>
            </w:pPr>
            <w:r>
              <w:rPr>
                <w:color w:val="000000"/>
                <w:sz w:val="24"/>
              </w:rPr>
              <w:t>273,903</w:t>
            </w:r>
          </w:p>
        </w:tc>
        <w:tc>
          <w:tcPr>
            <w:tcW w:w="2268" w:type="dxa"/>
            <w:vAlign w:val="center"/>
          </w:tcPr>
          <w:p w:rsidR="00777D6F" w:rsidRDefault="00843846">
            <w:pPr>
              <w:jc w:val="right"/>
            </w:pPr>
            <w:r>
              <w:rPr>
                <w:color w:val="000000"/>
                <w:sz w:val="24"/>
              </w:rPr>
              <w:t>18,458,323.17</w:t>
            </w:r>
          </w:p>
        </w:tc>
        <w:tc>
          <w:tcPr>
            <w:tcW w:w="1134" w:type="dxa"/>
            <w:vAlign w:val="center"/>
          </w:tcPr>
          <w:p w:rsidR="00777D6F" w:rsidRDefault="00843846">
            <w:pPr>
              <w:jc w:val="right"/>
            </w:pPr>
            <w:r>
              <w:rPr>
                <w:color w:val="000000"/>
                <w:sz w:val="24"/>
              </w:rPr>
              <w:t>3.00</w:t>
            </w:r>
          </w:p>
        </w:tc>
      </w:tr>
      <w:tr w:rsidR="00777D6F">
        <w:tc>
          <w:tcPr>
            <w:tcW w:w="817" w:type="dxa"/>
            <w:vAlign w:val="center"/>
          </w:tcPr>
          <w:p w:rsidR="00777D6F" w:rsidRDefault="00843846">
            <w:pPr>
              <w:jc w:val="center"/>
            </w:pPr>
            <w:r>
              <w:rPr>
                <w:color w:val="000000"/>
                <w:sz w:val="24"/>
              </w:rPr>
              <w:t>8</w:t>
            </w:r>
          </w:p>
        </w:tc>
        <w:tc>
          <w:tcPr>
            <w:tcW w:w="1276" w:type="dxa"/>
            <w:vAlign w:val="center"/>
          </w:tcPr>
          <w:p w:rsidR="00777D6F" w:rsidRDefault="00843846">
            <w:pPr>
              <w:jc w:val="center"/>
            </w:pPr>
            <w:r>
              <w:rPr>
                <w:color w:val="000000"/>
                <w:sz w:val="24"/>
              </w:rPr>
              <w:t>300347</w:t>
            </w:r>
          </w:p>
        </w:tc>
        <w:tc>
          <w:tcPr>
            <w:tcW w:w="1559" w:type="dxa"/>
            <w:vAlign w:val="center"/>
          </w:tcPr>
          <w:p w:rsidR="00777D6F" w:rsidRDefault="00843846">
            <w:pPr>
              <w:jc w:val="center"/>
            </w:pPr>
            <w:r>
              <w:rPr>
                <w:color w:val="000000"/>
                <w:sz w:val="24"/>
              </w:rPr>
              <w:t>泰格医药</w:t>
            </w:r>
          </w:p>
        </w:tc>
        <w:tc>
          <w:tcPr>
            <w:tcW w:w="1843" w:type="dxa"/>
            <w:vAlign w:val="center"/>
          </w:tcPr>
          <w:p w:rsidR="00777D6F" w:rsidRDefault="00843846">
            <w:pPr>
              <w:jc w:val="right"/>
            </w:pPr>
            <w:r>
              <w:rPr>
                <w:color w:val="000000"/>
                <w:sz w:val="24"/>
              </w:rPr>
              <w:t>274,150</w:t>
            </w:r>
          </w:p>
        </w:tc>
        <w:tc>
          <w:tcPr>
            <w:tcW w:w="2268" w:type="dxa"/>
            <w:vAlign w:val="center"/>
          </w:tcPr>
          <w:p w:rsidR="00777D6F" w:rsidRDefault="00843846">
            <w:pPr>
              <w:jc w:val="right"/>
            </w:pPr>
            <w:r>
              <w:rPr>
                <w:color w:val="000000"/>
                <w:sz w:val="24"/>
              </w:rPr>
              <w:t>17,559,307.50</w:t>
            </w:r>
          </w:p>
        </w:tc>
        <w:tc>
          <w:tcPr>
            <w:tcW w:w="1134" w:type="dxa"/>
            <w:vAlign w:val="center"/>
          </w:tcPr>
          <w:p w:rsidR="00777D6F" w:rsidRDefault="00843846">
            <w:pPr>
              <w:jc w:val="right"/>
            </w:pPr>
            <w:r>
              <w:rPr>
                <w:color w:val="000000"/>
                <w:sz w:val="24"/>
              </w:rPr>
              <w:t>2.86</w:t>
            </w:r>
          </w:p>
        </w:tc>
      </w:tr>
      <w:tr w:rsidR="00777D6F">
        <w:tc>
          <w:tcPr>
            <w:tcW w:w="817" w:type="dxa"/>
            <w:vAlign w:val="center"/>
          </w:tcPr>
          <w:p w:rsidR="00777D6F" w:rsidRDefault="00843846">
            <w:pPr>
              <w:jc w:val="center"/>
            </w:pPr>
            <w:r>
              <w:rPr>
                <w:color w:val="000000"/>
                <w:sz w:val="24"/>
              </w:rPr>
              <w:t>9</w:t>
            </w:r>
          </w:p>
        </w:tc>
        <w:tc>
          <w:tcPr>
            <w:tcW w:w="1276" w:type="dxa"/>
            <w:vAlign w:val="center"/>
          </w:tcPr>
          <w:p w:rsidR="00777D6F" w:rsidRDefault="00843846">
            <w:pPr>
              <w:jc w:val="center"/>
            </w:pPr>
            <w:r>
              <w:rPr>
                <w:color w:val="000000"/>
                <w:sz w:val="24"/>
              </w:rPr>
              <w:t>300601</w:t>
            </w:r>
          </w:p>
        </w:tc>
        <w:tc>
          <w:tcPr>
            <w:tcW w:w="1559" w:type="dxa"/>
            <w:vAlign w:val="center"/>
          </w:tcPr>
          <w:p w:rsidR="00777D6F" w:rsidRDefault="00843846">
            <w:pPr>
              <w:jc w:val="center"/>
            </w:pPr>
            <w:r>
              <w:rPr>
                <w:color w:val="000000"/>
                <w:sz w:val="24"/>
              </w:rPr>
              <w:t>康泰生物</w:t>
            </w:r>
          </w:p>
        </w:tc>
        <w:tc>
          <w:tcPr>
            <w:tcW w:w="1843" w:type="dxa"/>
            <w:vAlign w:val="center"/>
          </w:tcPr>
          <w:p w:rsidR="00777D6F" w:rsidRDefault="00843846">
            <w:pPr>
              <w:jc w:val="right"/>
            </w:pPr>
            <w:r>
              <w:rPr>
                <w:color w:val="000000"/>
                <w:sz w:val="24"/>
              </w:rPr>
              <w:t>151,080</w:t>
            </w:r>
          </w:p>
        </w:tc>
        <w:tc>
          <w:tcPr>
            <w:tcW w:w="2268" w:type="dxa"/>
            <w:vAlign w:val="center"/>
          </w:tcPr>
          <w:p w:rsidR="00777D6F" w:rsidRDefault="00843846">
            <w:pPr>
              <w:jc w:val="right"/>
            </w:pPr>
            <w:r>
              <w:rPr>
                <w:color w:val="000000"/>
                <w:sz w:val="24"/>
              </w:rPr>
              <w:t>17,313,768.00</w:t>
            </w:r>
          </w:p>
        </w:tc>
        <w:tc>
          <w:tcPr>
            <w:tcW w:w="1134" w:type="dxa"/>
            <w:vAlign w:val="center"/>
          </w:tcPr>
          <w:p w:rsidR="00777D6F" w:rsidRDefault="00843846">
            <w:pPr>
              <w:jc w:val="right"/>
            </w:pPr>
            <w:r>
              <w:rPr>
                <w:color w:val="000000"/>
                <w:sz w:val="24"/>
              </w:rPr>
              <w:t>2.82</w:t>
            </w:r>
          </w:p>
        </w:tc>
      </w:tr>
      <w:tr w:rsidR="00777D6F">
        <w:tc>
          <w:tcPr>
            <w:tcW w:w="817" w:type="dxa"/>
            <w:vAlign w:val="center"/>
          </w:tcPr>
          <w:p w:rsidR="00777D6F" w:rsidRDefault="00843846">
            <w:pPr>
              <w:jc w:val="center"/>
            </w:pPr>
            <w:r>
              <w:rPr>
                <w:color w:val="000000"/>
                <w:sz w:val="24"/>
              </w:rPr>
              <w:t>10</w:t>
            </w:r>
          </w:p>
        </w:tc>
        <w:tc>
          <w:tcPr>
            <w:tcW w:w="1276" w:type="dxa"/>
            <w:vAlign w:val="center"/>
          </w:tcPr>
          <w:p w:rsidR="00777D6F" w:rsidRDefault="00843846">
            <w:pPr>
              <w:jc w:val="center"/>
            </w:pPr>
            <w:r>
              <w:rPr>
                <w:color w:val="000000"/>
                <w:sz w:val="24"/>
              </w:rPr>
              <w:t>300014</w:t>
            </w:r>
          </w:p>
        </w:tc>
        <w:tc>
          <w:tcPr>
            <w:tcW w:w="1559" w:type="dxa"/>
            <w:vAlign w:val="center"/>
          </w:tcPr>
          <w:p w:rsidR="00777D6F" w:rsidRDefault="00843846">
            <w:pPr>
              <w:jc w:val="center"/>
            </w:pPr>
            <w:r>
              <w:rPr>
                <w:color w:val="000000"/>
                <w:sz w:val="24"/>
              </w:rPr>
              <w:t>亿纬锂能</w:t>
            </w:r>
          </w:p>
        </w:tc>
        <w:tc>
          <w:tcPr>
            <w:tcW w:w="1843" w:type="dxa"/>
            <w:vAlign w:val="center"/>
          </w:tcPr>
          <w:p w:rsidR="00777D6F" w:rsidRDefault="00843846">
            <w:pPr>
              <w:jc w:val="right"/>
            </w:pPr>
            <w:r>
              <w:rPr>
                <w:color w:val="000000"/>
                <w:sz w:val="24"/>
              </w:rPr>
              <w:t>279,400</w:t>
            </w:r>
          </w:p>
        </w:tc>
        <w:tc>
          <w:tcPr>
            <w:tcW w:w="2268" w:type="dxa"/>
            <w:vAlign w:val="center"/>
          </w:tcPr>
          <w:p w:rsidR="00777D6F" w:rsidRDefault="00843846">
            <w:pPr>
              <w:jc w:val="right"/>
            </w:pPr>
            <w:r>
              <w:rPr>
                <w:color w:val="000000"/>
                <w:sz w:val="24"/>
              </w:rPr>
              <w:t>16,235,934.00</w:t>
            </w:r>
          </w:p>
        </w:tc>
        <w:tc>
          <w:tcPr>
            <w:tcW w:w="1134" w:type="dxa"/>
            <w:vAlign w:val="center"/>
          </w:tcPr>
          <w:p w:rsidR="00777D6F" w:rsidRDefault="00843846">
            <w:pPr>
              <w:jc w:val="right"/>
            </w:pPr>
            <w:r>
              <w:rPr>
                <w:color w:val="000000"/>
                <w:sz w:val="24"/>
              </w:rPr>
              <w:t>2.64</w:t>
            </w:r>
          </w:p>
        </w:tc>
      </w:tr>
    </w:tbl>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5.3.2</w:t>
      </w:r>
      <w:r w:rsidRPr="00045BEC">
        <w:rPr>
          <w:rFonts w:ascii="宋体" w:hAnsi="宋体" w:cs="Arial" w:hint="eastAsia"/>
          <w:b/>
          <w:color w:val="000000"/>
          <w:kern w:val="0"/>
          <w:sz w:val="24"/>
        </w:rPr>
        <w:t>期末</w:t>
      </w:r>
      <w:r w:rsidRPr="00045BEC">
        <w:rPr>
          <w:rFonts w:ascii="宋体" w:hAnsi="宋体" w:hint="eastAsia"/>
          <w:b/>
          <w:sz w:val="24"/>
        </w:rPr>
        <w:t>积极投资按公允价值占基金资产净值比例大小排序的前五名股票投资明细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843"/>
        <w:gridCol w:w="2126"/>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7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126"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777D6F">
        <w:tc>
          <w:tcPr>
            <w:tcW w:w="817" w:type="dxa"/>
            <w:vAlign w:val="center"/>
          </w:tcPr>
          <w:p w:rsidR="00777D6F" w:rsidRDefault="00843846">
            <w:pPr>
              <w:jc w:val="center"/>
            </w:pPr>
            <w:r>
              <w:rPr>
                <w:color w:val="000000"/>
                <w:sz w:val="24"/>
              </w:rPr>
              <w:t>1</w:t>
            </w:r>
          </w:p>
        </w:tc>
        <w:tc>
          <w:tcPr>
            <w:tcW w:w="1276" w:type="dxa"/>
            <w:vAlign w:val="center"/>
          </w:tcPr>
          <w:p w:rsidR="00777D6F" w:rsidRDefault="00843846">
            <w:pPr>
              <w:jc w:val="center"/>
            </w:pPr>
            <w:r>
              <w:rPr>
                <w:color w:val="000000"/>
                <w:sz w:val="24"/>
              </w:rPr>
              <w:t>300413</w:t>
            </w:r>
          </w:p>
        </w:tc>
        <w:tc>
          <w:tcPr>
            <w:tcW w:w="1701" w:type="dxa"/>
            <w:vAlign w:val="center"/>
          </w:tcPr>
          <w:p w:rsidR="00777D6F" w:rsidRDefault="00843846">
            <w:pPr>
              <w:jc w:val="center"/>
            </w:pPr>
            <w:r>
              <w:rPr>
                <w:color w:val="000000"/>
                <w:sz w:val="24"/>
              </w:rPr>
              <w:t>芒果超媒</w:t>
            </w:r>
          </w:p>
        </w:tc>
        <w:tc>
          <w:tcPr>
            <w:tcW w:w="1843" w:type="dxa"/>
            <w:vAlign w:val="center"/>
          </w:tcPr>
          <w:p w:rsidR="00777D6F" w:rsidRDefault="00843846">
            <w:pPr>
              <w:jc w:val="right"/>
            </w:pPr>
            <w:r>
              <w:rPr>
                <w:color w:val="000000"/>
                <w:sz w:val="24"/>
              </w:rPr>
              <w:t>320,000</w:t>
            </w:r>
          </w:p>
        </w:tc>
        <w:tc>
          <w:tcPr>
            <w:tcW w:w="2126" w:type="dxa"/>
            <w:vAlign w:val="center"/>
          </w:tcPr>
          <w:p w:rsidR="00777D6F" w:rsidRDefault="00843846">
            <w:pPr>
              <w:jc w:val="right"/>
            </w:pPr>
            <w:r>
              <w:rPr>
                <w:color w:val="000000"/>
                <w:sz w:val="24"/>
              </w:rPr>
              <w:t>12,953,600.00</w:t>
            </w:r>
          </w:p>
        </w:tc>
        <w:tc>
          <w:tcPr>
            <w:tcW w:w="1134" w:type="dxa"/>
            <w:vAlign w:val="center"/>
          </w:tcPr>
          <w:p w:rsidR="00777D6F" w:rsidRDefault="00843846">
            <w:pPr>
              <w:jc w:val="right"/>
            </w:pPr>
            <w:r>
              <w:rPr>
                <w:color w:val="000000"/>
                <w:sz w:val="24"/>
              </w:rPr>
              <w:t>2.11</w:t>
            </w:r>
          </w:p>
        </w:tc>
      </w:tr>
      <w:tr w:rsidR="00777D6F">
        <w:tc>
          <w:tcPr>
            <w:tcW w:w="817" w:type="dxa"/>
            <w:vAlign w:val="center"/>
          </w:tcPr>
          <w:p w:rsidR="00777D6F" w:rsidRDefault="00843846">
            <w:pPr>
              <w:jc w:val="center"/>
            </w:pPr>
            <w:r>
              <w:rPr>
                <w:color w:val="000000"/>
                <w:sz w:val="24"/>
              </w:rPr>
              <w:t>2</w:t>
            </w:r>
          </w:p>
        </w:tc>
        <w:tc>
          <w:tcPr>
            <w:tcW w:w="1276" w:type="dxa"/>
            <w:vAlign w:val="center"/>
          </w:tcPr>
          <w:p w:rsidR="00777D6F" w:rsidRDefault="00843846">
            <w:pPr>
              <w:jc w:val="center"/>
            </w:pPr>
            <w:r>
              <w:rPr>
                <w:color w:val="000000"/>
                <w:sz w:val="24"/>
              </w:rPr>
              <w:t>300377</w:t>
            </w:r>
          </w:p>
        </w:tc>
        <w:tc>
          <w:tcPr>
            <w:tcW w:w="1701" w:type="dxa"/>
            <w:vAlign w:val="center"/>
          </w:tcPr>
          <w:p w:rsidR="00777D6F" w:rsidRDefault="00843846">
            <w:pPr>
              <w:jc w:val="center"/>
            </w:pPr>
            <w:r>
              <w:rPr>
                <w:color w:val="000000"/>
                <w:sz w:val="24"/>
              </w:rPr>
              <w:t>赢时胜</w:t>
            </w:r>
          </w:p>
        </w:tc>
        <w:tc>
          <w:tcPr>
            <w:tcW w:w="1843" w:type="dxa"/>
            <w:vAlign w:val="center"/>
          </w:tcPr>
          <w:p w:rsidR="00777D6F" w:rsidRDefault="00843846">
            <w:pPr>
              <w:jc w:val="right"/>
            </w:pPr>
            <w:r>
              <w:rPr>
                <w:color w:val="000000"/>
                <w:sz w:val="24"/>
              </w:rPr>
              <w:t>320,000</w:t>
            </w:r>
          </w:p>
        </w:tc>
        <w:tc>
          <w:tcPr>
            <w:tcW w:w="2126" w:type="dxa"/>
            <w:vAlign w:val="center"/>
          </w:tcPr>
          <w:p w:rsidR="00777D6F" w:rsidRDefault="00843846">
            <w:pPr>
              <w:jc w:val="right"/>
            </w:pPr>
            <w:r>
              <w:rPr>
                <w:color w:val="000000"/>
                <w:sz w:val="24"/>
              </w:rPr>
              <w:t>2,998,400.00</w:t>
            </w:r>
          </w:p>
        </w:tc>
        <w:tc>
          <w:tcPr>
            <w:tcW w:w="1134" w:type="dxa"/>
            <w:vAlign w:val="center"/>
          </w:tcPr>
          <w:p w:rsidR="00777D6F" w:rsidRDefault="00843846">
            <w:pPr>
              <w:jc w:val="right"/>
            </w:pPr>
            <w:r>
              <w:rPr>
                <w:color w:val="000000"/>
                <w:sz w:val="24"/>
              </w:rPr>
              <w:t>0.49</w:t>
            </w:r>
          </w:p>
        </w:tc>
      </w:tr>
      <w:tr w:rsidR="00777D6F">
        <w:tc>
          <w:tcPr>
            <w:tcW w:w="817" w:type="dxa"/>
            <w:vAlign w:val="center"/>
          </w:tcPr>
          <w:p w:rsidR="00777D6F" w:rsidRDefault="00843846">
            <w:pPr>
              <w:jc w:val="center"/>
            </w:pPr>
            <w:r>
              <w:rPr>
                <w:color w:val="000000"/>
                <w:sz w:val="24"/>
              </w:rPr>
              <w:t>3</w:t>
            </w:r>
          </w:p>
        </w:tc>
        <w:tc>
          <w:tcPr>
            <w:tcW w:w="1276" w:type="dxa"/>
            <w:vAlign w:val="center"/>
          </w:tcPr>
          <w:p w:rsidR="00777D6F" w:rsidRDefault="00843846">
            <w:pPr>
              <w:jc w:val="center"/>
            </w:pPr>
            <w:r>
              <w:rPr>
                <w:color w:val="000000"/>
                <w:sz w:val="24"/>
              </w:rPr>
              <w:t>300748</w:t>
            </w:r>
          </w:p>
        </w:tc>
        <w:tc>
          <w:tcPr>
            <w:tcW w:w="1701" w:type="dxa"/>
            <w:vAlign w:val="center"/>
          </w:tcPr>
          <w:p w:rsidR="00777D6F" w:rsidRDefault="00843846">
            <w:pPr>
              <w:jc w:val="center"/>
            </w:pPr>
            <w:r>
              <w:rPr>
                <w:color w:val="000000"/>
                <w:sz w:val="24"/>
              </w:rPr>
              <w:t>金力永磁</w:t>
            </w:r>
          </w:p>
        </w:tc>
        <w:tc>
          <w:tcPr>
            <w:tcW w:w="1843" w:type="dxa"/>
            <w:vAlign w:val="center"/>
          </w:tcPr>
          <w:p w:rsidR="00777D6F" w:rsidRDefault="00843846">
            <w:pPr>
              <w:jc w:val="right"/>
            </w:pPr>
            <w:r>
              <w:rPr>
                <w:color w:val="000000"/>
                <w:sz w:val="24"/>
              </w:rPr>
              <w:t>83,000</w:t>
            </w:r>
          </w:p>
        </w:tc>
        <w:tc>
          <w:tcPr>
            <w:tcW w:w="2126" w:type="dxa"/>
            <w:vAlign w:val="center"/>
          </w:tcPr>
          <w:p w:rsidR="00777D6F" w:rsidRDefault="00843846">
            <w:pPr>
              <w:jc w:val="right"/>
            </w:pPr>
            <w:r>
              <w:rPr>
                <w:color w:val="000000"/>
                <w:sz w:val="24"/>
              </w:rPr>
              <w:t>2,345,580.00</w:t>
            </w:r>
          </w:p>
        </w:tc>
        <w:tc>
          <w:tcPr>
            <w:tcW w:w="1134" w:type="dxa"/>
            <w:vAlign w:val="center"/>
          </w:tcPr>
          <w:p w:rsidR="00777D6F" w:rsidRDefault="00843846">
            <w:pPr>
              <w:jc w:val="right"/>
            </w:pPr>
            <w:r>
              <w:rPr>
                <w:color w:val="000000"/>
                <w:sz w:val="24"/>
              </w:rPr>
              <w:t>0.38</w:t>
            </w:r>
          </w:p>
        </w:tc>
      </w:tr>
      <w:tr w:rsidR="00777D6F">
        <w:tc>
          <w:tcPr>
            <w:tcW w:w="817" w:type="dxa"/>
            <w:vAlign w:val="center"/>
          </w:tcPr>
          <w:p w:rsidR="00777D6F" w:rsidRDefault="00843846">
            <w:pPr>
              <w:jc w:val="center"/>
            </w:pPr>
            <w:r>
              <w:rPr>
                <w:color w:val="000000"/>
                <w:sz w:val="24"/>
              </w:rPr>
              <w:t>4</w:t>
            </w:r>
          </w:p>
        </w:tc>
        <w:tc>
          <w:tcPr>
            <w:tcW w:w="1276" w:type="dxa"/>
            <w:vAlign w:val="center"/>
          </w:tcPr>
          <w:p w:rsidR="00777D6F" w:rsidRDefault="00843846">
            <w:pPr>
              <w:jc w:val="center"/>
            </w:pPr>
            <w:r>
              <w:rPr>
                <w:color w:val="000000"/>
                <w:sz w:val="24"/>
              </w:rPr>
              <w:t>300825</w:t>
            </w:r>
          </w:p>
        </w:tc>
        <w:tc>
          <w:tcPr>
            <w:tcW w:w="1701" w:type="dxa"/>
            <w:vAlign w:val="center"/>
          </w:tcPr>
          <w:p w:rsidR="00777D6F" w:rsidRDefault="00843846">
            <w:pPr>
              <w:jc w:val="center"/>
            </w:pPr>
            <w:r>
              <w:rPr>
                <w:color w:val="000000"/>
                <w:sz w:val="24"/>
              </w:rPr>
              <w:t>阿尔特</w:t>
            </w:r>
          </w:p>
        </w:tc>
        <w:tc>
          <w:tcPr>
            <w:tcW w:w="1843" w:type="dxa"/>
            <w:vAlign w:val="center"/>
          </w:tcPr>
          <w:p w:rsidR="00777D6F" w:rsidRDefault="00843846">
            <w:pPr>
              <w:jc w:val="right"/>
            </w:pPr>
            <w:r>
              <w:rPr>
                <w:color w:val="000000"/>
                <w:sz w:val="24"/>
              </w:rPr>
              <w:t>1,642</w:t>
            </w:r>
          </w:p>
        </w:tc>
        <w:tc>
          <w:tcPr>
            <w:tcW w:w="2126" w:type="dxa"/>
            <w:vAlign w:val="center"/>
          </w:tcPr>
          <w:p w:rsidR="00777D6F" w:rsidRDefault="00843846">
            <w:pPr>
              <w:jc w:val="right"/>
            </w:pPr>
            <w:r>
              <w:rPr>
                <w:color w:val="000000"/>
                <w:sz w:val="24"/>
              </w:rPr>
              <w:t>17,552.98</w:t>
            </w:r>
          </w:p>
        </w:tc>
        <w:tc>
          <w:tcPr>
            <w:tcW w:w="1134" w:type="dxa"/>
            <w:vAlign w:val="center"/>
          </w:tcPr>
          <w:p w:rsidR="00777D6F" w:rsidRDefault="00843846">
            <w:pPr>
              <w:jc w:val="right"/>
            </w:pPr>
            <w:r>
              <w:rPr>
                <w:color w:val="000000"/>
                <w:sz w:val="24"/>
              </w:rPr>
              <w:t>0.00</w:t>
            </w:r>
          </w:p>
        </w:tc>
      </w:tr>
      <w:tr w:rsidR="00777D6F">
        <w:tc>
          <w:tcPr>
            <w:tcW w:w="817" w:type="dxa"/>
            <w:vAlign w:val="center"/>
          </w:tcPr>
          <w:p w:rsidR="00777D6F" w:rsidRDefault="00843846">
            <w:pPr>
              <w:jc w:val="center"/>
            </w:pPr>
            <w:r>
              <w:rPr>
                <w:color w:val="000000"/>
                <w:sz w:val="24"/>
              </w:rPr>
              <w:t>5</w:t>
            </w:r>
          </w:p>
        </w:tc>
        <w:tc>
          <w:tcPr>
            <w:tcW w:w="1276" w:type="dxa"/>
            <w:vAlign w:val="center"/>
          </w:tcPr>
          <w:p w:rsidR="00777D6F" w:rsidRDefault="00843846">
            <w:pPr>
              <w:jc w:val="center"/>
            </w:pPr>
            <w:r>
              <w:rPr>
                <w:color w:val="000000"/>
                <w:sz w:val="24"/>
              </w:rPr>
              <w:t>002979</w:t>
            </w:r>
          </w:p>
        </w:tc>
        <w:tc>
          <w:tcPr>
            <w:tcW w:w="1701" w:type="dxa"/>
            <w:vAlign w:val="center"/>
          </w:tcPr>
          <w:p w:rsidR="00777D6F" w:rsidRDefault="00843846">
            <w:pPr>
              <w:jc w:val="center"/>
            </w:pPr>
            <w:r>
              <w:rPr>
                <w:color w:val="000000"/>
                <w:sz w:val="24"/>
              </w:rPr>
              <w:t>雷赛智能</w:t>
            </w:r>
          </w:p>
        </w:tc>
        <w:tc>
          <w:tcPr>
            <w:tcW w:w="1843" w:type="dxa"/>
            <w:vAlign w:val="center"/>
          </w:tcPr>
          <w:p w:rsidR="00777D6F" w:rsidRDefault="00843846">
            <w:pPr>
              <w:jc w:val="right"/>
            </w:pPr>
            <w:r>
              <w:rPr>
                <w:color w:val="000000"/>
                <w:sz w:val="24"/>
              </w:rPr>
              <w:t>1,005</w:t>
            </w:r>
          </w:p>
        </w:tc>
        <w:tc>
          <w:tcPr>
            <w:tcW w:w="2126" w:type="dxa"/>
            <w:vAlign w:val="center"/>
          </w:tcPr>
          <w:p w:rsidR="00777D6F" w:rsidRDefault="00843846">
            <w:pPr>
              <w:jc w:val="right"/>
            </w:pPr>
            <w:r>
              <w:rPr>
                <w:color w:val="000000"/>
                <w:sz w:val="24"/>
              </w:rPr>
              <w:t>9,849.00</w:t>
            </w:r>
          </w:p>
        </w:tc>
        <w:tc>
          <w:tcPr>
            <w:tcW w:w="1134" w:type="dxa"/>
            <w:vAlign w:val="center"/>
          </w:tcPr>
          <w:p w:rsidR="00777D6F" w:rsidRDefault="00843846">
            <w:pPr>
              <w:jc w:val="right"/>
            </w:pPr>
            <w:r>
              <w:rPr>
                <w:color w:val="000000"/>
                <w:sz w:val="24"/>
              </w:rPr>
              <w:t>0.00</w:t>
            </w:r>
          </w:p>
        </w:tc>
      </w:tr>
    </w:tbl>
    <w:p w:rsidR="00712EE5" w:rsidRPr="00712EE5" w:rsidRDefault="00A62673" w:rsidP="00712EE5">
      <w:pPr>
        <w:autoSpaceDE w:val="0"/>
        <w:autoSpaceDN w:val="0"/>
        <w:adjustRightInd w:val="0"/>
        <w:spacing w:line="360" w:lineRule="auto"/>
        <w:jc w:val="left"/>
        <w:rPr>
          <w:rFonts w:eastAsiaTheme="minorEastAsia"/>
          <w:b/>
          <w:color w:val="000000" w:themeColor="text1"/>
          <w:kern w:val="0"/>
          <w:sz w:val="24"/>
        </w:rPr>
      </w:pPr>
      <w:r w:rsidRPr="00EC5CE0">
        <w:rPr>
          <w:rFonts w:ascii="宋体" w:hAnsi="宋体" w:cs="Arial"/>
          <w:b/>
          <w:color w:val="000000"/>
          <w:kern w:val="0"/>
          <w:sz w:val="24"/>
        </w:rPr>
        <w:t xml:space="preserve">5.4 </w:t>
      </w:r>
      <w:r w:rsidRPr="00EC5CE0">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序号</w:t>
            </w:r>
          </w:p>
        </w:tc>
        <w:tc>
          <w:tcPr>
            <w:tcW w:w="2835"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债券品种</w:t>
            </w:r>
          </w:p>
        </w:tc>
        <w:tc>
          <w:tcPr>
            <w:tcW w:w="2694"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公允价值</w:t>
            </w:r>
            <w:r w:rsidRPr="00712EE5">
              <w:rPr>
                <w:rFonts w:eastAsiaTheme="minorEastAsia"/>
                <w:color w:val="000000" w:themeColor="text1"/>
                <w:sz w:val="24"/>
              </w:rPr>
              <w:t>(</w:t>
            </w:r>
            <w:r w:rsidRPr="00712EE5">
              <w:rPr>
                <w:rFonts w:eastAsiaTheme="minorEastAsia"/>
                <w:color w:val="000000" w:themeColor="text1"/>
                <w:sz w:val="24"/>
              </w:rPr>
              <w:t>元</w:t>
            </w: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占基金资产净值比例</w:t>
            </w:r>
            <w:r w:rsidRPr="00712EE5">
              <w:rPr>
                <w:rFonts w:eastAsiaTheme="minorEastAsia"/>
                <w:color w:val="000000" w:themeColor="text1"/>
                <w:sz w:val="24"/>
              </w:rPr>
              <w:t>(</w:t>
            </w:r>
            <w:r w:rsidRPr="00712EE5">
              <w:rPr>
                <w:rFonts w:eastAsiaTheme="minorEastAsia"/>
                <w:color w:val="000000" w:themeColor="text1"/>
                <w:sz w:val="24"/>
              </w:rPr>
              <w:t>％</w:t>
            </w: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1</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国家债券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2</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央行票据</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3</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金融债券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4,504,050.00</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0.73</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其中：政策性金融债</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4,504,050.00</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0.73</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4</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企业债券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5</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企业短期融资券</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lastRenderedPageBreak/>
              <w:t>6</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中期票据</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7</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可转债</w:t>
            </w:r>
            <w:r w:rsidR="00165A09" w:rsidRPr="00165A09">
              <w:rPr>
                <w:rFonts w:eastAsiaTheme="minorEastAsia" w:hint="eastAsia"/>
                <w:color w:val="000000" w:themeColor="text1"/>
                <w:sz w:val="24"/>
              </w:rPr>
              <w:t>（可交换债）</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8</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同业存单</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9</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其他</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w:t>
            </w:r>
          </w:p>
        </w:tc>
      </w:tr>
      <w:tr w:rsidR="00712EE5" w:rsidRPr="00712EE5" w:rsidTr="002C4578">
        <w:tc>
          <w:tcPr>
            <w:tcW w:w="1242" w:type="dxa"/>
            <w:shd w:val="clear" w:color="auto" w:fill="auto"/>
            <w:vAlign w:val="center"/>
          </w:tcPr>
          <w:p w:rsidR="00712EE5" w:rsidRPr="00712EE5" w:rsidRDefault="00712EE5" w:rsidP="002C4578">
            <w:pPr>
              <w:spacing w:before="29" w:line="360" w:lineRule="auto"/>
              <w:ind w:left="17"/>
              <w:jc w:val="center"/>
              <w:rPr>
                <w:rFonts w:eastAsiaTheme="minorEastAsia"/>
                <w:color w:val="000000" w:themeColor="text1"/>
                <w:sz w:val="24"/>
              </w:rPr>
            </w:pPr>
            <w:r w:rsidRPr="00712EE5">
              <w:rPr>
                <w:rFonts w:eastAsiaTheme="minorEastAsia"/>
                <w:color w:val="000000" w:themeColor="text1"/>
                <w:sz w:val="24"/>
              </w:rPr>
              <w:t>10</w:t>
            </w:r>
          </w:p>
        </w:tc>
        <w:tc>
          <w:tcPr>
            <w:tcW w:w="2835" w:type="dxa"/>
            <w:shd w:val="clear" w:color="auto" w:fill="auto"/>
            <w:vAlign w:val="center"/>
          </w:tcPr>
          <w:p w:rsidR="00712EE5" w:rsidRPr="00712EE5" w:rsidRDefault="00712EE5" w:rsidP="002C4578">
            <w:pPr>
              <w:spacing w:before="29" w:line="360" w:lineRule="auto"/>
              <w:ind w:left="17"/>
              <w:jc w:val="left"/>
              <w:rPr>
                <w:rFonts w:eastAsiaTheme="minorEastAsia"/>
                <w:color w:val="000000" w:themeColor="text1"/>
                <w:sz w:val="24"/>
              </w:rPr>
            </w:pPr>
            <w:r w:rsidRPr="00712EE5">
              <w:rPr>
                <w:rFonts w:eastAsiaTheme="minorEastAsia"/>
                <w:color w:val="000000" w:themeColor="text1"/>
                <w:sz w:val="24"/>
              </w:rPr>
              <w:t>合计</w:t>
            </w:r>
          </w:p>
        </w:tc>
        <w:tc>
          <w:tcPr>
            <w:tcW w:w="2694"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4,504,050.00</w:t>
            </w:r>
          </w:p>
        </w:tc>
        <w:tc>
          <w:tcPr>
            <w:tcW w:w="1757" w:type="dxa"/>
            <w:shd w:val="clear" w:color="auto" w:fill="auto"/>
            <w:vAlign w:val="center"/>
          </w:tcPr>
          <w:p w:rsidR="00712EE5" w:rsidRPr="00712EE5" w:rsidRDefault="00712EE5" w:rsidP="002C4578">
            <w:pPr>
              <w:spacing w:before="29" w:line="360" w:lineRule="auto"/>
              <w:ind w:left="17"/>
              <w:jc w:val="right"/>
              <w:rPr>
                <w:rFonts w:eastAsiaTheme="minorEastAsia"/>
                <w:color w:val="000000" w:themeColor="text1"/>
                <w:sz w:val="24"/>
              </w:rPr>
            </w:pPr>
            <w:r w:rsidRPr="00712EE5">
              <w:rPr>
                <w:rFonts w:eastAsiaTheme="minorEastAsia"/>
                <w:color w:val="000000" w:themeColor="text1"/>
                <w:sz w:val="24"/>
              </w:rPr>
              <w:t>0.73</w:t>
            </w:r>
          </w:p>
        </w:tc>
      </w:tr>
    </w:tbl>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5.5 </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559"/>
        <w:gridCol w:w="1468"/>
        <w:gridCol w:w="1651"/>
        <w:gridCol w:w="1843"/>
        <w:gridCol w:w="1190"/>
      </w:tblGrid>
      <w:tr w:rsidR="00A62673" w:rsidRPr="00EC5CE0" w:rsidTr="0029046D">
        <w:tc>
          <w:tcPr>
            <w:tcW w:w="817"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序号</w:t>
            </w:r>
          </w:p>
        </w:tc>
        <w:tc>
          <w:tcPr>
            <w:tcW w:w="1559"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债券代码</w:t>
            </w:r>
          </w:p>
        </w:tc>
        <w:tc>
          <w:tcPr>
            <w:tcW w:w="1468"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债券名称</w:t>
            </w:r>
          </w:p>
        </w:tc>
        <w:tc>
          <w:tcPr>
            <w:tcW w:w="1651"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数量</w:t>
            </w:r>
            <w:r w:rsidR="005A2769" w:rsidRPr="00C1648E">
              <w:rPr>
                <w:color w:val="000000"/>
                <w:sz w:val="24"/>
              </w:rPr>
              <w:t>（张）</w:t>
            </w:r>
          </w:p>
        </w:tc>
        <w:tc>
          <w:tcPr>
            <w:tcW w:w="1843"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公允价值</w:t>
            </w:r>
            <w:r w:rsidR="005A2769" w:rsidRPr="00C1648E">
              <w:rPr>
                <w:color w:val="000000"/>
                <w:sz w:val="24"/>
              </w:rPr>
              <w:t>（元）</w:t>
            </w:r>
          </w:p>
        </w:tc>
        <w:tc>
          <w:tcPr>
            <w:tcW w:w="1190" w:type="dxa"/>
            <w:vAlign w:val="center"/>
          </w:tcPr>
          <w:p w:rsidR="00A62673" w:rsidRPr="00C1648E" w:rsidRDefault="00A62673" w:rsidP="00C21C43">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777D6F">
        <w:tc>
          <w:tcPr>
            <w:tcW w:w="817" w:type="dxa"/>
            <w:vAlign w:val="center"/>
          </w:tcPr>
          <w:p w:rsidR="00777D6F" w:rsidRDefault="00843846">
            <w:pPr>
              <w:jc w:val="center"/>
            </w:pPr>
            <w:r>
              <w:rPr>
                <w:color w:val="000000"/>
                <w:sz w:val="24"/>
              </w:rPr>
              <w:t>1</w:t>
            </w:r>
          </w:p>
        </w:tc>
        <w:tc>
          <w:tcPr>
            <w:tcW w:w="1559" w:type="dxa"/>
            <w:vAlign w:val="center"/>
          </w:tcPr>
          <w:p w:rsidR="00777D6F" w:rsidRDefault="00843846">
            <w:pPr>
              <w:jc w:val="center"/>
            </w:pPr>
            <w:r>
              <w:rPr>
                <w:color w:val="000000"/>
                <w:sz w:val="24"/>
              </w:rPr>
              <w:t>108602</w:t>
            </w:r>
          </w:p>
        </w:tc>
        <w:tc>
          <w:tcPr>
            <w:tcW w:w="1468" w:type="dxa"/>
            <w:vAlign w:val="center"/>
          </w:tcPr>
          <w:p w:rsidR="00777D6F" w:rsidRDefault="00843846">
            <w:pPr>
              <w:jc w:val="center"/>
            </w:pPr>
            <w:r>
              <w:rPr>
                <w:color w:val="000000"/>
                <w:sz w:val="24"/>
              </w:rPr>
              <w:t>国开</w:t>
            </w:r>
            <w:r>
              <w:rPr>
                <w:color w:val="000000"/>
                <w:sz w:val="24"/>
              </w:rPr>
              <w:t>1704</w:t>
            </w:r>
          </w:p>
        </w:tc>
        <w:tc>
          <w:tcPr>
            <w:tcW w:w="1651" w:type="dxa"/>
            <w:vAlign w:val="center"/>
          </w:tcPr>
          <w:p w:rsidR="00777D6F" w:rsidRDefault="00843846">
            <w:pPr>
              <w:jc w:val="right"/>
            </w:pPr>
            <w:r>
              <w:rPr>
                <w:color w:val="000000"/>
                <w:sz w:val="24"/>
              </w:rPr>
              <w:t>45,000</w:t>
            </w:r>
          </w:p>
        </w:tc>
        <w:tc>
          <w:tcPr>
            <w:tcW w:w="1843" w:type="dxa"/>
            <w:vAlign w:val="center"/>
          </w:tcPr>
          <w:p w:rsidR="00777D6F" w:rsidRDefault="00843846">
            <w:pPr>
              <w:jc w:val="right"/>
            </w:pPr>
            <w:r>
              <w:rPr>
                <w:color w:val="000000"/>
                <w:sz w:val="24"/>
              </w:rPr>
              <w:t>4,504,050.00</w:t>
            </w:r>
          </w:p>
        </w:tc>
        <w:tc>
          <w:tcPr>
            <w:tcW w:w="1190" w:type="dxa"/>
            <w:vAlign w:val="center"/>
          </w:tcPr>
          <w:p w:rsidR="00777D6F" w:rsidRDefault="00843846">
            <w:pPr>
              <w:jc w:val="right"/>
            </w:pPr>
            <w:r>
              <w:rPr>
                <w:color w:val="000000"/>
                <w:sz w:val="24"/>
              </w:rPr>
              <w:t>0.73</w:t>
            </w:r>
          </w:p>
        </w:tc>
      </w:tr>
    </w:tbl>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5.6</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的前十名资产支持证券投资明细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本基金本报告期末未持有资产支持证券。</w:t>
      </w:r>
    </w:p>
    <w:p w:rsidR="00A62673" w:rsidRDefault="00A62673" w:rsidP="008021E8">
      <w:pPr>
        <w:autoSpaceDE w:val="0"/>
        <w:autoSpaceDN w:val="0"/>
        <w:adjustRightInd w:val="0"/>
        <w:spacing w:line="360" w:lineRule="auto"/>
        <w:jc w:val="left"/>
        <w:rPr>
          <w:rFonts w:ascii="宋体" w:hAns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9272D2" w:rsidRPr="00B3244D" w:rsidRDefault="009272D2" w:rsidP="008021E8">
      <w:pPr>
        <w:autoSpaceDE w:val="0"/>
        <w:autoSpaceDN w:val="0"/>
        <w:adjustRightInd w:val="0"/>
        <w:spacing w:line="360" w:lineRule="auto"/>
        <w:jc w:val="left"/>
        <w:rPr>
          <w:color w:val="000000"/>
          <w:sz w:val="24"/>
        </w:rPr>
      </w:pPr>
      <w:r>
        <w:rPr>
          <w:rFonts w:ascii="宋体" w:hAnsi="宋体" w:hint="eastAsia"/>
          <w:b/>
          <w:bCs/>
          <w:color w:val="000000"/>
          <w:kern w:val="0"/>
          <w:sz w:val="24"/>
        </w:rPr>
        <w:t xml:space="preserve"> </w:t>
      </w:r>
      <w:r>
        <w:rPr>
          <w:rFonts w:ascii="宋体" w:hAnsi="宋体"/>
          <w:b/>
          <w:bCs/>
          <w:color w:val="000000"/>
          <w:kern w:val="0"/>
          <w:sz w:val="24"/>
        </w:rPr>
        <w:t xml:space="preserve">   </w:t>
      </w:r>
      <w:r w:rsidRPr="00B3244D">
        <w:rPr>
          <w:color w:val="000000"/>
          <w:sz w:val="24"/>
        </w:rPr>
        <w:t xml:space="preserve"> </w:t>
      </w:r>
      <w:r w:rsidRPr="00B3244D">
        <w:rPr>
          <w:rFonts w:hint="eastAsia"/>
          <w:color w:val="000000"/>
          <w:sz w:val="24"/>
        </w:rPr>
        <w:t>本基金本报告期末未持有贵金属。</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cs="Arial"/>
          <w:b/>
          <w:color w:val="000000"/>
          <w:kern w:val="0"/>
          <w:sz w:val="24"/>
        </w:rPr>
        <w:t>5.8</w:t>
      </w:r>
      <w:r w:rsidRPr="00EC5CE0">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EC5CE0">
        <w:rPr>
          <w:rFonts w:ascii="宋体" w:hAnsi="宋体" w:hint="eastAsia"/>
          <w:b/>
          <w:bCs/>
          <w:color w:val="000000"/>
          <w:sz w:val="24"/>
        </w:rPr>
        <w:t>的前五名权证投资明细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本基金本报告期末未持有权证。</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 xml:space="preserve">5.9 </w:t>
      </w:r>
      <w:r w:rsidRPr="00EC5CE0">
        <w:rPr>
          <w:rFonts w:ascii="宋体" w:hAnsi="宋体" w:hint="eastAsia"/>
          <w:b/>
          <w:sz w:val="24"/>
        </w:rPr>
        <w:t>报告期末本基金投资的股指期货交易情况说明</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本基金本报告期末未持有股指期货。</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5.10</w:t>
      </w:r>
      <w:r w:rsidRPr="00EC5CE0">
        <w:rPr>
          <w:rFonts w:ascii="宋体" w:hAnsi="宋体" w:hint="eastAsia"/>
          <w:b/>
          <w:sz w:val="24"/>
        </w:rPr>
        <w:t>报告期末本基金投资的国债期货交易情况说明</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本基金本报告期末未持有国债期货。</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5.11</w:t>
      </w:r>
      <w:r w:rsidRPr="00EC5CE0">
        <w:rPr>
          <w:rFonts w:ascii="宋体" w:hAnsi="宋体" w:cs="Arial" w:hint="eastAsia"/>
          <w:b/>
          <w:color w:val="000000"/>
          <w:kern w:val="0"/>
          <w:sz w:val="24"/>
        </w:rPr>
        <w:t>投资组合报告附注</w:t>
      </w:r>
    </w:p>
    <w:p w:rsidR="000D34E3" w:rsidRPr="00D435A4" w:rsidRDefault="000D34E3" w:rsidP="00B3244D">
      <w:pPr>
        <w:spacing w:line="360" w:lineRule="auto"/>
        <w:rPr>
          <w:rFonts w:eastAsiaTheme="minorEastAsia"/>
          <w:color w:val="000000"/>
          <w:sz w:val="24"/>
        </w:rPr>
      </w:pPr>
      <w:r w:rsidRPr="0015516B">
        <w:rPr>
          <w:rFonts w:asciiTheme="minorEastAsia" w:eastAsiaTheme="minorEastAsia" w:hAnsiTheme="minorEastAsia" w:hint="eastAsia"/>
          <w:b/>
          <w:color w:val="000000"/>
          <w:sz w:val="24"/>
        </w:rPr>
        <w:t>5.11.1</w:t>
      </w:r>
      <w:r w:rsidR="001718C5" w:rsidRPr="00B60BF3" w:rsidDel="001718C5">
        <w:rPr>
          <w:rFonts w:asciiTheme="minorEastAsia" w:eastAsiaTheme="minorEastAsia" w:hAnsiTheme="minorEastAsia" w:hint="eastAsia"/>
          <w:b/>
          <w:color w:val="000000"/>
          <w:sz w:val="24"/>
        </w:rPr>
        <w:t xml:space="preserve"> </w:t>
      </w:r>
      <w:r w:rsidRPr="00D435A4">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0D34E3" w:rsidRPr="005619D8" w:rsidRDefault="000D34E3" w:rsidP="00B3244D">
      <w:pPr>
        <w:spacing w:line="360" w:lineRule="auto"/>
        <w:rPr>
          <w:rFonts w:asciiTheme="minorEastAsia" w:eastAsiaTheme="minorEastAsia" w:hAnsiTheme="minorEastAsia"/>
          <w:color w:val="000000"/>
          <w:sz w:val="24"/>
        </w:rPr>
      </w:pPr>
      <w:r w:rsidRPr="0015516B">
        <w:rPr>
          <w:rFonts w:asciiTheme="minorEastAsia" w:eastAsiaTheme="minorEastAsia" w:hAnsiTheme="minorEastAsia" w:hint="eastAsia"/>
          <w:b/>
          <w:color w:val="000000"/>
          <w:sz w:val="24"/>
        </w:rPr>
        <w:t>5.11.2</w:t>
      </w:r>
      <w:r w:rsidR="001718C5" w:rsidRPr="00B60BF3" w:rsidDel="001718C5">
        <w:rPr>
          <w:rFonts w:asciiTheme="minorEastAsia" w:eastAsiaTheme="minorEastAsia" w:hAnsiTheme="minorEastAsia" w:hint="eastAsia"/>
          <w:b/>
          <w:color w:val="000000"/>
          <w:sz w:val="24"/>
        </w:rPr>
        <w:t xml:space="preserve"> </w:t>
      </w:r>
      <w:r w:rsidRPr="00D435A4">
        <w:rPr>
          <w:rFonts w:eastAsiaTheme="minorEastAsia"/>
          <w:color w:val="000000"/>
          <w:sz w:val="24"/>
        </w:rPr>
        <w:t>本基金投资的前十名股票中，没有超出基金合同规定的备选股票库之外的股票。</w:t>
      </w:r>
    </w:p>
    <w:p w:rsidR="00A62673" w:rsidRPr="00320C1E" w:rsidRDefault="00A62673" w:rsidP="00045BEC">
      <w:pPr>
        <w:autoSpaceDE w:val="0"/>
        <w:autoSpaceDN w:val="0"/>
        <w:adjustRightInd w:val="0"/>
        <w:spacing w:line="360" w:lineRule="auto"/>
        <w:jc w:val="left"/>
        <w:rPr>
          <w:rFonts w:asciiTheme="minorEastAsia" w:eastAsiaTheme="minorEastAsia" w:hAnsiTheme="minorEastAsia" w:cs="Arial"/>
          <w:b/>
          <w:color w:val="000000"/>
          <w:kern w:val="0"/>
          <w:sz w:val="24"/>
        </w:rPr>
      </w:pPr>
      <w:r w:rsidRPr="00320C1E">
        <w:rPr>
          <w:rFonts w:asciiTheme="minorEastAsia" w:eastAsiaTheme="minorEastAsia" w:hAnsiTheme="minorEastAsia"/>
          <w:b/>
          <w:color w:val="000000"/>
          <w:kern w:val="0"/>
          <w:sz w:val="24"/>
        </w:rPr>
        <w:lastRenderedPageBreak/>
        <w:t>5.11.3</w:t>
      </w:r>
      <w:r w:rsidRPr="00320C1E">
        <w:rPr>
          <w:rFonts w:asciiTheme="minorEastAsia" w:eastAsiaTheme="minorEastAsia" w:hAnsiTheme="minorEastAsia" w:cs="Arial" w:hint="eastAsia"/>
          <w:b/>
          <w:color w:val="000000"/>
          <w:kern w:val="0"/>
          <w:sz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2761"/>
        <w:gridCol w:w="4808"/>
      </w:tblGrid>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序号</w:t>
            </w:r>
          </w:p>
        </w:tc>
        <w:tc>
          <w:tcPr>
            <w:tcW w:w="2761"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名称</w:t>
            </w:r>
          </w:p>
        </w:tc>
        <w:tc>
          <w:tcPr>
            <w:tcW w:w="4808"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金额</w:t>
            </w:r>
            <w:r w:rsidR="005A2769" w:rsidRPr="00C1648E">
              <w:rPr>
                <w:color w:val="000000"/>
                <w:kern w:val="0"/>
                <w:sz w:val="24"/>
              </w:rPr>
              <w:t>（元）</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kern w:val="0"/>
                <w:sz w:val="24"/>
              </w:rPr>
            </w:pPr>
            <w:r w:rsidRPr="00C1648E">
              <w:rPr>
                <w:color w:val="000000"/>
                <w:sz w:val="24"/>
              </w:rPr>
              <w:t>1</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存出保证金</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561,014.97</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2</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应收证券清算款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3</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应收股利</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4</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应收利息</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175,611.07</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5</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应收申购款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4,375,527.72</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6</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其他应收款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7</w:t>
            </w:r>
          </w:p>
        </w:tc>
        <w:tc>
          <w:tcPr>
            <w:tcW w:w="2761" w:type="dxa"/>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待摊费用</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sz w:val="24"/>
              </w:rPr>
            </w:pPr>
            <w:r w:rsidRPr="00C1648E">
              <w:rPr>
                <w:color w:val="00000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8</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9</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合计</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5,112,153.76</w:t>
            </w:r>
          </w:p>
        </w:tc>
      </w:tr>
    </w:tbl>
    <w:p w:rsidR="00A62673" w:rsidRPr="00CE743F" w:rsidRDefault="00A62673" w:rsidP="00045BEC">
      <w:pPr>
        <w:autoSpaceDE w:val="0"/>
        <w:autoSpaceDN w:val="0"/>
        <w:adjustRightInd w:val="0"/>
        <w:spacing w:line="360" w:lineRule="auto"/>
        <w:jc w:val="left"/>
        <w:rPr>
          <w:rFonts w:ascii="宋体" w:cs="Arial"/>
          <w:b/>
          <w:color w:val="000000"/>
          <w:kern w:val="0"/>
          <w:sz w:val="24"/>
        </w:rPr>
      </w:pPr>
      <w:r w:rsidRPr="00CE743F">
        <w:rPr>
          <w:rFonts w:ascii="宋体" w:hAnsi="宋体"/>
          <w:b/>
          <w:color w:val="000000"/>
          <w:kern w:val="0"/>
          <w:sz w:val="24"/>
        </w:rPr>
        <w:t>5.11.4</w:t>
      </w:r>
      <w:r w:rsidRPr="00CE743F">
        <w:rPr>
          <w:rFonts w:ascii="宋体" w:hAnsi="宋体" w:cs="Arial" w:hint="eastAsia"/>
          <w:b/>
          <w:color w:val="000000"/>
          <w:kern w:val="0"/>
          <w:sz w:val="24"/>
        </w:rPr>
        <w:t>报告期末持有的处于转股期的可转换债券明细</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本基金本报告期末未持有处于转股期的可转换债券。</w:t>
      </w:r>
    </w:p>
    <w:p w:rsidR="00774C7D" w:rsidRPr="00CE743F" w:rsidRDefault="00774C7D" w:rsidP="00774C7D">
      <w:pPr>
        <w:spacing w:line="360" w:lineRule="auto"/>
        <w:rPr>
          <w:rFonts w:ascii="宋体" w:cs="Arial"/>
          <w:b/>
          <w:color w:val="000000"/>
          <w:kern w:val="0"/>
          <w:sz w:val="24"/>
        </w:rPr>
      </w:pPr>
      <w:r w:rsidRPr="00CE743F">
        <w:rPr>
          <w:rFonts w:ascii="宋体" w:hAnsi="宋体"/>
          <w:b/>
          <w:color w:val="000000"/>
          <w:kern w:val="0"/>
          <w:sz w:val="24"/>
        </w:rPr>
        <w:t>5.11.5</w:t>
      </w:r>
      <w:r w:rsidRPr="00CE743F">
        <w:rPr>
          <w:rFonts w:ascii="宋体" w:hAnsi="宋体" w:hint="eastAsia"/>
          <w:b/>
          <w:sz w:val="24"/>
        </w:rPr>
        <w:t>报告期末</w:t>
      </w:r>
      <w:r w:rsidR="001718C5" w:rsidRPr="00F379E1">
        <w:rPr>
          <w:b/>
          <w:color w:val="000000"/>
          <w:kern w:val="0"/>
          <w:sz w:val="24"/>
        </w:rPr>
        <w:t>投资的股票</w:t>
      </w:r>
      <w:r w:rsidRPr="00CE743F">
        <w:rPr>
          <w:rFonts w:ascii="宋体" w:hAnsi="宋体" w:hint="eastAsia"/>
          <w:b/>
          <w:sz w:val="24"/>
        </w:rPr>
        <w:t>存在流通受限情况的说明</w:t>
      </w:r>
    </w:p>
    <w:p w:rsidR="00774C7D" w:rsidRPr="00CE743F" w:rsidRDefault="00774C7D" w:rsidP="00774C7D">
      <w:pPr>
        <w:spacing w:line="360" w:lineRule="auto"/>
        <w:rPr>
          <w:rFonts w:ascii="宋体" w:cs="Arial"/>
          <w:b/>
          <w:color w:val="000000"/>
          <w:kern w:val="0"/>
          <w:sz w:val="24"/>
        </w:rPr>
      </w:pPr>
      <w:r w:rsidRPr="00CE743F">
        <w:rPr>
          <w:rFonts w:ascii="宋体" w:hAnsi="宋体"/>
          <w:b/>
          <w:color w:val="000000"/>
          <w:kern w:val="0"/>
          <w:sz w:val="24"/>
        </w:rPr>
        <w:t>5.11.5</w:t>
      </w:r>
      <w:r w:rsidRPr="00CE743F">
        <w:rPr>
          <w:rFonts w:ascii="宋体" w:cs="Arial"/>
          <w:b/>
          <w:color w:val="000000"/>
          <w:kern w:val="0"/>
          <w:sz w:val="24"/>
        </w:rPr>
        <w:t>.</w:t>
      </w:r>
      <w:r w:rsidRPr="00CE743F">
        <w:rPr>
          <w:rFonts w:ascii="宋体" w:hAnsi="宋体" w:cs="Arial"/>
          <w:b/>
          <w:color w:val="000000"/>
          <w:kern w:val="0"/>
          <w:sz w:val="24"/>
        </w:rPr>
        <w:t>1</w:t>
      </w:r>
      <w:r w:rsidRPr="00CE743F">
        <w:rPr>
          <w:rFonts w:ascii="宋体" w:hAnsi="宋体" w:hint="eastAsia"/>
          <w:b/>
          <w:sz w:val="24"/>
        </w:rPr>
        <w:t>期末指数投资前十名股票中存在流通受限情况的说明</w:t>
      </w:r>
    </w:p>
    <w:p w:rsidR="00774C7D" w:rsidRPr="00DC315B" w:rsidRDefault="00774C7D" w:rsidP="00774C7D">
      <w:pPr>
        <w:spacing w:line="360" w:lineRule="auto"/>
        <w:ind w:firstLineChars="200" w:firstLine="480"/>
        <w:rPr>
          <w:color w:val="000000"/>
          <w:sz w:val="24"/>
        </w:rPr>
      </w:pPr>
      <w:r w:rsidRPr="00DC315B">
        <w:rPr>
          <w:color w:val="000000"/>
          <w:sz w:val="24"/>
        </w:rPr>
        <w:t>本基金本报告期末前十名股票中不存在流通受限情况。</w:t>
      </w:r>
    </w:p>
    <w:p w:rsidR="00774C7D" w:rsidRPr="00CE743F" w:rsidRDefault="00774C7D" w:rsidP="00774C7D">
      <w:pPr>
        <w:spacing w:line="360" w:lineRule="auto"/>
        <w:rPr>
          <w:rFonts w:ascii="宋体" w:cs="STSong-Light"/>
          <w:b/>
          <w:sz w:val="24"/>
        </w:rPr>
      </w:pPr>
      <w:r w:rsidRPr="00CE743F">
        <w:rPr>
          <w:rFonts w:ascii="宋体" w:hAnsi="宋体"/>
          <w:b/>
          <w:color w:val="000000"/>
          <w:kern w:val="0"/>
          <w:sz w:val="24"/>
        </w:rPr>
        <w:t>5.11.5</w:t>
      </w:r>
      <w:r w:rsidRPr="00CE743F">
        <w:rPr>
          <w:rFonts w:ascii="宋体" w:cs="Arial"/>
          <w:b/>
          <w:color w:val="000000"/>
          <w:kern w:val="0"/>
          <w:sz w:val="24"/>
        </w:rPr>
        <w:t>.</w:t>
      </w:r>
      <w:r w:rsidRPr="00CE743F">
        <w:rPr>
          <w:rFonts w:ascii="宋体" w:hAnsi="宋体" w:cs="Arial"/>
          <w:b/>
          <w:color w:val="000000"/>
          <w:kern w:val="0"/>
          <w:sz w:val="24"/>
        </w:rPr>
        <w:t>2</w:t>
      </w:r>
      <w:r w:rsidRPr="00CE743F">
        <w:rPr>
          <w:rFonts w:ascii="宋体" w:hAnsi="宋体" w:hint="eastAsia"/>
          <w:b/>
          <w:sz w:val="24"/>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74C7D" w:rsidRPr="00EC5CE0" w:rsidTr="002C4578">
        <w:tc>
          <w:tcPr>
            <w:tcW w:w="108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302"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3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0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流通受限部分的公允价值（元）</w:t>
            </w:r>
          </w:p>
        </w:tc>
        <w:tc>
          <w:tcPr>
            <w:tcW w:w="165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p>
        </w:tc>
        <w:tc>
          <w:tcPr>
            <w:tcW w:w="136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流通受限情况说明</w:t>
            </w:r>
          </w:p>
        </w:tc>
      </w:tr>
      <w:tr w:rsidR="00777D6F">
        <w:tc>
          <w:tcPr>
            <w:tcW w:w="1083" w:type="dxa"/>
            <w:vAlign w:val="center"/>
          </w:tcPr>
          <w:p w:rsidR="00777D6F" w:rsidRDefault="00843846">
            <w:pPr>
              <w:jc w:val="center"/>
            </w:pPr>
            <w:r>
              <w:rPr>
                <w:color w:val="000000"/>
                <w:sz w:val="24"/>
              </w:rPr>
              <w:t>1</w:t>
            </w:r>
          </w:p>
        </w:tc>
        <w:tc>
          <w:tcPr>
            <w:tcW w:w="1302" w:type="dxa"/>
            <w:vAlign w:val="center"/>
          </w:tcPr>
          <w:p w:rsidR="00777D6F" w:rsidRDefault="00843846">
            <w:pPr>
              <w:jc w:val="center"/>
            </w:pPr>
            <w:r>
              <w:rPr>
                <w:color w:val="000000"/>
                <w:sz w:val="24"/>
              </w:rPr>
              <w:t>300413</w:t>
            </w:r>
          </w:p>
        </w:tc>
        <w:tc>
          <w:tcPr>
            <w:tcW w:w="1301" w:type="dxa"/>
            <w:vAlign w:val="center"/>
          </w:tcPr>
          <w:p w:rsidR="00777D6F" w:rsidRDefault="00843846">
            <w:pPr>
              <w:jc w:val="center"/>
            </w:pPr>
            <w:r>
              <w:rPr>
                <w:color w:val="000000"/>
                <w:sz w:val="24"/>
              </w:rPr>
              <w:t>芒果超媒</w:t>
            </w:r>
          </w:p>
        </w:tc>
        <w:tc>
          <w:tcPr>
            <w:tcW w:w="1805" w:type="dxa"/>
            <w:vAlign w:val="center"/>
          </w:tcPr>
          <w:p w:rsidR="00777D6F" w:rsidRDefault="00843846">
            <w:pPr>
              <w:jc w:val="right"/>
            </w:pPr>
            <w:r>
              <w:rPr>
                <w:color w:val="000000"/>
                <w:sz w:val="24"/>
              </w:rPr>
              <w:t>12,953,600.00</w:t>
            </w:r>
          </w:p>
        </w:tc>
        <w:tc>
          <w:tcPr>
            <w:tcW w:w="1655" w:type="dxa"/>
            <w:vAlign w:val="center"/>
          </w:tcPr>
          <w:p w:rsidR="00777D6F" w:rsidRDefault="00843846">
            <w:pPr>
              <w:jc w:val="right"/>
            </w:pPr>
            <w:r>
              <w:rPr>
                <w:color w:val="000000"/>
                <w:sz w:val="24"/>
              </w:rPr>
              <w:t>2.11</w:t>
            </w:r>
          </w:p>
        </w:tc>
        <w:tc>
          <w:tcPr>
            <w:tcW w:w="1367" w:type="dxa"/>
            <w:vAlign w:val="center"/>
          </w:tcPr>
          <w:p w:rsidR="00777D6F" w:rsidRDefault="00843846">
            <w:pPr>
              <w:jc w:val="right"/>
            </w:pPr>
            <w:r>
              <w:rPr>
                <w:color w:val="000000"/>
                <w:sz w:val="24"/>
              </w:rPr>
              <w:t>限售股</w:t>
            </w:r>
          </w:p>
        </w:tc>
      </w:tr>
      <w:tr w:rsidR="00777D6F">
        <w:tc>
          <w:tcPr>
            <w:tcW w:w="1083" w:type="dxa"/>
            <w:vAlign w:val="center"/>
          </w:tcPr>
          <w:p w:rsidR="00777D6F" w:rsidRDefault="00843846">
            <w:pPr>
              <w:jc w:val="center"/>
            </w:pPr>
            <w:r>
              <w:rPr>
                <w:color w:val="000000"/>
                <w:sz w:val="24"/>
              </w:rPr>
              <w:t>2</w:t>
            </w:r>
          </w:p>
        </w:tc>
        <w:tc>
          <w:tcPr>
            <w:tcW w:w="1302" w:type="dxa"/>
            <w:vAlign w:val="center"/>
          </w:tcPr>
          <w:p w:rsidR="00777D6F" w:rsidRDefault="00843846">
            <w:pPr>
              <w:jc w:val="center"/>
            </w:pPr>
            <w:r>
              <w:rPr>
                <w:color w:val="000000"/>
                <w:sz w:val="24"/>
              </w:rPr>
              <w:t>300377</w:t>
            </w:r>
          </w:p>
        </w:tc>
        <w:tc>
          <w:tcPr>
            <w:tcW w:w="1301" w:type="dxa"/>
            <w:vAlign w:val="center"/>
          </w:tcPr>
          <w:p w:rsidR="00777D6F" w:rsidRDefault="00843846">
            <w:pPr>
              <w:jc w:val="center"/>
            </w:pPr>
            <w:r>
              <w:rPr>
                <w:color w:val="000000"/>
                <w:sz w:val="24"/>
              </w:rPr>
              <w:t>赢时胜</w:t>
            </w:r>
          </w:p>
        </w:tc>
        <w:tc>
          <w:tcPr>
            <w:tcW w:w="1805" w:type="dxa"/>
            <w:vAlign w:val="center"/>
          </w:tcPr>
          <w:p w:rsidR="00777D6F" w:rsidRDefault="00843846">
            <w:pPr>
              <w:jc w:val="right"/>
            </w:pPr>
            <w:r>
              <w:rPr>
                <w:color w:val="000000"/>
                <w:sz w:val="24"/>
              </w:rPr>
              <w:t>2,998,400.00</w:t>
            </w:r>
          </w:p>
        </w:tc>
        <w:tc>
          <w:tcPr>
            <w:tcW w:w="1655" w:type="dxa"/>
            <w:vAlign w:val="center"/>
          </w:tcPr>
          <w:p w:rsidR="00777D6F" w:rsidRDefault="00843846">
            <w:pPr>
              <w:jc w:val="right"/>
            </w:pPr>
            <w:r>
              <w:rPr>
                <w:color w:val="000000"/>
                <w:sz w:val="24"/>
              </w:rPr>
              <w:t>0.49</w:t>
            </w:r>
          </w:p>
        </w:tc>
        <w:tc>
          <w:tcPr>
            <w:tcW w:w="1367" w:type="dxa"/>
            <w:vAlign w:val="center"/>
          </w:tcPr>
          <w:p w:rsidR="00777D6F" w:rsidRDefault="00843846">
            <w:pPr>
              <w:jc w:val="right"/>
            </w:pPr>
            <w:r>
              <w:rPr>
                <w:color w:val="000000"/>
                <w:sz w:val="24"/>
              </w:rPr>
              <w:t>限售股</w:t>
            </w:r>
          </w:p>
        </w:tc>
      </w:tr>
      <w:tr w:rsidR="00777D6F">
        <w:tc>
          <w:tcPr>
            <w:tcW w:w="1083" w:type="dxa"/>
            <w:vAlign w:val="center"/>
          </w:tcPr>
          <w:p w:rsidR="00777D6F" w:rsidRDefault="00843846">
            <w:pPr>
              <w:jc w:val="center"/>
            </w:pPr>
            <w:r>
              <w:rPr>
                <w:color w:val="000000"/>
                <w:sz w:val="24"/>
              </w:rPr>
              <w:t>3</w:t>
            </w:r>
          </w:p>
        </w:tc>
        <w:tc>
          <w:tcPr>
            <w:tcW w:w="1302" w:type="dxa"/>
            <w:vAlign w:val="center"/>
          </w:tcPr>
          <w:p w:rsidR="00777D6F" w:rsidRDefault="00843846">
            <w:pPr>
              <w:jc w:val="center"/>
            </w:pPr>
            <w:r>
              <w:rPr>
                <w:color w:val="000000"/>
                <w:sz w:val="24"/>
              </w:rPr>
              <w:t>300748</w:t>
            </w:r>
          </w:p>
        </w:tc>
        <w:tc>
          <w:tcPr>
            <w:tcW w:w="1301" w:type="dxa"/>
            <w:vAlign w:val="center"/>
          </w:tcPr>
          <w:p w:rsidR="00777D6F" w:rsidRDefault="00843846">
            <w:pPr>
              <w:jc w:val="center"/>
            </w:pPr>
            <w:r>
              <w:rPr>
                <w:color w:val="000000"/>
                <w:sz w:val="24"/>
              </w:rPr>
              <w:t>金力永磁</w:t>
            </w:r>
          </w:p>
        </w:tc>
        <w:tc>
          <w:tcPr>
            <w:tcW w:w="1805" w:type="dxa"/>
            <w:vAlign w:val="center"/>
          </w:tcPr>
          <w:p w:rsidR="00777D6F" w:rsidRDefault="00843846">
            <w:pPr>
              <w:jc w:val="right"/>
            </w:pPr>
            <w:r>
              <w:rPr>
                <w:color w:val="000000"/>
                <w:sz w:val="24"/>
              </w:rPr>
              <w:t>2,345,580.00</w:t>
            </w:r>
          </w:p>
        </w:tc>
        <w:tc>
          <w:tcPr>
            <w:tcW w:w="1655" w:type="dxa"/>
            <w:vAlign w:val="center"/>
          </w:tcPr>
          <w:p w:rsidR="00777D6F" w:rsidRDefault="00843846">
            <w:pPr>
              <w:jc w:val="right"/>
            </w:pPr>
            <w:r>
              <w:rPr>
                <w:color w:val="000000"/>
                <w:sz w:val="24"/>
              </w:rPr>
              <w:t>0.38</w:t>
            </w:r>
          </w:p>
        </w:tc>
        <w:tc>
          <w:tcPr>
            <w:tcW w:w="1367" w:type="dxa"/>
            <w:vAlign w:val="center"/>
          </w:tcPr>
          <w:p w:rsidR="00777D6F" w:rsidRDefault="00843846">
            <w:pPr>
              <w:jc w:val="right"/>
            </w:pPr>
            <w:r>
              <w:rPr>
                <w:color w:val="000000"/>
                <w:sz w:val="24"/>
              </w:rPr>
              <w:t>限售股</w:t>
            </w:r>
          </w:p>
        </w:tc>
      </w:tr>
      <w:tr w:rsidR="00777D6F">
        <w:tc>
          <w:tcPr>
            <w:tcW w:w="1083" w:type="dxa"/>
            <w:vAlign w:val="center"/>
          </w:tcPr>
          <w:p w:rsidR="00777D6F" w:rsidRDefault="00843846">
            <w:pPr>
              <w:jc w:val="center"/>
            </w:pPr>
            <w:r>
              <w:rPr>
                <w:color w:val="000000"/>
                <w:sz w:val="24"/>
              </w:rPr>
              <w:t>4</w:t>
            </w:r>
          </w:p>
        </w:tc>
        <w:tc>
          <w:tcPr>
            <w:tcW w:w="1302" w:type="dxa"/>
            <w:vAlign w:val="center"/>
          </w:tcPr>
          <w:p w:rsidR="00777D6F" w:rsidRDefault="00843846">
            <w:pPr>
              <w:jc w:val="center"/>
            </w:pPr>
            <w:r>
              <w:rPr>
                <w:color w:val="000000"/>
                <w:sz w:val="24"/>
              </w:rPr>
              <w:t>002979</w:t>
            </w:r>
          </w:p>
        </w:tc>
        <w:tc>
          <w:tcPr>
            <w:tcW w:w="1301" w:type="dxa"/>
            <w:vAlign w:val="center"/>
          </w:tcPr>
          <w:p w:rsidR="00777D6F" w:rsidRDefault="00843846">
            <w:pPr>
              <w:jc w:val="center"/>
            </w:pPr>
            <w:r>
              <w:rPr>
                <w:color w:val="000000"/>
                <w:sz w:val="24"/>
              </w:rPr>
              <w:t>雷赛智能</w:t>
            </w:r>
          </w:p>
        </w:tc>
        <w:tc>
          <w:tcPr>
            <w:tcW w:w="1805" w:type="dxa"/>
            <w:vAlign w:val="center"/>
          </w:tcPr>
          <w:p w:rsidR="00777D6F" w:rsidRDefault="00843846">
            <w:pPr>
              <w:jc w:val="right"/>
            </w:pPr>
            <w:r>
              <w:rPr>
                <w:color w:val="000000"/>
                <w:sz w:val="24"/>
              </w:rPr>
              <w:t>9,849.00</w:t>
            </w:r>
          </w:p>
        </w:tc>
        <w:tc>
          <w:tcPr>
            <w:tcW w:w="1655" w:type="dxa"/>
            <w:vAlign w:val="center"/>
          </w:tcPr>
          <w:p w:rsidR="00777D6F" w:rsidRDefault="00843846">
            <w:pPr>
              <w:jc w:val="right"/>
            </w:pPr>
            <w:r>
              <w:rPr>
                <w:color w:val="000000"/>
                <w:sz w:val="24"/>
              </w:rPr>
              <w:t>0.00</w:t>
            </w:r>
          </w:p>
        </w:tc>
        <w:tc>
          <w:tcPr>
            <w:tcW w:w="1367" w:type="dxa"/>
            <w:vAlign w:val="center"/>
          </w:tcPr>
          <w:p w:rsidR="00777D6F" w:rsidRDefault="00843846">
            <w:pPr>
              <w:jc w:val="right"/>
            </w:pPr>
            <w:r>
              <w:rPr>
                <w:color w:val="000000"/>
                <w:sz w:val="24"/>
              </w:rPr>
              <w:t>新股未上市</w:t>
            </w:r>
          </w:p>
        </w:tc>
      </w:tr>
    </w:tbl>
    <w:p w:rsidR="00B70BC4" w:rsidRPr="00F379E1" w:rsidRDefault="00B70BC4" w:rsidP="00B70BC4">
      <w:pPr>
        <w:spacing w:before="29" w:line="288" w:lineRule="auto"/>
        <w:rPr>
          <w:b/>
          <w:color w:val="000000"/>
          <w:sz w:val="24"/>
        </w:rPr>
      </w:pPr>
      <w:r w:rsidRPr="00F379E1">
        <w:rPr>
          <w:b/>
          <w:color w:val="000000"/>
          <w:sz w:val="24"/>
        </w:rPr>
        <w:t>5.11.</w:t>
      </w:r>
      <w:r w:rsidRPr="00F379E1">
        <w:rPr>
          <w:b/>
          <w:bCs/>
          <w:color w:val="000000"/>
          <w:sz w:val="24"/>
        </w:rPr>
        <w:t>6</w:t>
      </w:r>
      <w:r w:rsidRPr="00F379E1">
        <w:rPr>
          <w:b/>
          <w:bCs/>
          <w:color w:val="000000"/>
          <w:kern w:val="0"/>
          <w:sz w:val="24"/>
        </w:rPr>
        <w:t>投资组合报告附注的其他文字描述部分</w:t>
      </w:r>
    </w:p>
    <w:p w:rsidR="00B70BC4" w:rsidRPr="0036023B" w:rsidRDefault="00B70BC4" w:rsidP="00B70BC4">
      <w:pPr>
        <w:spacing w:before="29" w:line="288" w:lineRule="auto"/>
        <w:rPr>
          <w:color w:val="000000"/>
          <w:sz w:val="24"/>
        </w:rPr>
      </w:pPr>
      <w:r w:rsidRPr="0036023B">
        <w:rPr>
          <w:color w:val="000000"/>
          <w:sz w:val="24"/>
        </w:rPr>
        <w:t>由于四舍五入的原因，分项之和与合计项之间可能存在尾差。</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6  </w:t>
      </w:r>
      <w:r w:rsidRPr="00EC5CE0">
        <w:rPr>
          <w:rFonts w:ascii="宋体" w:hAnsi="宋体" w:cs="Arial" w:hint="eastAsia"/>
          <w:color w:val="000000"/>
          <w:kern w:val="0"/>
          <w:sz w:val="24"/>
          <w:szCs w:val="24"/>
        </w:rPr>
        <w:t>开放式基金份额变动</w:t>
      </w:r>
    </w:p>
    <w:p w:rsidR="004976EE" w:rsidRPr="00FA472B" w:rsidRDefault="004976EE" w:rsidP="004976EE">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center"/>
              <w:rPr>
                <w:color w:val="000000"/>
                <w:kern w:val="0"/>
                <w:sz w:val="24"/>
              </w:rPr>
            </w:pPr>
            <w:r w:rsidRPr="00FA472B">
              <w:rPr>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sz w:val="24"/>
              </w:rPr>
              <w:t>交银创业板</w:t>
            </w:r>
            <w:r w:rsidRPr="00FA472B">
              <w:rPr>
                <w:sz w:val="24"/>
              </w:rPr>
              <w:t>50</w:t>
            </w:r>
            <w:r w:rsidRPr="00FA472B">
              <w:rPr>
                <w:sz w:val="24"/>
              </w:rPr>
              <w:t>指数</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sz w:val="24"/>
              </w:rPr>
              <w:t>交银创业板</w:t>
            </w:r>
            <w:r w:rsidRPr="00FA472B">
              <w:rPr>
                <w:sz w:val="24"/>
              </w:rPr>
              <w:t>50</w:t>
            </w:r>
            <w:r w:rsidRPr="00FA472B">
              <w:rPr>
                <w:sz w:val="24"/>
              </w:rPr>
              <w:t>指数</w:t>
            </w:r>
            <w:r w:rsidRPr="00FA472B">
              <w:rPr>
                <w:sz w:val="24"/>
              </w:rPr>
              <w:t>C</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1,360,481,069.32</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9,108,666.08</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355,565,997.08</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125,073,530.50</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1,234,694,529.56</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49,736,218.72</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481,352,536.84</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84,445,977.86</w:t>
            </w:r>
          </w:p>
        </w:tc>
      </w:tr>
    </w:tbl>
    <w:p w:rsidR="008D1CFE" w:rsidRDefault="008D1CFE" w:rsidP="008D1CF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D1CFE" w:rsidRPr="0036023B" w:rsidRDefault="008D1CFE" w:rsidP="008D1CFE">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62673" w:rsidRDefault="00A62673" w:rsidP="00F729DC">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A62673" w:rsidRDefault="00A62673" w:rsidP="00413689">
      <w:pPr>
        <w:spacing w:line="360" w:lineRule="auto"/>
        <w:jc w:val="left"/>
        <w:rPr>
          <w:sz w:val="24"/>
        </w:rPr>
      </w:pPr>
      <w:r>
        <w:rPr>
          <w:b/>
          <w:sz w:val="24"/>
        </w:rPr>
        <w:t xml:space="preserve">7.1 </w:t>
      </w:r>
      <w:r>
        <w:rPr>
          <w:rFonts w:hint="eastAsia"/>
          <w:b/>
          <w:sz w:val="24"/>
        </w:rPr>
        <w:t>基金管理人持有本基金份额变动情况</w:t>
      </w:r>
      <w:bookmarkStart w:id="0" w:name="OLE_LINK1"/>
      <w:bookmarkStart w:id="1" w:name="OLE_LINK2"/>
      <w:bookmarkEnd w:id="0"/>
      <w:bookmarkEnd w:id="1"/>
    </w:p>
    <w:p w:rsidR="00A62673" w:rsidRPr="00C1648E" w:rsidRDefault="004D5C1F" w:rsidP="00C1648E">
      <w:pPr>
        <w:spacing w:line="360" w:lineRule="auto"/>
        <w:ind w:firstLineChars="200" w:firstLine="480"/>
        <w:rPr>
          <w:color w:val="000000"/>
          <w:sz w:val="24"/>
        </w:rPr>
      </w:pPr>
      <w:r w:rsidRPr="00DF18FE">
        <w:rPr>
          <w:color w:val="000000"/>
          <w:sz w:val="24"/>
        </w:rPr>
        <w:t>本报告期内未发生基金管理人运用固有资金投资本基金的情况。</w:t>
      </w:r>
    </w:p>
    <w:p w:rsidR="00A62673" w:rsidRDefault="00A62673" w:rsidP="00413689">
      <w:pPr>
        <w:spacing w:line="360" w:lineRule="auto"/>
        <w:jc w:val="left"/>
        <w:rPr>
          <w:sz w:val="24"/>
        </w:rPr>
      </w:pPr>
      <w:r>
        <w:rPr>
          <w:b/>
          <w:sz w:val="24"/>
        </w:rPr>
        <w:t xml:space="preserve">7.2 </w:t>
      </w:r>
      <w:r>
        <w:rPr>
          <w:rFonts w:hint="eastAsia"/>
          <w:b/>
          <w:sz w:val="24"/>
        </w:rPr>
        <w:t>基金管理人运用固有资金投资本基金交易明细</w:t>
      </w:r>
    </w:p>
    <w:p w:rsidR="00A62673" w:rsidRPr="00DC315B" w:rsidRDefault="004D5C1F" w:rsidP="00DC315B">
      <w:pPr>
        <w:spacing w:line="360" w:lineRule="auto"/>
        <w:ind w:firstLineChars="200" w:firstLine="480"/>
        <w:rPr>
          <w:color w:val="000000"/>
          <w:sz w:val="24"/>
        </w:rPr>
      </w:pPr>
      <w:r w:rsidRPr="00DF18FE">
        <w:rPr>
          <w:color w:val="000000"/>
          <w:sz w:val="24"/>
        </w:rPr>
        <w:t>本基金管理人本报告期内未进行本基金的申购、赎回、红利再投等。</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8</w:t>
      </w:r>
      <w:r w:rsidR="00900A07" w:rsidRPr="00EC5CE0">
        <w:rPr>
          <w:rFonts w:ascii="宋体" w:hAnsi="宋体" w:cs="Arial"/>
          <w:color w:val="000000"/>
          <w:kern w:val="0"/>
          <w:sz w:val="24"/>
          <w:szCs w:val="24"/>
        </w:rPr>
        <w:t xml:space="preserve">  </w:t>
      </w:r>
      <w:r w:rsidRPr="00EC5CE0">
        <w:rPr>
          <w:rFonts w:ascii="宋体" w:hAnsi="宋体" w:cs="Arial" w:hint="eastAsia"/>
          <w:color w:val="000000"/>
          <w:kern w:val="0"/>
          <w:sz w:val="24"/>
          <w:szCs w:val="24"/>
        </w:rPr>
        <w:t>备查文件目录</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8.1 </w:t>
      </w:r>
      <w:r w:rsidRPr="00511B6A">
        <w:rPr>
          <w:rFonts w:ascii="宋体" w:hAnsi="宋体" w:hint="eastAsia"/>
          <w:b/>
          <w:color w:val="000000"/>
          <w:sz w:val="24"/>
        </w:rPr>
        <w:t>备查文件目录</w:t>
      </w:r>
    </w:p>
    <w:p w:rsidR="00777D6F" w:rsidRDefault="00843846">
      <w:pPr>
        <w:spacing w:line="360" w:lineRule="auto"/>
        <w:ind w:firstLineChars="200" w:firstLine="480"/>
        <w:rPr>
          <w:color w:val="000000"/>
          <w:sz w:val="24"/>
        </w:rPr>
      </w:pPr>
      <w:r>
        <w:rPr>
          <w:color w:val="000000"/>
          <w:sz w:val="24"/>
        </w:rPr>
        <w:t>1</w:t>
      </w:r>
      <w:r>
        <w:rPr>
          <w:color w:val="000000"/>
          <w:sz w:val="24"/>
        </w:rPr>
        <w:t>、中国证监会准予交银施罗德创业板</w:t>
      </w:r>
      <w:r>
        <w:rPr>
          <w:color w:val="000000"/>
          <w:sz w:val="24"/>
        </w:rPr>
        <w:t>50</w:t>
      </w:r>
      <w:r>
        <w:rPr>
          <w:color w:val="000000"/>
          <w:sz w:val="24"/>
        </w:rPr>
        <w:t>指数型证券投资基金募集注册的文件；</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2</w:t>
      </w:r>
      <w:r>
        <w:rPr>
          <w:color w:val="000000"/>
          <w:sz w:val="24"/>
        </w:rPr>
        <w:t>、《交银施罗德创业板</w:t>
      </w:r>
      <w:r>
        <w:rPr>
          <w:color w:val="000000"/>
          <w:sz w:val="24"/>
        </w:rPr>
        <w:t>50</w:t>
      </w:r>
      <w:r>
        <w:rPr>
          <w:color w:val="000000"/>
          <w:sz w:val="24"/>
        </w:rPr>
        <w:t>指数型证券投资基金基金合同》；</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3</w:t>
      </w:r>
      <w:r>
        <w:rPr>
          <w:color w:val="000000"/>
          <w:sz w:val="24"/>
        </w:rPr>
        <w:t>、《交银施罗德创业板</w:t>
      </w:r>
      <w:r>
        <w:rPr>
          <w:color w:val="000000"/>
          <w:sz w:val="24"/>
        </w:rPr>
        <w:t>50</w:t>
      </w:r>
      <w:r>
        <w:rPr>
          <w:color w:val="000000"/>
          <w:sz w:val="24"/>
        </w:rPr>
        <w:t>指数型证券投资基金招募说明书》；</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4</w:t>
      </w:r>
      <w:r>
        <w:rPr>
          <w:color w:val="000000"/>
          <w:sz w:val="24"/>
        </w:rPr>
        <w:t>、《交银施罗德创业板</w:t>
      </w:r>
      <w:r>
        <w:rPr>
          <w:color w:val="000000"/>
          <w:sz w:val="24"/>
        </w:rPr>
        <w:t>50</w:t>
      </w:r>
      <w:r>
        <w:rPr>
          <w:color w:val="000000"/>
          <w:sz w:val="24"/>
        </w:rPr>
        <w:t>指数型证券投资基金托管协议》；</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5</w:t>
      </w:r>
      <w:r>
        <w:rPr>
          <w:color w:val="000000"/>
          <w:sz w:val="24"/>
        </w:rPr>
        <w:t>、关于申请募集注册交银施罗德创业板</w:t>
      </w:r>
      <w:r>
        <w:rPr>
          <w:color w:val="000000"/>
          <w:sz w:val="24"/>
        </w:rPr>
        <w:t>50</w:t>
      </w:r>
      <w:r>
        <w:rPr>
          <w:color w:val="000000"/>
          <w:sz w:val="24"/>
        </w:rPr>
        <w:t>指数型证券投资基金的法律意见书；</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77D6F" w:rsidRDefault="00843846">
      <w:pPr>
        <w:spacing w:line="360"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62673" w:rsidRPr="00C1648E" w:rsidRDefault="00A62673" w:rsidP="00C1648E">
      <w:pPr>
        <w:spacing w:line="360" w:lineRule="auto"/>
        <w:ind w:firstLineChars="200" w:firstLine="480"/>
        <w:rPr>
          <w:color w:val="000000"/>
          <w:sz w:val="24"/>
        </w:rPr>
      </w:pPr>
      <w:r w:rsidRPr="00DC315B">
        <w:rPr>
          <w:color w:val="000000"/>
          <w:sz w:val="24"/>
        </w:rPr>
        <w:t>8</w:t>
      </w:r>
      <w:r w:rsidRPr="00DC315B">
        <w:rPr>
          <w:color w:val="000000"/>
          <w:sz w:val="24"/>
        </w:rPr>
        <w:t>、报告期内交银施罗德创业板</w:t>
      </w:r>
      <w:r w:rsidRPr="00DC315B">
        <w:rPr>
          <w:color w:val="000000"/>
          <w:sz w:val="24"/>
        </w:rPr>
        <w:t>50</w:t>
      </w:r>
      <w:r w:rsidRPr="00DC315B">
        <w:rPr>
          <w:color w:val="000000"/>
          <w:sz w:val="24"/>
        </w:rPr>
        <w:t>指数型证券投资基金在指定报刊上各项公告的原稿。</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lastRenderedPageBreak/>
        <w:t xml:space="preserve">8.2 </w:t>
      </w:r>
      <w:r w:rsidRPr="00511B6A">
        <w:rPr>
          <w:rFonts w:ascii="宋体" w:hAnsi="宋体" w:hint="eastAsia"/>
          <w:b/>
          <w:color w:val="000000"/>
          <w:sz w:val="24"/>
        </w:rPr>
        <w:t>存放地点</w:t>
      </w:r>
    </w:p>
    <w:p w:rsidR="00A62673" w:rsidRPr="00C1648E" w:rsidRDefault="00A62673" w:rsidP="00C1648E">
      <w:pPr>
        <w:spacing w:line="360" w:lineRule="auto"/>
        <w:ind w:firstLineChars="200" w:firstLine="480"/>
        <w:rPr>
          <w:color w:val="000000"/>
          <w:sz w:val="24"/>
        </w:rPr>
      </w:pPr>
      <w:r w:rsidRPr="00DC315B">
        <w:rPr>
          <w:color w:val="000000"/>
          <w:sz w:val="24"/>
        </w:rPr>
        <w:t>备查文件存放于基金管理人的办公场所。</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8.3 </w:t>
      </w:r>
      <w:r w:rsidRPr="00511B6A">
        <w:rPr>
          <w:rFonts w:ascii="宋体" w:hAnsi="宋体" w:hint="eastAsia"/>
          <w:b/>
          <w:color w:val="000000"/>
          <w:sz w:val="24"/>
        </w:rPr>
        <w:t>查阅方式</w:t>
      </w:r>
    </w:p>
    <w:p w:rsidR="00777D6F" w:rsidRDefault="00843846">
      <w:pPr>
        <w:spacing w:line="360"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A62673" w:rsidRPr="00DC315B" w:rsidRDefault="00A62673" w:rsidP="005A2769">
      <w:pPr>
        <w:spacing w:line="360" w:lineRule="auto"/>
        <w:ind w:firstLineChars="200" w:firstLine="480"/>
        <w:rPr>
          <w:color w:val="000000"/>
          <w:sz w:val="24"/>
        </w:rPr>
      </w:pPr>
      <w:r w:rsidRPr="00DC315B">
        <w:rPr>
          <w:color w:val="000000"/>
          <w:sz w:val="24"/>
        </w:rPr>
        <w:t>投资者对本报告书如有疑问，可咨询本基金管理人交银施罗德基金管理有限公司。本公司客户服务中心电话：</w:t>
      </w:r>
      <w:r w:rsidRPr="00DC315B">
        <w:rPr>
          <w:color w:val="000000"/>
          <w:sz w:val="24"/>
        </w:rPr>
        <w:t>400-700-5000</w:t>
      </w:r>
      <w:r w:rsidRPr="00DC315B">
        <w:rPr>
          <w:color w:val="000000"/>
          <w:sz w:val="24"/>
        </w:rPr>
        <w:t>（免长途话费），</w:t>
      </w:r>
      <w:r w:rsidRPr="00DC315B">
        <w:rPr>
          <w:color w:val="000000"/>
          <w:sz w:val="24"/>
        </w:rPr>
        <w:t>021-61055000</w:t>
      </w:r>
      <w:r w:rsidRPr="00DC315B">
        <w:rPr>
          <w:color w:val="000000"/>
          <w:sz w:val="24"/>
        </w:rPr>
        <w:t>，电子邮件：</w:t>
      </w:r>
      <w:r w:rsidRPr="00DC315B">
        <w:rPr>
          <w:color w:val="000000"/>
          <w:sz w:val="24"/>
        </w:rPr>
        <w:t>services@jysld.com</w:t>
      </w:r>
      <w:r w:rsidRPr="00DC315B">
        <w:rPr>
          <w:color w:val="000000"/>
          <w:sz w:val="24"/>
        </w:rPr>
        <w:t>。</w:t>
      </w: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Pr="0003115A" w:rsidRDefault="00A62673" w:rsidP="00D50E63">
      <w:pPr>
        <w:spacing w:line="360" w:lineRule="auto"/>
        <w:ind w:firstLineChars="900" w:firstLine="2168"/>
        <w:rPr>
          <w:rFonts w:ascii="宋体"/>
          <w:b/>
          <w:sz w:val="24"/>
        </w:rPr>
      </w:pPr>
      <w:bookmarkStart w:id="2" w:name="_GoBack"/>
      <w:bookmarkEnd w:id="2"/>
    </w:p>
    <w:sectPr w:rsidR="00A62673" w:rsidRPr="0003115A" w:rsidSect="00DB4450">
      <w:footerReference w:type="even"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B1" w:rsidRDefault="005E62B1">
      <w:r>
        <w:separator/>
      </w:r>
    </w:p>
  </w:endnote>
  <w:endnote w:type="continuationSeparator" w:id="0">
    <w:p w:rsidR="005E62B1" w:rsidRDefault="005E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1E" w:rsidRPr="001D0DB0" w:rsidRDefault="00320C1E" w:rsidP="00230A66">
    <w:pPr>
      <w:pStyle w:val="a6"/>
      <w:jc w:val="center"/>
    </w:pPr>
    <w:r>
      <w:rPr>
        <w:rFonts w:hint="eastAsia"/>
        <w:szCs w:val="21"/>
      </w:rPr>
      <w:t>第</w:t>
    </w:r>
    <w:r>
      <w:rPr>
        <w:szCs w:val="21"/>
      </w:rPr>
      <w:fldChar w:fldCharType="begin"/>
    </w:r>
    <w:r>
      <w:rPr>
        <w:szCs w:val="21"/>
      </w:rPr>
      <w:instrText xml:space="preserve"> PAGE </w:instrText>
    </w:r>
    <w:r>
      <w:rPr>
        <w:szCs w:val="21"/>
      </w:rPr>
      <w:fldChar w:fldCharType="separate"/>
    </w:r>
    <w:r w:rsidR="0003115A">
      <w:rPr>
        <w:noProof/>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03115A">
      <w:rPr>
        <w:noProof/>
        <w:szCs w:val="21"/>
      </w:rPr>
      <w:t>15</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1E" w:rsidRDefault="00320C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0C1E" w:rsidRDefault="00320C1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1E" w:rsidRDefault="00320C1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3115A">
      <w:rPr>
        <w:rStyle w:val="a7"/>
        <w:noProof/>
      </w:rPr>
      <w:t>15</w:t>
    </w:r>
    <w:r>
      <w:rPr>
        <w:rStyle w:val="a7"/>
      </w:rPr>
      <w:fldChar w:fldCharType="end"/>
    </w:r>
  </w:p>
  <w:p w:rsidR="00320C1E" w:rsidRDefault="00320C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B1" w:rsidRDefault="005E62B1">
      <w:r>
        <w:separator/>
      </w:r>
    </w:p>
  </w:footnote>
  <w:footnote w:type="continuationSeparator" w:id="0">
    <w:p w:rsidR="005E62B1" w:rsidRDefault="005E6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1E" w:rsidRPr="00977154" w:rsidRDefault="00320C1E" w:rsidP="005E491F">
    <w:pPr>
      <w:pStyle w:val="a9"/>
      <w:pBdr>
        <w:bottom w:val="single" w:sz="6" w:space="0" w:color="auto"/>
      </w:pBdr>
      <w:jc w:val="right"/>
    </w:pPr>
    <w:r w:rsidRPr="00977154">
      <w:t>交银施罗德创业板</w:t>
    </w:r>
    <w:r w:rsidRPr="00977154">
      <w:t>50</w:t>
    </w:r>
    <w:r w:rsidRPr="00977154">
      <w:t>指数型证券投资基金</w:t>
    </w:r>
    <w:r w:rsidRPr="00977154">
      <w:t>2020</w:t>
    </w:r>
    <w:r w:rsidRPr="00977154">
      <w:t>年第</w:t>
    </w:r>
    <w:r w:rsidRPr="00977154">
      <w:t>1</w:t>
    </w:r>
    <w:r w:rsidRPr="0097715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20BB"/>
    <w:rsid w:val="0000369F"/>
    <w:rsid w:val="0000403B"/>
    <w:rsid w:val="00005911"/>
    <w:rsid w:val="00010A83"/>
    <w:rsid w:val="00010A8E"/>
    <w:rsid w:val="00010AC3"/>
    <w:rsid w:val="000115A7"/>
    <w:rsid w:val="00011EB5"/>
    <w:rsid w:val="0001280C"/>
    <w:rsid w:val="00017581"/>
    <w:rsid w:val="00020583"/>
    <w:rsid w:val="00021DD4"/>
    <w:rsid w:val="00023BE7"/>
    <w:rsid w:val="00024709"/>
    <w:rsid w:val="0003115A"/>
    <w:rsid w:val="00037FCF"/>
    <w:rsid w:val="000421B8"/>
    <w:rsid w:val="00043ABF"/>
    <w:rsid w:val="000445E4"/>
    <w:rsid w:val="00045BEC"/>
    <w:rsid w:val="000510AB"/>
    <w:rsid w:val="00055AF1"/>
    <w:rsid w:val="000625A6"/>
    <w:rsid w:val="00064AE3"/>
    <w:rsid w:val="0006511D"/>
    <w:rsid w:val="00066524"/>
    <w:rsid w:val="00070CD1"/>
    <w:rsid w:val="0007171B"/>
    <w:rsid w:val="00072E4F"/>
    <w:rsid w:val="00074E9F"/>
    <w:rsid w:val="000770DE"/>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D34E3"/>
    <w:rsid w:val="000E4456"/>
    <w:rsid w:val="000F175F"/>
    <w:rsid w:val="000F17D1"/>
    <w:rsid w:val="000F386F"/>
    <w:rsid w:val="000F60FF"/>
    <w:rsid w:val="000F635F"/>
    <w:rsid w:val="000F6C61"/>
    <w:rsid w:val="000F709D"/>
    <w:rsid w:val="00100C12"/>
    <w:rsid w:val="00101DBA"/>
    <w:rsid w:val="001049B6"/>
    <w:rsid w:val="0010515E"/>
    <w:rsid w:val="001051C6"/>
    <w:rsid w:val="00107CB4"/>
    <w:rsid w:val="0011177A"/>
    <w:rsid w:val="00112E9B"/>
    <w:rsid w:val="00116E31"/>
    <w:rsid w:val="00122A26"/>
    <w:rsid w:val="0012304E"/>
    <w:rsid w:val="001248EF"/>
    <w:rsid w:val="001257C7"/>
    <w:rsid w:val="00126DDF"/>
    <w:rsid w:val="001270BF"/>
    <w:rsid w:val="00127BAC"/>
    <w:rsid w:val="0013360F"/>
    <w:rsid w:val="00141121"/>
    <w:rsid w:val="001421A1"/>
    <w:rsid w:val="00142A56"/>
    <w:rsid w:val="00144DF5"/>
    <w:rsid w:val="00145A97"/>
    <w:rsid w:val="00146485"/>
    <w:rsid w:val="00150AD6"/>
    <w:rsid w:val="001526F9"/>
    <w:rsid w:val="00153B40"/>
    <w:rsid w:val="00154ADA"/>
    <w:rsid w:val="0015531A"/>
    <w:rsid w:val="001600E8"/>
    <w:rsid w:val="00163B27"/>
    <w:rsid w:val="00165317"/>
    <w:rsid w:val="00165A09"/>
    <w:rsid w:val="001718C5"/>
    <w:rsid w:val="00171BAD"/>
    <w:rsid w:val="0017347D"/>
    <w:rsid w:val="001744B4"/>
    <w:rsid w:val="001756A1"/>
    <w:rsid w:val="001761EE"/>
    <w:rsid w:val="0017659B"/>
    <w:rsid w:val="00176EAA"/>
    <w:rsid w:val="0017725A"/>
    <w:rsid w:val="001779ED"/>
    <w:rsid w:val="00177C4B"/>
    <w:rsid w:val="00182635"/>
    <w:rsid w:val="0018325A"/>
    <w:rsid w:val="00185053"/>
    <w:rsid w:val="00186199"/>
    <w:rsid w:val="001928F7"/>
    <w:rsid w:val="00194537"/>
    <w:rsid w:val="0019563C"/>
    <w:rsid w:val="00195F18"/>
    <w:rsid w:val="001968CE"/>
    <w:rsid w:val="00196E83"/>
    <w:rsid w:val="001A0A1E"/>
    <w:rsid w:val="001A21A9"/>
    <w:rsid w:val="001A59D8"/>
    <w:rsid w:val="001A5FA6"/>
    <w:rsid w:val="001A6A3B"/>
    <w:rsid w:val="001A6F8A"/>
    <w:rsid w:val="001B0A62"/>
    <w:rsid w:val="001B2F0C"/>
    <w:rsid w:val="001C13C9"/>
    <w:rsid w:val="001C37F6"/>
    <w:rsid w:val="001C6288"/>
    <w:rsid w:val="001D0DB0"/>
    <w:rsid w:val="001D0F6A"/>
    <w:rsid w:val="001D21BC"/>
    <w:rsid w:val="001D2FA5"/>
    <w:rsid w:val="001D35E0"/>
    <w:rsid w:val="001D3711"/>
    <w:rsid w:val="001D3CDF"/>
    <w:rsid w:val="001D5045"/>
    <w:rsid w:val="001D5A44"/>
    <w:rsid w:val="001D63BB"/>
    <w:rsid w:val="001D724B"/>
    <w:rsid w:val="001E11D3"/>
    <w:rsid w:val="001E2A6A"/>
    <w:rsid w:val="001E3742"/>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17C2"/>
    <w:rsid w:val="0025281A"/>
    <w:rsid w:val="00253D3C"/>
    <w:rsid w:val="00255292"/>
    <w:rsid w:val="00257D8C"/>
    <w:rsid w:val="00257F8D"/>
    <w:rsid w:val="00260200"/>
    <w:rsid w:val="00263563"/>
    <w:rsid w:val="002648D8"/>
    <w:rsid w:val="00264E55"/>
    <w:rsid w:val="00267B74"/>
    <w:rsid w:val="00270548"/>
    <w:rsid w:val="00273F86"/>
    <w:rsid w:val="002774F0"/>
    <w:rsid w:val="00283272"/>
    <w:rsid w:val="0028459B"/>
    <w:rsid w:val="00284C5F"/>
    <w:rsid w:val="002873F0"/>
    <w:rsid w:val="00287AC3"/>
    <w:rsid w:val="0029046D"/>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4578"/>
    <w:rsid w:val="002C5777"/>
    <w:rsid w:val="002D32E3"/>
    <w:rsid w:val="002D7B86"/>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0C1E"/>
    <w:rsid w:val="00321E8C"/>
    <w:rsid w:val="003223A2"/>
    <w:rsid w:val="00322A86"/>
    <w:rsid w:val="00323AE8"/>
    <w:rsid w:val="00324548"/>
    <w:rsid w:val="003251F4"/>
    <w:rsid w:val="003303E3"/>
    <w:rsid w:val="00331FA4"/>
    <w:rsid w:val="003329EA"/>
    <w:rsid w:val="003347EF"/>
    <w:rsid w:val="00337293"/>
    <w:rsid w:val="003407A5"/>
    <w:rsid w:val="00341188"/>
    <w:rsid w:val="0034147B"/>
    <w:rsid w:val="00345AA8"/>
    <w:rsid w:val="00350238"/>
    <w:rsid w:val="0035109C"/>
    <w:rsid w:val="00351F0A"/>
    <w:rsid w:val="0035432B"/>
    <w:rsid w:val="00357172"/>
    <w:rsid w:val="0035753B"/>
    <w:rsid w:val="003613A8"/>
    <w:rsid w:val="00361E7E"/>
    <w:rsid w:val="0036360E"/>
    <w:rsid w:val="00364504"/>
    <w:rsid w:val="00364559"/>
    <w:rsid w:val="00370AA4"/>
    <w:rsid w:val="00371FF4"/>
    <w:rsid w:val="00375F3B"/>
    <w:rsid w:val="00376C39"/>
    <w:rsid w:val="00377520"/>
    <w:rsid w:val="003802CC"/>
    <w:rsid w:val="00380D36"/>
    <w:rsid w:val="003822D3"/>
    <w:rsid w:val="0038237A"/>
    <w:rsid w:val="003834E0"/>
    <w:rsid w:val="00384C43"/>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23CB"/>
    <w:rsid w:val="003D6F64"/>
    <w:rsid w:val="003D78B5"/>
    <w:rsid w:val="003E244F"/>
    <w:rsid w:val="003E62A6"/>
    <w:rsid w:val="003E688B"/>
    <w:rsid w:val="003E68A0"/>
    <w:rsid w:val="003E695F"/>
    <w:rsid w:val="003E6C9B"/>
    <w:rsid w:val="003E709C"/>
    <w:rsid w:val="003E7B89"/>
    <w:rsid w:val="003F4241"/>
    <w:rsid w:val="003F7040"/>
    <w:rsid w:val="003F7C45"/>
    <w:rsid w:val="0040132C"/>
    <w:rsid w:val="00405085"/>
    <w:rsid w:val="00405481"/>
    <w:rsid w:val="004066FC"/>
    <w:rsid w:val="00407C10"/>
    <w:rsid w:val="004103DF"/>
    <w:rsid w:val="00410E6E"/>
    <w:rsid w:val="004113B4"/>
    <w:rsid w:val="00413689"/>
    <w:rsid w:val="004143D6"/>
    <w:rsid w:val="00414827"/>
    <w:rsid w:val="00416C10"/>
    <w:rsid w:val="00420355"/>
    <w:rsid w:val="00421E6B"/>
    <w:rsid w:val="00424EF3"/>
    <w:rsid w:val="004268BB"/>
    <w:rsid w:val="00431047"/>
    <w:rsid w:val="004318F0"/>
    <w:rsid w:val="00431B86"/>
    <w:rsid w:val="00435368"/>
    <w:rsid w:val="004408EC"/>
    <w:rsid w:val="004419E2"/>
    <w:rsid w:val="00441E6A"/>
    <w:rsid w:val="0044398D"/>
    <w:rsid w:val="00443C8F"/>
    <w:rsid w:val="00447C82"/>
    <w:rsid w:val="00450215"/>
    <w:rsid w:val="00452481"/>
    <w:rsid w:val="00457251"/>
    <w:rsid w:val="004575E9"/>
    <w:rsid w:val="004576F2"/>
    <w:rsid w:val="00457804"/>
    <w:rsid w:val="004646BF"/>
    <w:rsid w:val="00464744"/>
    <w:rsid w:val="004665E3"/>
    <w:rsid w:val="00467683"/>
    <w:rsid w:val="004731F1"/>
    <w:rsid w:val="00480BC8"/>
    <w:rsid w:val="00481265"/>
    <w:rsid w:val="004814BF"/>
    <w:rsid w:val="0048587E"/>
    <w:rsid w:val="00487C2B"/>
    <w:rsid w:val="00490626"/>
    <w:rsid w:val="00491631"/>
    <w:rsid w:val="0049297D"/>
    <w:rsid w:val="004929F2"/>
    <w:rsid w:val="00494E27"/>
    <w:rsid w:val="00495A03"/>
    <w:rsid w:val="004967FC"/>
    <w:rsid w:val="00497079"/>
    <w:rsid w:val="004976EE"/>
    <w:rsid w:val="004A00BD"/>
    <w:rsid w:val="004A1A57"/>
    <w:rsid w:val="004A1BBA"/>
    <w:rsid w:val="004A29E5"/>
    <w:rsid w:val="004A3E3C"/>
    <w:rsid w:val="004B0E4B"/>
    <w:rsid w:val="004B0E6D"/>
    <w:rsid w:val="004B16E8"/>
    <w:rsid w:val="004B2DB9"/>
    <w:rsid w:val="004B5E54"/>
    <w:rsid w:val="004B6250"/>
    <w:rsid w:val="004B76B1"/>
    <w:rsid w:val="004C0057"/>
    <w:rsid w:val="004C03A7"/>
    <w:rsid w:val="004C0541"/>
    <w:rsid w:val="004C2C46"/>
    <w:rsid w:val="004C5189"/>
    <w:rsid w:val="004C7235"/>
    <w:rsid w:val="004C7955"/>
    <w:rsid w:val="004D047F"/>
    <w:rsid w:val="004D1930"/>
    <w:rsid w:val="004D1A45"/>
    <w:rsid w:val="004D3D96"/>
    <w:rsid w:val="004D5C1F"/>
    <w:rsid w:val="004D650F"/>
    <w:rsid w:val="004E2133"/>
    <w:rsid w:val="004E5AB9"/>
    <w:rsid w:val="004E60FB"/>
    <w:rsid w:val="004F4EA9"/>
    <w:rsid w:val="004F7045"/>
    <w:rsid w:val="004F779C"/>
    <w:rsid w:val="004F7846"/>
    <w:rsid w:val="005000D4"/>
    <w:rsid w:val="0050069E"/>
    <w:rsid w:val="005009C0"/>
    <w:rsid w:val="00500F1D"/>
    <w:rsid w:val="0050148E"/>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4EC3"/>
    <w:rsid w:val="00525E59"/>
    <w:rsid w:val="005318CC"/>
    <w:rsid w:val="00531D1B"/>
    <w:rsid w:val="005349B1"/>
    <w:rsid w:val="005374BC"/>
    <w:rsid w:val="00543188"/>
    <w:rsid w:val="00543367"/>
    <w:rsid w:val="00543BFA"/>
    <w:rsid w:val="00547D9C"/>
    <w:rsid w:val="00547DA1"/>
    <w:rsid w:val="00551CED"/>
    <w:rsid w:val="00554EAB"/>
    <w:rsid w:val="0055513C"/>
    <w:rsid w:val="00560C94"/>
    <w:rsid w:val="00560F37"/>
    <w:rsid w:val="0056291C"/>
    <w:rsid w:val="00565A63"/>
    <w:rsid w:val="00566588"/>
    <w:rsid w:val="00570B1A"/>
    <w:rsid w:val="00572736"/>
    <w:rsid w:val="0057275D"/>
    <w:rsid w:val="005800A9"/>
    <w:rsid w:val="00580488"/>
    <w:rsid w:val="0058074D"/>
    <w:rsid w:val="00580FD1"/>
    <w:rsid w:val="0058111B"/>
    <w:rsid w:val="00582FAD"/>
    <w:rsid w:val="00583489"/>
    <w:rsid w:val="00583A98"/>
    <w:rsid w:val="00584D71"/>
    <w:rsid w:val="005858C4"/>
    <w:rsid w:val="00590FE4"/>
    <w:rsid w:val="00591D9C"/>
    <w:rsid w:val="00597057"/>
    <w:rsid w:val="00597D8B"/>
    <w:rsid w:val="005A1C30"/>
    <w:rsid w:val="005A2769"/>
    <w:rsid w:val="005A2DCB"/>
    <w:rsid w:val="005A3295"/>
    <w:rsid w:val="005A46FF"/>
    <w:rsid w:val="005A6166"/>
    <w:rsid w:val="005B011E"/>
    <w:rsid w:val="005B1C7D"/>
    <w:rsid w:val="005B1DEC"/>
    <w:rsid w:val="005B2E84"/>
    <w:rsid w:val="005B53CA"/>
    <w:rsid w:val="005B5A04"/>
    <w:rsid w:val="005B7B0E"/>
    <w:rsid w:val="005C0A04"/>
    <w:rsid w:val="005C5409"/>
    <w:rsid w:val="005C69AC"/>
    <w:rsid w:val="005C722E"/>
    <w:rsid w:val="005C7380"/>
    <w:rsid w:val="005D01A4"/>
    <w:rsid w:val="005D14DE"/>
    <w:rsid w:val="005D3F12"/>
    <w:rsid w:val="005D44E4"/>
    <w:rsid w:val="005D45B3"/>
    <w:rsid w:val="005D4CEB"/>
    <w:rsid w:val="005E491F"/>
    <w:rsid w:val="005E58CE"/>
    <w:rsid w:val="005E59E9"/>
    <w:rsid w:val="005E62B1"/>
    <w:rsid w:val="005F04E6"/>
    <w:rsid w:val="005F23CA"/>
    <w:rsid w:val="005F43B9"/>
    <w:rsid w:val="005F68CB"/>
    <w:rsid w:val="005F6A4A"/>
    <w:rsid w:val="005F7D6F"/>
    <w:rsid w:val="00602154"/>
    <w:rsid w:val="006033E3"/>
    <w:rsid w:val="00604FE3"/>
    <w:rsid w:val="0061321C"/>
    <w:rsid w:val="00620DB0"/>
    <w:rsid w:val="0062386E"/>
    <w:rsid w:val="00623D9A"/>
    <w:rsid w:val="00623F01"/>
    <w:rsid w:val="006242FB"/>
    <w:rsid w:val="00626E2D"/>
    <w:rsid w:val="00627D94"/>
    <w:rsid w:val="00630B42"/>
    <w:rsid w:val="00636CDE"/>
    <w:rsid w:val="00637BA7"/>
    <w:rsid w:val="00640ACD"/>
    <w:rsid w:val="00642072"/>
    <w:rsid w:val="00643330"/>
    <w:rsid w:val="006440ED"/>
    <w:rsid w:val="00645293"/>
    <w:rsid w:val="00647C64"/>
    <w:rsid w:val="00651B78"/>
    <w:rsid w:val="00652263"/>
    <w:rsid w:val="00652881"/>
    <w:rsid w:val="00661974"/>
    <w:rsid w:val="00664551"/>
    <w:rsid w:val="00664E44"/>
    <w:rsid w:val="00665677"/>
    <w:rsid w:val="0066704D"/>
    <w:rsid w:val="006676A0"/>
    <w:rsid w:val="00670857"/>
    <w:rsid w:val="00671124"/>
    <w:rsid w:val="006727B0"/>
    <w:rsid w:val="0067307E"/>
    <w:rsid w:val="00677AC6"/>
    <w:rsid w:val="00687AD5"/>
    <w:rsid w:val="006908F6"/>
    <w:rsid w:val="00691AFA"/>
    <w:rsid w:val="0069335C"/>
    <w:rsid w:val="00695251"/>
    <w:rsid w:val="00695ADE"/>
    <w:rsid w:val="00695C0D"/>
    <w:rsid w:val="00696356"/>
    <w:rsid w:val="006A72C6"/>
    <w:rsid w:val="006B02DA"/>
    <w:rsid w:val="006B2065"/>
    <w:rsid w:val="006B315F"/>
    <w:rsid w:val="006B3940"/>
    <w:rsid w:val="006C168D"/>
    <w:rsid w:val="006C1D5C"/>
    <w:rsid w:val="006C3C80"/>
    <w:rsid w:val="006C3F43"/>
    <w:rsid w:val="006C642C"/>
    <w:rsid w:val="006C6FC6"/>
    <w:rsid w:val="006D11D4"/>
    <w:rsid w:val="006D1831"/>
    <w:rsid w:val="006D442E"/>
    <w:rsid w:val="006D6A40"/>
    <w:rsid w:val="006D6F20"/>
    <w:rsid w:val="006D7693"/>
    <w:rsid w:val="006E231B"/>
    <w:rsid w:val="006E346E"/>
    <w:rsid w:val="006E34B7"/>
    <w:rsid w:val="006F0F87"/>
    <w:rsid w:val="006F2F3E"/>
    <w:rsid w:val="006F4CD8"/>
    <w:rsid w:val="006F53D9"/>
    <w:rsid w:val="006F6A94"/>
    <w:rsid w:val="007004DC"/>
    <w:rsid w:val="00701575"/>
    <w:rsid w:val="00701A03"/>
    <w:rsid w:val="00703E8A"/>
    <w:rsid w:val="00711522"/>
    <w:rsid w:val="007124FE"/>
    <w:rsid w:val="00712EE5"/>
    <w:rsid w:val="00713186"/>
    <w:rsid w:val="00713757"/>
    <w:rsid w:val="0071379B"/>
    <w:rsid w:val="0071497D"/>
    <w:rsid w:val="00717772"/>
    <w:rsid w:val="0072122C"/>
    <w:rsid w:val="00721AF1"/>
    <w:rsid w:val="0072280F"/>
    <w:rsid w:val="00722B5E"/>
    <w:rsid w:val="00723309"/>
    <w:rsid w:val="00723845"/>
    <w:rsid w:val="0072708F"/>
    <w:rsid w:val="007323FB"/>
    <w:rsid w:val="00732D1D"/>
    <w:rsid w:val="00736034"/>
    <w:rsid w:val="0073681C"/>
    <w:rsid w:val="00741EBE"/>
    <w:rsid w:val="00746130"/>
    <w:rsid w:val="007467A8"/>
    <w:rsid w:val="00746A40"/>
    <w:rsid w:val="007479DC"/>
    <w:rsid w:val="00750358"/>
    <w:rsid w:val="00755CDF"/>
    <w:rsid w:val="00757A4C"/>
    <w:rsid w:val="0076110A"/>
    <w:rsid w:val="00764A94"/>
    <w:rsid w:val="00764DC3"/>
    <w:rsid w:val="007651E5"/>
    <w:rsid w:val="007670DC"/>
    <w:rsid w:val="00767239"/>
    <w:rsid w:val="0077111A"/>
    <w:rsid w:val="00772272"/>
    <w:rsid w:val="00774C7D"/>
    <w:rsid w:val="007756ED"/>
    <w:rsid w:val="00777D6F"/>
    <w:rsid w:val="007869A0"/>
    <w:rsid w:val="00786A23"/>
    <w:rsid w:val="007870FC"/>
    <w:rsid w:val="00787CD0"/>
    <w:rsid w:val="00791053"/>
    <w:rsid w:val="00791A3A"/>
    <w:rsid w:val="00794196"/>
    <w:rsid w:val="00797637"/>
    <w:rsid w:val="007A2E54"/>
    <w:rsid w:val="007A3680"/>
    <w:rsid w:val="007A59B8"/>
    <w:rsid w:val="007B2862"/>
    <w:rsid w:val="007B662A"/>
    <w:rsid w:val="007B6FEC"/>
    <w:rsid w:val="007C1A93"/>
    <w:rsid w:val="007C751E"/>
    <w:rsid w:val="007D021A"/>
    <w:rsid w:val="007D28C9"/>
    <w:rsid w:val="007D3CC8"/>
    <w:rsid w:val="007D62F9"/>
    <w:rsid w:val="007D63A4"/>
    <w:rsid w:val="007E1AA2"/>
    <w:rsid w:val="007E4C1F"/>
    <w:rsid w:val="007F0746"/>
    <w:rsid w:val="007F0759"/>
    <w:rsid w:val="007F25C0"/>
    <w:rsid w:val="007F456A"/>
    <w:rsid w:val="007F4C9B"/>
    <w:rsid w:val="007F5F52"/>
    <w:rsid w:val="007F77C6"/>
    <w:rsid w:val="007F77D8"/>
    <w:rsid w:val="008003A1"/>
    <w:rsid w:val="008006B7"/>
    <w:rsid w:val="00800FDB"/>
    <w:rsid w:val="00802081"/>
    <w:rsid w:val="008020B5"/>
    <w:rsid w:val="008021E8"/>
    <w:rsid w:val="008034CF"/>
    <w:rsid w:val="00803F15"/>
    <w:rsid w:val="008063D8"/>
    <w:rsid w:val="00806461"/>
    <w:rsid w:val="00806722"/>
    <w:rsid w:val="0081096D"/>
    <w:rsid w:val="00810EAD"/>
    <w:rsid w:val="00811833"/>
    <w:rsid w:val="008174D4"/>
    <w:rsid w:val="00820FE6"/>
    <w:rsid w:val="00821A66"/>
    <w:rsid w:val="00822476"/>
    <w:rsid w:val="00822882"/>
    <w:rsid w:val="0082435E"/>
    <w:rsid w:val="00824CB2"/>
    <w:rsid w:val="00825F68"/>
    <w:rsid w:val="008273D3"/>
    <w:rsid w:val="00835408"/>
    <w:rsid w:val="008359DA"/>
    <w:rsid w:val="00837CEF"/>
    <w:rsid w:val="00840035"/>
    <w:rsid w:val="00840220"/>
    <w:rsid w:val="008419D5"/>
    <w:rsid w:val="00841B65"/>
    <w:rsid w:val="008428A9"/>
    <w:rsid w:val="00843846"/>
    <w:rsid w:val="00844112"/>
    <w:rsid w:val="008444F2"/>
    <w:rsid w:val="00844984"/>
    <w:rsid w:val="008456C9"/>
    <w:rsid w:val="0084611D"/>
    <w:rsid w:val="00847BEF"/>
    <w:rsid w:val="00847D9E"/>
    <w:rsid w:val="00850C62"/>
    <w:rsid w:val="008624F9"/>
    <w:rsid w:val="00863011"/>
    <w:rsid w:val="00865075"/>
    <w:rsid w:val="00866F96"/>
    <w:rsid w:val="0086748F"/>
    <w:rsid w:val="00872CE4"/>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1CFE"/>
    <w:rsid w:val="008D20FF"/>
    <w:rsid w:val="008D2265"/>
    <w:rsid w:val="008D3DE6"/>
    <w:rsid w:val="008D4223"/>
    <w:rsid w:val="008D44CC"/>
    <w:rsid w:val="008D46E3"/>
    <w:rsid w:val="008D6709"/>
    <w:rsid w:val="008D7EF7"/>
    <w:rsid w:val="008E083A"/>
    <w:rsid w:val="008E1338"/>
    <w:rsid w:val="008E2450"/>
    <w:rsid w:val="008E2983"/>
    <w:rsid w:val="008E6038"/>
    <w:rsid w:val="008E7896"/>
    <w:rsid w:val="008F2477"/>
    <w:rsid w:val="008F2F2B"/>
    <w:rsid w:val="008F385C"/>
    <w:rsid w:val="008F3EF6"/>
    <w:rsid w:val="008F4AAB"/>
    <w:rsid w:val="008F60C5"/>
    <w:rsid w:val="00900A07"/>
    <w:rsid w:val="009010F0"/>
    <w:rsid w:val="00901162"/>
    <w:rsid w:val="0090223A"/>
    <w:rsid w:val="009028E2"/>
    <w:rsid w:val="009135C1"/>
    <w:rsid w:val="00914EAB"/>
    <w:rsid w:val="00916597"/>
    <w:rsid w:val="00922D49"/>
    <w:rsid w:val="009259CF"/>
    <w:rsid w:val="00925E37"/>
    <w:rsid w:val="00925EDD"/>
    <w:rsid w:val="009272D2"/>
    <w:rsid w:val="00927D0E"/>
    <w:rsid w:val="009309DA"/>
    <w:rsid w:val="00936688"/>
    <w:rsid w:val="00937CFA"/>
    <w:rsid w:val="009406B3"/>
    <w:rsid w:val="00942DF0"/>
    <w:rsid w:val="00945CF5"/>
    <w:rsid w:val="009500A1"/>
    <w:rsid w:val="0095037E"/>
    <w:rsid w:val="00950845"/>
    <w:rsid w:val="00952AAD"/>
    <w:rsid w:val="00954567"/>
    <w:rsid w:val="009547A9"/>
    <w:rsid w:val="009548FE"/>
    <w:rsid w:val="00956F0B"/>
    <w:rsid w:val="00957466"/>
    <w:rsid w:val="0096260B"/>
    <w:rsid w:val="009664D5"/>
    <w:rsid w:val="00970C69"/>
    <w:rsid w:val="00971DF7"/>
    <w:rsid w:val="00971F1C"/>
    <w:rsid w:val="0097211D"/>
    <w:rsid w:val="00972E10"/>
    <w:rsid w:val="009746CA"/>
    <w:rsid w:val="00974975"/>
    <w:rsid w:val="00974EA8"/>
    <w:rsid w:val="00975555"/>
    <w:rsid w:val="00977154"/>
    <w:rsid w:val="00981963"/>
    <w:rsid w:val="00983C82"/>
    <w:rsid w:val="00984520"/>
    <w:rsid w:val="0098545C"/>
    <w:rsid w:val="00992BA2"/>
    <w:rsid w:val="00992F83"/>
    <w:rsid w:val="0099508A"/>
    <w:rsid w:val="009974EB"/>
    <w:rsid w:val="009A037F"/>
    <w:rsid w:val="009A1126"/>
    <w:rsid w:val="009A552C"/>
    <w:rsid w:val="009A63AC"/>
    <w:rsid w:val="009B1584"/>
    <w:rsid w:val="009B1B32"/>
    <w:rsid w:val="009B21CA"/>
    <w:rsid w:val="009B2648"/>
    <w:rsid w:val="009B2EE9"/>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D7F16"/>
    <w:rsid w:val="009E0F1A"/>
    <w:rsid w:val="009E140D"/>
    <w:rsid w:val="009E348F"/>
    <w:rsid w:val="009E4465"/>
    <w:rsid w:val="009E4DF2"/>
    <w:rsid w:val="009E6401"/>
    <w:rsid w:val="009E6C54"/>
    <w:rsid w:val="009F2261"/>
    <w:rsid w:val="009F2A25"/>
    <w:rsid w:val="009F5235"/>
    <w:rsid w:val="009F531A"/>
    <w:rsid w:val="009F6550"/>
    <w:rsid w:val="009F786E"/>
    <w:rsid w:val="00A00902"/>
    <w:rsid w:val="00A039FF"/>
    <w:rsid w:val="00A0522C"/>
    <w:rsid w:val="00A05ACE"/>
    <w:rsid w:val="00A078CB"/>
    <w:rsid w:val="00A125F9"/>
    <w:rsid w:val="00A14AE3"/>
    <w:rsid w:val="00A16675"/>
    <w:rsid w:val="00A22CD6"/>
    <w:rsid w:val="00A234EC"/>
    <w:rsid w:val="00A2417A"/>
    <w:rsid w:val="00A26668"/>
    <w:rsid w:val="00A27804"/>
    <w:rsid w:val="00A3489D"/>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2673"/>
    <w:rsid w:val="00A63284"/>
    <w:rsid w:val="00A64CB8"/>
    <w:rsid w:val="00A67018"/>
    <w:rsid w:val="00A672F3"/>
    <w:rsid w:val="00A673DC"/>
    <w:rsid w:val="00A677FA"/>
    <w:rsid w:val="00A7076E"/>
    <w:rsid w:val="00A709BE"/>
    <w:rsid w:val="00A7162E"/>
    <w:rsid w:val="00A7195A"/>
    <w:rsid w:val="00A72D71"/>
    <w:rsid w:val="00A75705"/>
    <w:rsid w:val="00A77C69"/>
    <w:rsid w:val="00A829DE"/>
    <w:rsid w:val="00A83953"/>
    <w:rsid w:val="00A84113"/>
    <w:rsid w:val="00A85AF5"/>
    <w:rsid w:val="00A903B6"/>
    <w:rsid w:val="00A90F4F"/>
    <w:rsid w:val="00A92C40"/>
    <w:rsid w:val="00A947AA"/>
    <w:rsid w:val="00AA0AC5"/>
    <w:rsid w:val="00AA19FE"/>
    <w:rsid w:val="00AA1B53"/>
    <w:rsid w:val="00AA3556"/>
    <w:rsid w:val="00AA35FD"/>
    <w:rsid w:val="00AA38A5"/>
    <w:rsid w:val="00AA3ADC"/>
    <w:rsid w:val="00AA3DB7"/>
    <w:rsid w:val="00AA6B2E"/>
    <w:rsid w:val="00AB3012"/>
    <w:rsid w:val="00AB321C"/>
    <w:rsid w:val="00AB5B99"/>
    <w:rsid w:val="00AB688F"/>
    <w:rsid w:val="00AB75EA"/>
    <w:rsid w:val="00AB7AA2"/>
    <w:rsid w:val="00AC44D9"/>
    <w:rsid w:val="00AC4BC1"/>
    <w:rsid w:val="00AC6FFD"/>
    <w:rsid w:val="00AD04BD"/>
    <w:rsid w:val="00AD25F6"/>
    <w:rsid w:val="00AD67CB"/>
    <w:rsid w:val="00AD7214"/>
    <w:rsid w:val="00AE1066"/>
    <w:rsid w:val="00AE4518"/>
    <w:rsid w:val="00AE5D7F"/>
    <w:rsid w:val="00AE79F0"/>
    <w:rsid w:val="00AE7FCD"/>
    <w:rsid w:val="00AF0030"/>
    <w:rsid w:val="00AF2DAE"/>
    <w:rsid w:val="00AF5585"/>
    <w:rsid w:val="00AF6EC1"/>
    <w:rsid w:val="00B00331"/>
    <w:rsid w:val="00B01A80"/>
    <w:rsid w:val="00B03EF2"/>
    <w:rsid w:val="00B07C27"/>
    <w:rsid w:val="00B10017"/>
    <w:rsid w:val="00B10DE1"/>
    <w:rsid w:val="00B10FF8"/>
    <w:rsid w:val="00B203C4"/>
    <w:rsid w:val="00B22E81"/>
    <w:rsid w:val="00B23996"/>
    <w:rsid w:val="00B23CB2"/>
    <w:rsid w:val="00B2561A"/>
    <w:rsid w:val="00B25A64"/>
    <w:rsid w:val="00B3244D"/>
    <w:rsid w:val="00B329F8"/>
    <w:rsid w:val="00B32AB3"/>
    <w:rsid w:val="00B34E7C"/>
    <w:rsid w:val="00B368EA"/>
    <w:rsid w:val="00B37EEF"/>
    <w:rsid w:val="00B51D20"/>
    <w:rsid w:val="00B5298E"/>
    <w:rsid w:val="00B54370"/>
    <w:rsid w:val="00B54B5F"/>
    <w:rsid w:val="00B55185"/>
    <w:rsid w:val="00B60BF3"/>
    <w:rsid w:val="00B60D38"/>
    <w:rsid w:val="00B61923"/>
    <w:rsid w:val="00B621D6"/>
    <w:rsid w:val="00B63EF5"/>
    <w:rsid w:val="00B65D6F"/>
    <w:rsid w:val="00B677E1"/>
    <w:rsid w:val="00B67C23"/>
    <w:rsid w:val="00B7090F"/>
    <w:rsid w:val="00B70BC4"/>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07B5"/>
    <w:rsid w:val="00BB1EB3"/>
    <w:rsid w:val="00BB22CA"/>
    <w:rsid w:val="00BB2678"/>
    <w:rsid w:val="00BB3E96"/>
    <w:rsid w:val="00BC013A"/>
    <w:rsid w:val="00BC2343"/>
    <w:rsid w:val="00BC23F8"/>
    <w:rsid w:val="00BC6AEA"/>
    <w:rsid w:val="00BD30C8"/>
    <w:rsid w:val="00BD3EB4"/>
    <w:rsid w:val="00BD5C65"/>
    <w:rsid w:val="00BD7DB4"/>
    <w:rsid w:val="00BE1A80"/>
    <w:rsid w:val="00BE2F07"/>
    <w:rsid w:val="00BE6018"/>
    <w:rsid w:val="00BF0F8F"/>
    <w:rsid w:val="00BF18E8"/>
    <w:rsid w:val="00BF1F57"/>
    <w:rsid w:val="00BF4086"/>
    <w:rsid w:val="00BF426C"/>
    <w:rsid w:val="00BF47C9"/>
    <w:rsid w:val="00BF4E32"/>
    <w:rsid w:val="00BF58D0"/>
    <w:rsid w:val="00BF7D6A"/>
    <w:rsid w:val="00C013E1"/>
    <w:rsid w:val="00C01611"/>
    <w:rsid w:val="00C02D59"/>
    <w:rsid w:val="00C030B6"/>
    <w:rsid w:val="00C03284"/>
    <w:rsid w:val="00C050D7"/>
    <w:rsid w:val="00C05B5F"/>
    <w:rsid w:val="00C104CC"/>
    <w:rsid w:val="00C152FE"/>
    <w:rsid w:val="00C1648E"/>
    <w:rsid w:val="00C16739"/>
    <w:rsid w:val="00C21C43"/>
    <w:rsid w:val="00C22C7D"/>
    <w:rsid w:val="00C22CCE"/>
    <w:rsid w:val="00C231D6"/>
    <w:rsid w:val="00C23BA2"/>
    <w:rsid w:val="00C32AF2"/>
    <w:rsid w:val="00C33204"/>
    <w:rsid w:val="00C338EB"/>
    <w:rsid w:val="00C3465D"/>
    <w:rsid w:val="00C36ACD"/>
    <w:rsid w:val="00C379E9"/>
    <w:rsid w:val="00C439FB"/>
    <w:rsid w:val="00C43F23"/>
    <w:rsid w:val="00C47790"/>
    <w:rsid w:val="00C50011"/>
    <w:rsid w:val="00C5274B"/>
    <w:rsid w:val="00C55A77"/>
    <w:rsid w:val="00C55B19"/>
    <w:rsid w:val="00C645E6"/>
    <w:rsid w:val="00C64D82"/>
    <w:rsid w:val="00C64FBC"/>
    <w:rsid w:val="00C65A83"/>
    <w:rsid w:val="00C72C6F"/>
    <w:rsid w:val="00C76CF1"/>
    <w:rsid w:val="00C80F23"/>
    <w:rsid w:val="00C81151"/>
    <w:rsid w:val="00C82CC6"/>
    <w:rsid w:val="00C850A3"/>
    <w:rsid w:val="00C85C32"/>
    <w:rsid w:val="00C85F94"/>
    <w:rsid w:val="00C87568"/>
    <w:rsid w:val="00C87BC7"/>
    <w:rsid w:val="00C90DA7"/>
    <w:rsid w:val="00C90DB6"/>
    <w:rsid w:val="00C9394F"/>
    <w:rsid w:val="00C93B1A"/>
    <w:rsid w:val="00C96A14"/>
    <w:rsid w:val="00C96F5F"/>
    <w:rsid w:val="00CA21B5"/>
    <w:rsid w:val="00CA5927"/>
    <w:rsid w:val="00CA79EC"/>
    <w:rsid w:val="00CB26A5"/>
    <w:rsid w:val="00CB39C2"/>
    <w:rsid w:val="00CB4664"/>
    <w:rsid w:val="00CB4C8C"/>
    <w:rsid w:val="00CB5BFD"/>
    <w:rsid w:val="00CB6782"/>
    <w:rsid w:val="00CC080A"/>
    <w:rsid w:val="00CC52E1"/>
    <w:rsid w:val="00CD319D"/>
    <w:rsid w:val="00CD6BC3"/>
    <w:rsid w:val="00CD72D0"/>
    <w:rsid w:val="00CE3519"/>
    <w:rsid w:val="00CE5277"/>
    <w:rsid w:val="00CE6358"/>
    <w:rsid w:val="00CE743F"/>
    <w:rsid w:val="00CF2D54"/>
    <w:rsid w:val="00CF3CDE"/>
    <w:rsid w:val="00CF6570"/>
    <w:rsid w:val="00D03538"/>
    <w:rsid w:val="00D049B8"/>
    <w:rsid w:val="00D0516C"/>
    <w:rsid w:val="00D05EE7"/>
    <w:rsid w:val="00D068D0"/>
    <w:rsid w:val="00D078D1"/>
    <w:rsid w:val="00D129A8"/>
    <w:rsid w:val="00D12FB9"/>
    <w:rsid w:val="00D200BD"/>
    <w:rsid w:val="00D22399"/>
    <w:rsid w:val="00D26460"/>
    <w:rsid w:val="00D3268B"/>
    <w:rsid w:val="00D33751"/>
    <w:rsid w:val="00D33924"/>
    <w:rsid w:val="00D36F6E"/>
    <w:rsid w:val="00D37343"/>
    <w:rsid w:val="00D4205E"/>
    <w:rsid w:val="00D42507"/>
    <w:rsid w:val="00D50E63"/>
    <w:rsid w:val="00D5574C"/>
    <w:rsid w:val="00D61982"/>
    <w:rsid w:val="00D6267A"/>
    <w:rsid w:val="00D67D12"/>
    <w:rsid w:val="00D7585A"/>
    <w:rsid w:val="00D80618"/>
    <w:rsid w:val="00D81A17"/>
    <w:rsid w:val="00D82494"/>
    <w:rsid w:val="00D84A4B"/>
    <w:rsid w:val="00D8681D"/>
    <w:rsid w:val="00D92168"/>
    <w:rsid w:val="00D940A9"/>
    <w:rsid w:val="00D940B5"/>
    <w:rsid w:val="00D95CB0"/>
    <w:rsid w:val="00D977C0"/>
    <w:rsid w:val="00DA00A3"/>
    <w:rsid w:val="00DA13F3"/>
    <w:rsid w:val="00DA2DE3"/>
    <w:rsid w:val="00DA7146"/>
    <w:rsid w:val="00DA716A"/>
    <w:rsid w:val="00DB1F4F"/>
    <w:rsid w:val="00DB37EE"/>
    <w:rsid w:val="00DB4450"/>
    <w:rsid w:val="00DB4A22"/>
    <w:rsid w:val="00DB7B69"/>
    <w:rsid w:val="00DC02EC"/>
    <w:rsid w:val="00DC234A"/>
    <w:rsid w:val="00DC315B"/>
    <w:rsid w:val="00DC41E4"/>
    <w:rsid w:val="00DC5116"/>
    <w:rsid w:val="00DC77DD"/>
    <w:rsid w:val="00DC7C77"/>
    <w:rsid w:val="00DD2417"/>
    <w:rsid w:val="00DD51D8"/>
    <w:rsid w:val="00DD7EA2"/>
    <w:rsid w:val="00DE00F2"/>
    <w:rsid w:val="00DE117F"/>
    <w:rsid w:val="00DE401C"/>
    <w:rsid w:val="00DE4CDE"/>
    <w:rsid w:val="00DE66B8"/>
    <w:rsid w:val="00DF1ED6"/>
    <w:rsid w:val="00DF63FA"/>
    <w:rsid w:val="00E00A1C"/>
    <w:rsid w:val="00E012CC"/>
    <w:rsid w:val="00E02B71"/>
    <w:rsid w:val="00E02DEB"/>
    <w:rsid w:val="00E042A1"/>
    <w:rsid w:val="00E04CE6"/>
    <w:rsid w:val="00E062A5"/>
    <w:rsid w:val="00E07355"/>
    <w:rsid w:val="00E104FA"/>
    <w:rsid w:val="00E1082A"/>
    <w:rsid w:val="00E11166"/>
    <w:rsid w:val="00E13182"/>
    <w:rsid w:val="00E15383"/>
    <w:rsid w:val="00E1738C"/>
    <w:rsid w:val="00E22D28"/>
    <w:rsid w:val="00E230E3"/>
    <w:rsid w:val="00E23611"/>
    <w:rsid w:val="00E24B4A"/>
    <w:rsid w:val="00E25852"/>
    <w:rsid w:val="00E30EDF"/>
    <w:rsid w:val="00E31FBA"/>
    <w:rsid w:val="00E36AAE"/>
    <w:rsid w:val="00E41773"/>
    <w:rsid w:val="00E427F2"/>
    <w:rsid w:val="00E513F6"/>
    <w:rsid w:val="00E52F3B"/>
    <w:rsid w:val="00E53D94"/>
    <w:rsid w:val="00E53DEA"/>
    <w:rsid w:val="00E55094"/>
    <w:rsid w:val="00E55A61"/>
    <w:rsid w:val="00E57F92"/>
    <w:rsid w:val="00E616DB"/>
    <w:rsid w:val="00E627A4"/>
    <w:rsid w:val="00E630ED"/>
    <w:rsid w:val="00E70C95"/>
    <w:rsid w:val="00E74E84"/>
    <w:rsid w:val="00E74EC5"/>
    <w:rsid w:val="00E75FDC"/>
    <w:rsid w:val="00E76B86"/>
    <w:rsid w:val="00E8342F"/>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576"/>
    <w:rsid w:val="00EB1F02"/>
    <w:rsid w:val="00EB5BC5"/>
    <w:rsid w:val="00EB74C2"/>
    <w:rsid w:val="00EC086C"/>
    <w:rsid w:val="00EC42D0"/>
    <w:rsid w:val="00EC5CE0"/>
    <w:rsid w:val="00EC638F"/>
    <w:rsid w:val="00ED48AC"/>
    <w:rsid w:val="00EE224C"/>
    <w:rsid w:val="00EE4874"/>
    <w:rsid w:val="00EE4A8C"/>
    <w:rsid w:val="00EE674E"/>
    <w:rsid w:val="00EE79A6"/>
    <w:rsid w:val="00EF2689"/>
    <w:rsid w:val="00EF454D"/>
    <w:rsid w:val="00EF6111"/>
    <w:rsid w:val="00F005A0"/>
    <w:rsid w:val="00F06616"/>
    <w:rsid w:val="00F11352"/>
    <w:rsid w:val="00F1498D"/>
    <w:rsid w:val="00F14DDF"/>
    <w:rsid w:val="00F152AD"/>
    <w:rsid w:val="00F20DFE"/>
    <w:rsid w:val="00F2285F"/>
    <w:rsid w:val="00F23155"/>
    <w:rsid w:val="00F24236"/>
    <w:rsid w:val="00F24E0E"/>
    <w:rsid w:val="00F26693"/>
    <w:rsid w:val="00F3366A"/>
    <w:rsid w:val="00F338C8"/>
    <w:rsid w:val="00F36130"/>
    <w:rsid w:val="00F40444"/>
    <w:rsid w:val="00F40868"/>
    <w:rsid w:val="00F423BD"/>
    <w:rsid w:val="00F432FF"/>
    <w:rsid w:val="00F4715C"/>
    <w:rsid w:val="00F54869"/>
    <w:rsid w:val="00F556B2"/>
    <w:rsid w:val="00F5754B"/>
    <w:rsid w:val="00F576DE"/>
    <w:rsid w:val="00F63BF7"/>
    <w:rsid w:val="00F65617"/>
    <w:rsid w:val="00F710BE"/>
    <w:rsid w:val="00F729DC"/>
    <w:rsid w:val="00F736D2"/>
    <w:rsid w:val="00F7564C"/>
    <w:rsid w:val="00F76220"/>
    <w:rsid w:val="00F769BE"/>
    <w:rsid w:val="00F76A67"/>
    <w:rsid w:val="00F82E6B"/>
    <w:rsid w:val="00F853D7"/>
    <w:rsid w:val="00F97B71"/>
    <w:rsid w:val="00FA0209"/>
    <w:rsid w:val="00FA1EC5"/>
    <w:rsid w:val="00FA2DDA"/>
    <w:rsid w:val="00FA34CA"/>
    <w:rsid w:val="00FA4A55"/>
    <w:rsid w:val="00FA4D4F"/>
    <w:rsid w:val="00FA54E8"/>
    <w:rsid w:val="00FA7193"/>
    <w:rsid w:val="00FA7EC0"/>
    <w:rsid w:val="00FB2D17"/>
    <w:rsid w:val="00FB2F69"/>
    <w:rsid w:val="00FB368B"/>
    <w:rsid w:val="00FB45FF"/>
    <w:rsid w:val="00FB5D97"/>
    <w:rsid w:val="00FC1BE5"/>
    <w:rsid w:val="00FC1CA5"/>
    <w:rsid w:val="00FC2979"/>
    <w:rsid w:val="00FD1C3C"/>
    <w:rsid w:val="00FD38A8"/>
    <w:rsid w:val="00FD4622"/>
    <w:rsid w:val="00FD5477"/>
    <w:rsid w:val="00FD6AC8"/>
    <w:rsid w:val="00FD7C9C"/>
    <w:rsid w:val="00FE2D29"/>
    <w:rsid w:val="00FE3EA1"/>
    <w:rsid w:val="00FE4818"/>
    <w:rsid w:val="00FE5D80"/>
    <w:rsid w:val="00FF1577"/>
    <w:rsid w:val="00FF6ADB"/>
    <w:rsid w:val="00FF7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12D561D-5794-471E-A3B0-0176AE53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337293"/>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F4EA9"/>
    <w:rPr>
      <w:rFonts w:cs="Times New Roman"/>
      <w:b/>
      <w:bCs/>
      <w:kern w:val="44"/>
      <w:sz w:val="44"/>
      <w:szCs w:val="44"/>
    </w:rPr>
  </w:style>
  <w:style w:type="character" w:customStyle="1" w:styleId="2Char">
    <w:name w:val="标题 2 Char"/>
    <w:link w:val="2"/>
    <w:uiPriority w:val="99"/>
    <w:semiHidden/>
    <w:locked/>
    <w:rsid w:val="00F76A67"/>
    <w:rPr>
      <w:rFonts w:ascii="Cambria" w:eastAsia="宋体" w:hAnsi="Cambria" w:cs="Times New Roman"/>
      <w:b/>
      <w:bCs/>
      <w:sz w:val="32"/>
      <w:szCs w:val="32"/>
    </w:rPr>
  </w:style>
  <w:style w:type="paragraph" w:styleId="a0">
    <w:name w:val="Normal Indent"/>
    <w:basedOn w:val="a"/>
    <w:uiPriority w:val="99"/>
    <w:rsid w:val="00337293"/>
    <w:pPr>
      <w:ind w:firstLineChars="200" w:firstLine="420"/>
    </w:pPr>
  </w:style>
  <w:style w:type="paragraph" w:styleId="a4">
    <w:name w:val="Body Text Indent"/>
    <w:basedOn w:val="a"/>
    <w:link w:val="Char"/>
    <w:uiPriority w:val="99"/>
    <w:rsid w:val="00337293"/>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F76A67"/>
    <w:rPr>
      <w:rFonts w:cs="Times New Roman"/>
      <w:sz w:val="24"/>
      <w:szCs w:val="24"/>
    </w:rPr>
  </w:style>
  <w:style w:type="paragraph" w:styleId="a5">
    <w:name w:val="Plain Text"/>
    <w:basedOn w:val="a"/>
    <w:link w:val="Char0"/>
    <w:uiPriority w:val="99"/>
    <w:rsid w:val="00337293"/>
    <w:rPr>
      <w:rFonts w:ascii="宋体" w:hAnsi="Courier New"/>
      <w:szCs w:val="20"/>
    </w:rPr>
  </w:style>
  <w:style w:type="character" w:customStyle="1" w:styleId="Char0">
    <w:name w:val="纯文本 Char"/>
    <w:link w:val="a5"/>
    <w:uiPriority w:val="99"/>
    <w:locked/>
    <w:rsid w:val="00CE3519"/>
    <w:rPr>
      <w:rFonts w:ascii="宋体" w:hAnsi="Courier New" w:cs="Times New Roman"/>
      <w:kern w:val="2"/>
      <w:sz w:val="21"/>
    </w:rPr>
  </w:style>
  <w:style w:type="paragraph" w:styleId="20">
    <w:name w:val="Body Text Indent 2"/>
    <w:basedOn w:val="a"/>
    <w:link w:val="2Char0"/>
    <w:uiPriority w:val="99"/>
    <w:rsid w:val="00337293"/>
    <w:pPr>
      <w:spacing w:line="560" w:lineRule="exact"/>
      <w:ind w:firstLineChars="200" w:firstLine="480"/>
    </w:pPr>
    <w:rPr>
      <w:kern w:val="0"/>
      <w:sz w:val="24"/>
    </w:rPr>
  </w:style>
  <w:style w:type="character" w:customStyle="1" w:styleId="2Char0">
    <w:name w:val="正文文本缩进 2 Char"/>
    <w:link w:val="20"/>
    <w:uiPriority w:val="99"/>
    <w:semiHidden/>
    <w:locked/>
    <w:rsid w:val="00F76A67"/>
    <w:rPr>
      <w:rFonts w:cs="Times New Roman"/>
      <w:sz w:val="24"/>
      <w:szCs w:val="24"/>
    </w:rPr>
  </w:style>
  <w:style w:type="paragraph" w:styleId="a6">
    <w:name w:val="footer"/>
    <w:basedOn w:val="a"/>
    <w:link w:val="Char1"/>
    <w:uiPriority w:val="99"/>
    <w:rsid w:val="00337293"/>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F76A67"/>
    <w:rPr>
      <w:rFonts w:cs="Times New Roman"/>
      <w:sz w:val="18"/>
      <w:szCs w:val="18"/>
    </w:rPr>
  </w:style>
  <w:style w:type="character" w:styleId="a7">
    <w:name w:val="page number"/>
    <w:uiPriority w:val="99"/>
    <w:rsid w:val="00337293"/>
    <w:rPr>
      <w:rFonts w:cs="Times New Roman"/>
    </w:rPr>
  </w:style>
  <w:style w:type="character" w:styleId="a8">
    <w:name w:val="Hyperlink"/>
    <w:uiPriority w:val="99"/>
    <w:rsid w:val="00337293"/>
    <w:rPr>
      <w:rFonts w:cs="Times New Roman"/>
      <w:color w:val="0000FF"/>
      <w:u w:val="single"/>
    </w:rPr>
  </w:style>
  <w:style w:type="paragraph" w:styleId="3">
    <w:name w:val="Body Text Indent 3"/>
    <w:basedOn w:val="a"/>
    <w:link w:val="3Char"/>
    <w:uiPriority w:val="99"/>
    <w:rsid w:val="00337293"/>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F76A67"/>
    <w:rPr>
      <w:rFonts w:cs="Times New Roman"/>
      <w:sz w:val="16"/>
      <w:szCs w:val="16"/>
    </w:rPr>
  </w:style>
  <w:style w:type="paragraph" w:styleId="a9">
    <w:name w:val="header"/>
    <w:basedOn w:val="a"/>
    <w:link w:val="Char2"/>
    <w:uiPriority w:val="99"/>
    <w:rsid w:val="0033729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5E491F"/>
    <w:rPr>
      <w:rFonts w:cs="Times New Roman"/>
      <w:kern w:val="2"/>
      <w:sz w:val="18"/>
      <w:szCs w:val="18"/>
    </w:rPr>
  </w:style>
  <w:style w:type="character" w:styleId="aa">
    <w:name w:val="FollowedHyperlink"/>
    <w:uiPriority w:val="99"/>
    <w:rsid w:val="00337293"/>
    <w:rPr>
      <w:rFonts w:cs="Times New Roman"/>
      <w:color w:val="800080"/>
      <w:u w:val="single"/>
    </w:rPr>
  </w:style>
  <w:style w:type="paragraph" w:styleId="ab">
    <w:name w:val="List"/>
    <w:basedOn w:val="ac"/>
    <w:uiPriority w:val="99"/>
    <w:rsid w:val="00337293"/>
    <w:pPr>
      <w:spacing w:after="220" w:line="220" w:lineRule="atLeast"/>
      <w:ind w:left="1440" w:hanging="360"/>
    </w:pPr>
    <w:rPr>
      <w:szCs w:val="20"/>
    </w:rPr>
  </w:style>
  <w:style w:type="paragraph" w:styleId="ac">
    <w:name w:val="Body Text"/>
    <w:basedOn w:val="a"/>
    <w:link w:val="Char3"/>
    <w:uiPriority w:val="99"/>
    <w:rsid w:val="00337293"/>
    <w:pPr>
      <w:spacing w:after="120"/>
    </w:pPr>
    <w:rPr>
      <w:kern w:val="0"/>
      <w:sz w:val="24"/>
    </w:rPr>
  </w:style>
  <w:style w:type="character" w:customStyle="1" w:styleId="Char3">
    <w:name w:val="正文文本 Char"/>
    <w:link w:val="ac"/>
    <w:uiPriority w:val="99"/>
    <w:semiHidden/>
    <w:locked/>
    <w:rsid w:val="00F76A67"/>
    <w:rPr>
      <w:rFonts w:cs="Times New Roman"/>
      <w:sz w:val="24"/>
      <w:szCs w:val="24"/>
    </w:rPr>
  </w:style>
  <w:style w:type="paragraph" w:styleId="ad">
    <w:name w:val="Date"/>
    <w:basedOn w:val="a"/>
    <w:next w:val="a"/>
    <w:link w:val="Char4"/>
    <w:uiPriority w:val="99"/>
    <w:rsid w:val="00337293"/>
    <w:rPr>
      <w:sz w:val="24"/>
      <w:szCs w:val="20"/>
    </w:rPr>
  </w:style>
  <w:style w:type="character" w:customStyle="1" w:styleId="Char4">
    <w:name w:val="日期 Char"/>
    <w:link w:val="ad"/>
    <w:uiPriority w:val="99"/>
    <w:locked/>
    <w:rsid w:val="005B1DEC"/>
    <w:rPr>
      <w:rFonts w:cs="Times New Roman"/>
      <w:kern w:val="2"/>
      <w:sz w:val="24"/>
    </w:rPr>
  </w:style>
  <w:style w:type="character" w:customStyle="1" w:styleId="c1">
    <w:name w:val="c1"/>
    <w:uiPriority w:val="99"/>
    <w:rsid w:val="00337293"/>
    <w:rPr>
      <w:rFonts w:cs="Times New Roman"/>
      <w:color w:val="000000"/>
      <w:sz w:val="18"/>
      <w:szCs w:val="18"/>
    </w:rPr>
  </w:style>
  <w:style w:type="paragraph" w:styleId="10">
    <w:name w:val="index 1"/>
    <w:basedOn w:val="a"/>
    <w:next w:val="a"/>
    <w:autoRedefine/>
    <w:uiPriority w:val="99"/>
    <w:semiHidden/>
    <w:rsid w:val="00337293"/>
    <w:pPr>
      <w:jc w:val="right"/>
    </w:pPr>
    <w:rPr>
      <w:color w:val="008000"/>
    </w:rPr>
  </w:style>
  <w:style w:type="paragraph" w:customStyle="1" w:styleId="font5">
    <w:name w:val="font5"/>
    <w:basedOn w:val="a"/>
    <w:uiPriority w:val="99"/>
    <w:rsid w:val="0033729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337293"/>
    <w:rPr>
      <w:kern w:val="0"/>
      <w:sz w:val="2"/>
      <w:szCs w:val="20"/>
    </w:rPr>
  </w:style>
  <w:style w:type="character" w:customStyle="1" w:styleId="Char5">
    <w:name w:val="批注框文本 Char"/>
    <w:link w:val="ae"/>
    <w:uiPriority w:val="99"/>
    <w:semiHidden/>
    <w:locked/>
    <w:rsid w:val="00F76A67"/>
    <w:rPr>
      <w:rFonts w:cs="Times New Roman"/>
      <w:sz w:val="2"/>
    </w:rPr>
  </w:style>
  <w:style w:type="character" w:styleId="af">
    <w:name w:val="annotation reference"/>
    <w:uiPriority w:val="99"/>
    <w:semiHidden/>
    <w:rsid w:val="00337293"/>
    <w:rPr>
      <w:rFonts w:cs="Times New Roman"/>
      <w:sz w:val="21"/>
      <w:szCs w:val="21"/>
    </w:rPr>
  </w:style>
  <w:style w:type="paragraph" w:styleId="af0">
    <w:name w:val="annotation text"/>
    <w:basedOn w:val="a"/>
    <w:link w:val="Char6"/>
    <w:uiPriority w:val="99"/>
    <w:semiHidden/>
    <w:rsid w:val="00337293"/>
    <w:pPr>
      <w:jc w:val="left"/>
    </w:pPr>
    <w:rPr>
      <w:kern w:val="0"/>
      <w:sz w:val="24"/>
    </w:rPr>
  </w:style>
  <w:style w:type="character" w:customStyle="1" w:styleId="Char6">
    <w:name w:val="批注文字 Char"/>
    <w:link w:val="af0"/>
    <w:uiPriority w:val="99"/>
    <w:semiHidden/>
    <w:locked/>
    <w:rsid w:val="00F76A67"/>
    <w:rPr>
      <w:rFonts w:cs="Times New Roman"/>
      <w:sz w:val="24"/>
      <w:szCs w:val="24"/>
    </w:rPr>
  </w:style>
  <w:style w:type="paragraph" w:styleId="af1">
    <w:name w:val="annotation subject"/>
    <w:basedOn w:val="af0"/>
    <w:next w:val="af0"/>
    <w:link w:val="Char7"/>
    <w:uiPriority w:val="99"/>
    <w:semiHidden/>
    <w:rsid w:val="00337293"/>
    <w:rPr>
      <w:b/>
      <w:bCs/>
    </w:rPr>
  </w:style>
  <w:style w:type="character" w:customStyle="1" w:styleId="Char7">
    <w:name w:val="批注主题 Char"/>
    <w:link w:val="af1"/>
    <w:uiPriority w:val="99"/>
    <w:semiHidden/>
    <w:locked/>
    <w:rsid w:val="00F76A67"/>
    <w:rPr>
      <w:rFonts w:cs="Times New Roman"/>
      <w:b/>
      <w:bCs/>
      <w:sz w:val="24"/>
      <w:szCs w:val="24"/>
    </w:rPr>
  </w:style>
  <w:style w:type="paragraph" w:customStyle="1" w:styleId="Char8">
    <w:name w:val="Char"/>
    <w:basedOn w:val="a"/>
    <w:uiPriority w:val="99"/>
    <w:rsid w:val="00337293"/>
  </w:style>
  <w:style w:type="paragraph" w:styleId="af2">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2"/>
    <w:uiPriority w:val="99"/>
    <w:semiHidden/>
    <w:locked/>
    <w:rsid w:val="00F76A67"/>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kern w:val="0"/>
      <w:sz w:val="18"/>
      <w:szCs w:val="18"/>
    </w:rPr>
  </w:style>
  <w:style w:type="character" w:customStyle="1" w:styleId="Chara">
    <w:name w:val="脚注文本 Char"/>
    <w:link w:val="af4"/>
    <w:uiPriority w:val="99"/>
    <w:semiHidden/>
    <w:locked/>
    <w:rsid w:val="00F76A67"/>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295C5D"/>
    <w:pPr>
      <w:widowControl w:val="0"/>
      <w:autoSpaceDE w:val="0"/>
      <w:autoSpaceDN w:val="0"/>
      <w:adjustRightInd w:val="0"/>
    </w:pPr>
    <w:rPr>
      <w:rFonts w:ascii="FangSong" w:hAnsi="FangSong" w:cs="FangSong"/>
      <w:color w:val="000000"/>
      <w:sz w:val="24"/>
      <w:szCs w:val="24"/>
    </w:rPr>
  </w:style>
  <w:style w:type="character" w:styleId="af8">
    <w:name w:val="Strong"/>
    <w:uiPriority w:val="22"/>
    <w:qFormat/>
    <w:locked/>
    <w:rsid w:val="00457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75524">
      <w:marLeft w:val="0"/>
      <w:marRight w:val="0"/>
      <w:marTop w:val="0"/>
      <w:marBottom w:val="0"/>
      <w:divBdr>
        <w:top w:val="none" w:sz="0" w:space="0" w:color="auto"/>
        <w:left w:val="none" w:sz="0" w:space="0" w:color="auto"/>
        <w:bottom w:val="none" w:sz="0" w:space="0" w:color="auto"/>
        <w:right w:val="none" w:sz="0" w:space="0" w:color="auto"/>
      </w:divBdr>
    </w:div>
    <w:div w:id="1863275525">
      <w:marLeft w:val="0"/>
      <w:marRight w:val="0"/>
      <w:marTop w:val="0"/>
      <w:marBottom w:val="0"/>
      <w:divBdr>
        <w:top w:val="none" w:sz="0" w:space="0" w:color="auto"/>
        <w:left w:val="none" w:sz="0" w:space="0" w:color="auto"/>
        <w:bottom w:val="none" w:sz="0" w:space="0" w:color="auto"/>
        <w:right w:val="none" w:sz="0" w:space="0" w:color="auto"/>
      </w:divBdr>
    </w:div>
    <w:div w:id="1863275526">
      <w:marLeft w:val="0"/>
      <w:marRight w:val="0"/>
      <w:marTop w:val="0"/>
      <w:marBottom w:val="0"/>
      <w:divBdr>
        <w:top w:val="none" w:sz="0" w:space="0" w:color="auto"/>
        <w:left w:val="none" w:sz="0" w:space="0" w:color="auto"/>
        <w:bottom w:val="none" w:sz="0" w:space="0" w:color="auto"/>
        <w:right w:val="none" w:sz="0" w:space="0" w:color="auto"/>
      </w:divBdr>
    </w:div>
    <w:div w:id="1863275527">
      <w:marLeft w:val="0"/>
      <w:marRight w:val="0"/>
      <w:marTop w:val="0"/>
      <w:marBottom w:val="0"/>
      <w:divBdr>
        <w:top w:val="none" w:sz="0" w:space="0" w:color="auto"/>
        <w:left w:val="none" w:sz="0" w:space="0" w:color="auto"/>
        <w:bottom w:val="none" w:sz="0" w:space="0" w:color="auto"/>
        <w:right w:val="none" w:sz="0" w:space="0" w:color="auto"/>
      </w:divBdr>
    </w:div>
    <w:div w:id="1863275528">
      <w:marLeft w:val="0"/>
      <w:marRight w:val="0"/>
      <w:marTop w:val="0"/>
      <w:marBottom w:val="0"/>
      <w:divBdr>
        <w:top w:val="none" w:sz="0" w:space="0" w:color="auto"/>
        <w:left w:val="none" w:sz="0" w:space="0" w:color="auto"/>
        <w:bottom w:val="none" w:sz="0" w:space="0" w:color="auto"/>
        <w:right w:val="none" w:sz="0" w:space="0" w:color="auto"/>
      </w:divBdr>
    </w:div>
    <w:div w:id="1863275529">
      <w:marLeft w:val="0"/>
      <w:marRight w:val="0"/>
      <w:marTop w:val="0"/>
      <w:marBottom w:val="0"/>
      <w:divBdr>
        <w:top w:val="none" w:sz="0" w:space="0" w:color="auto"/>
        <w:left w:val="none" w:sz="0" w:space="0" w:color="auto"/>
        <w:bottom w:val="none" w:sz="0" w:space="0" w:color="auto"/>
        <w:right w:val="none" w:sz="0" w:space="0" w:color="auto"/>
      </w:divBdr>
    </w:div>
    <w:div w:id="1863275530">
      <w:marLeft w:val="0"/>
      <w:marRight w:val="0"/>
      <w:marTop w:val="0"/>
      <w:marBottom w:val="0"/>
      <w:divBdr>
        <w:top w:val="none" w:sz="0" w:space="0" w:color="auto"/>
        <w:left w:val="none" w:sz="0" w:space="0" w:color="auto"/>
        <w:bottom w:val="none" w:sz="0" w:space="0" w:color="auto"/>
        <w:right w:val="none" w:sz="0" w:space="0" w:color="auto"/>
      </w:divBdr>
    </w:div>
    <w:div w:id="1863275531">
      <w:marLeft w:val="0"/>
      <w:marRight w:val="0"/>
      <w:marTop w:val="0"/>
      <w:marBottom w:val="0"/>
      <w:divBdr>
        <w:top w:val="none" w:sz="0" w:space="0" w:color="auto"/>
        <w:left w:val="none" w:sz="0" w:space="0" w:color="auto"/>
        <w:bottom w:val="none" w:sz="0" w:space="0" w:color="auto"/>
        <w:right w:val="none" w:sz="0" w:space="0" w:color="auto"/>
      </w:divBdr>
    </w:div>
    <w:div w:id="1863275532">
      <w:marLeft w:val="0"/>
      <w:marRight w:val="0"/>
      <w:marTop w:val="0"/>
      <w:marBottom w:val="0"/>
      <w:divBdr>
        <w:top w:val="none" w:sz="0" w:space="0" w:color="auto"/>
        <w:left w:val="none" w:sz="0" w:space="0" w:color="auto"/>
        <w:bottom w:val="none" w:sz="0" w:space="0" w:color="auto"/>
        <w:right w:val="none" w:sz="0" w:space="0" w:color="auto"/>
      </w:divBdr>
    </w:div>
    <w:div w:id="18632755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15</Pages>
  <Words>1245</Words>
  <Characters>7100</Characters>
  <Application>Microsoft Office Word</Application>
  <DocSecurity>0</DocSecurity>
  <Lines>59</Lines>
  <Paragraphs>16</Paragraphs>
  <ScaleCrop>false</ScaleCrop>
  <Company>TRT. Ltd. Co.</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217</cp:revision>
  <cp:lastPrinted>2007-07-19T00:46:00Z</cp:lastPrinted>
  <dcterms:created xsi:type="dcterms:W3CDTF">2012-11-21T04:46:00Z</dcterms:created>
  <dcterms:modified xsi:type="dcterms:W3CDTF">2020-04-16T09:33:00Z</dcterms:modified>
</cp:coreProperties>
</file>