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交银施罗德信用添利债券证券投资基金（LOF）</w:t>
      </w:r>
    </w:p>
    <w:p w:rsidP="00C15CAC" w:rsidR="002279D3" w:rsidRDefault="002279D3" w:rsidRPr="0081286B">
      <w:pPr>
        <w:spacing w:before="29" w:line="288" w:lineRule="auto"/>
        <w:jc w:val="center"/>
        <w:rPr>
          <w:b/>
          <w:sz w:val="36"/>
          <w:szCs w:val="36"/>
        </w:rPr>
      </w:pPr>
      <w:r w:rsidRPr="0081286B">
        <w:rPr>
          <w:b/>
          <w:sz w:val="36"/>
          <w:szCs w:val="36"/>
        </w:rPr>
        <w:t>2020年第1季度报告</w:t>
      </w:r>
    </w:p>
    <w:p w:rsidP="00C15CAC" w:rsidR="004061AC" w:rsidRDefault="00655CD8" w:rsidRPr="0081286B">
      <w:pPr>
        <w:spacing w:before="29" w:line="288" w:lineRule="auto"/>
        <w:jc w:val="center"/>
        <w:rPr>
          <w:b/>
          <w:sz w:val="36"/>
          <w:szCs w:val="36"/>
        </w:rPr>
      </w:pPr>
      <w:r w:rsidRPr="0081286B">
        <w:rPr>
          <w:b/>
          <w:sz w:val="36"/>
          <w:szCs w:val="36"/>
        </w:rPr>
        <w:t>2020年3月31日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二〇二〇年四月二十二日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基金托管人中国农业银行股份有限公司根据本基金合同规定，于2020年4月21日复核了本报告中的财务指标、净值表现和投资组合报告等内容，保证复核内容不存在虚假记载、误导性陈述或者重大遗漏。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本报告期自2020年1月1日起至3月31日止。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交银信用添利债券（LOF）</w:t>
            </w:r>
          </w:p>
        </w:tc>
      </w:tr>
      <w:tr w:rsidR="006E6726" w:rsidRPr="00414345" w:rsidTr="006E6726">
        <w:trPr>
          <w:jc w:val="center"/>
        </w:trPr>
        <w:tc>
          <w:tcPr>
            <w:tcW w:type="dxa" w:w="3023"/>
            <w:vAlign w:val="center"/>
          </w:tcPr>
          <w:p w:rsidR="006E6726" w:rsidRDefault="006E6726">
            <w:pPr>
              <w:adjustRightInd w:val="0"/>
              <w:spacing w:before="29" w:line="288" w:lineRule="auto"/>
              <w:ind w:left="17"/>
              <w:jc w:val="left"/>
              <w:rPr>
                <w:kern w:val="0"/>
                <w:sz w:val="24"/>
                <w:szCs w:val="24"/>
              </w:rPr>
            </w:pPr>
            <w:r>
              <w:rPr>
                <w:rFonts w:hint="eastAsia"/>
                <w:kern w:val="0"/>
                <w:sz w:val="24"/>
              </w:rPr>
              <w:t>场内简称</w:t>
            </w:r>
          </w:p>
        </w:tc>
        <w:tc>
          <w:tcPr>
            <w:tcW w:type="dxa" w:w="5845"/>
            <w:gridSpan w:val="2"/>
            <w:vAlign w:val="center"/>
          </w:tcPr>
          <w:p w:rsidR="006E6726" w:rsidRDefault="006E6726">
            <w:pPr>
              <w:adjustRightInd w:val="0"/>
              <w:spacing w:before="29" w:line="288" w:lineRule="auto"/>
              <w:ind w:left="17"/>
              <w:jc w:val="left"/>
              <w:rPr>
                <w:color w:val="000000"/>
                <w:kern w:val="0"/>
                <w:sz w:val="24"/>
                <w:szCs w:val="24"/>
              </w:rPr>
            </w:pPr>
            <w:r>
              <w:rPr>
                <w:color w:val="000000"/>
                <w:kern w:val="0"/>
                <w:sz w:val="24"/>
              </w:rPr>
              <w:t>交银添利</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164902</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164902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164903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上市契约型开放式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2011年1月27日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2,152,970,544.45</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根据宏观经济运行状况和金融市场的运行趋势，自上而下进行宏观分析，自下而上精选个券，在控制信用风险、利率风险和流动性风险前提下，力求通过主动承担适度信用风险获得持续投资收益，谋求基金资产的长期稳定增长。</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也会关注股票一级市场、权证一级市场等其它相关市场存在的投资机会，力争实现基金总体风险收益特征保持不变前提下的基金资产增值最大化。</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80%×中债企业债总全价指数收益率+20%×中债国债总全价指数收益率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本基金是一只债券型基金，属于证券投资基金中中等风险的品种，其长期平均的预期收益和风险高于货币市场基金，低于混合型基金和股票型基金。</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根据本基金《基金合同》及《招募说明书》的相关规定，本基金在基金合同生效之日起三年(含三年)的期间内，采取封闭式运作，在深圳证券交易所上市交易，封闭期结束后转为上市开放式基金（LOF）。本基金封闭期自2011年1月27日(基金合同生效日)起至2014年1月27日止，自2014年1月28日起基金运作方式转为“上市契约型开放式”，并于同日起开放本基金的申购、赎回业务。本基金在募集期仅开通前端基金份额的认购，转为上市开放式基金（LOF）后同时开通前端基金份额和后端基金份额的申购和赎回。</w:t>
      </w:r>
    </w:p>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(2020年1月1日-2020年3月31日)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24,590,813.19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36,632,114.74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0.0193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2,507,609,245.66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1.165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1.75%</w:t>
            </w:r>
          </w:p>
        </w:tc>
        <w:tc>
          <w:tcPr>
            <w:vAlign w:val="center"/>
          </w:tcPr>
          <w:p>
            <w:pPr>
              <w:jc w:val="center"/>
            </w:pPr>
            <w:r>
              <w:rPr>
                <w:color w:val="000000"/>
                <w:sz w:val="24"/>
                <w:szCs w:val="24"/>
              </w:rPr>
              <w:t>0.08%</w:t>
            </w:r>
          </w:p>
        </w:tc>
        <w:tc>
          <w:tcPr>
            <w:vAlign w:val="center"/>
          </w:tcPr>
          <w:p>
            <w:pPr>
              <w:jc w:val="center"/>
            </w:pPr>
            <w:r>
              <w:rPr>
                <w:color w:val="000000"/>
                <w:sz w:val="24"/>
                <w:szCs w:val="24"/>
              </w:rPr>
              <w:t>1.46%</w:t>
            </w:r>
          </w:p>
        </w:tc>
        <w:tc>
          <w:tcPr>
            <w:vAlign w:val="center"/>
          </w:tcPr>
          <w:p>
            <w:pPr>
              <w:jc w:val="center"/>
            </w:pPr>
            <w:r>
              <w:rPr>
                <w:color w:val="000000"/>
                <w:sz w:val="24"/>
                <w:szCs w:val="24"/>
              </w:rPr>
              <w:t>0.08%</w:t>
            </w:r>
          </w:p>
        </w:tc>
        <w:tc>
          <w:tcPr>
            <w:vAlign w:val="center"/>
          </w:tcPr>
          <w:p>
            <w:pPr>
              <w:jc w:val="center"/>
            </w:pPr>
            <w:r>
              <w:rPr>
                <w:color w:val="000000"/>
                <w:sz w:val="24"/>
                <w:szCs w:val="24"/>
              </w:rPr>
              <w:t>0.29%</w:t>
            </w:r>
          </w:p>
        </w:tc>
        <w:tc>
          <w:tcPr>
            <w:vAlign w:val="center"/>
          </w:tcPr>
          <w:p>
            <w:pPr>
              <w:jc w:val="center"/>
            </w:pPr>
            <w:r>
              <w:rPr>
                <w:color w:val="000000"/>
                <w:sz w:val="24"/>
                <w:szCs w:val="24"/>
              </w:rPr>
              <w:t>0.00%</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交银施罗德信用添利债券证券投资基金（LOF）</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2011年1月27日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2020年3月31日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唐赟</w:t>
            </w:r>
          </w:p>
        </w:tc>
        <w:tc>
          <w:tcPr>
            <w:vAlign w:val="center"/>
          </w:tcPr>
          <w:p>
            <w:pPr>
              <w:jc w:val="center"/>
            </w:pPr>
            <w:r>
              <w:rPr>
                <w:color w:val="000000"/>
                <w:sz w:val="24"/>
                <w:szCs w:val="24"/>
              </w:rPr>
              <w:t>交银信用添利债券(LOF)、交银双利债券、交银双轮动债券、交银荣鑫灵活配置混合的基金经理</w:t>
            </w:r>
          </w:p>
        </w:tc>
        <w:tc>
          <w:tcPr>
            <w:vAlign w:val="center"/>
          </w:tcPr>
          <w:p>
            <w:pPr>
              <w:jc w:val="center"/>
            </w:pPr>
            <w:r>
              <w:rPr>
                <w:color w:val="000000"/>
                <w:sz w:val="24"/>
                <w:szCs w:val="24"/>
              </w:rPr>
              <w:t>2015-08-04</w:t>
            </w:r>
          </w:p>
        </w:tc>
        <w:tc>
          <w:tcPr>
            <w:vAlign w:val="center"/>
          </w:tcPr>
          <w:p>
            <w:pPr>
              <w:jc w:val="center"/>
            </w:pPr>
            <w:r>
              <w:rPr>
                <w:color w:val="000000"/>
                <w:sz w:val="24"/>
                <w:szCs w:val="24"/>
              </w:rPr>
              <w:t>-</w:t>
            </w:r>
          </w:p>
        </w:tc>
        <w:tc>
          <w:tcPr>
            <w:vAlign w:val="center"/>
          </w:tcPr>
          <w:p>
            <w:pPr>
              <w:jc w:val="center"/>
            </w:pPr>
            <w:r>
              <w:rPr>
                <w:color w:val="000000"/>
                <w:sz w:val="24"/>
                <w:szCs w:val="24"/>
              </w:rPr>
              <w:t>10年</w:t>
            </w:r>
          </w:p>
        </w:tc>
        <w:tc>
          <w:tcPr>
            <w:vAlign w:val="center"/>
          </w:tcPr>
          <w:p>
            <w:pPr>
              <w:jc w:val="both"/>
            </w:pPr>
            <w:r>
              <w:rPr>
                <w:color w:val="000000"/>
                <w:sz w:val="24"/>
                <w:szCs w:val="24"/>
              </w:rPr>
              <w:t>唐赟先生，香港城市大学电子工程硕士。历任渣打银行环球企业部助理客户经理、平安资产管理公司信用分析员。2012年加入交银施罗德基金管理有限公司，历任固定收益研究员、基金经理助理。2015年11月7日至2018年6月1日担任转型前的交银施罗德荣和保本混合型证券投资基金的基金经理。2017年3月31日至2019年10月23日担任交银施罗德裕通纯债债券型证券投资基金的基金经理。2018年6月2日至2019年12月13日担任交银施罗德安心收益债券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本报告期内，债券市场整体呈现震荡下行的格局，进入2020年，新冠肺炎疫情爆发、防疫措施导致经济短期停摆、海外需求不确定性增加、经济增长预期随疫情发展不断调整、央行维稳并降准、财政刺激政策预期升温等多个因素的互相交织，影响着债券市场，国内长端利率这些因素的共同影响下，出现了较大幅度的波动下行。债券收益率下行集中在一月下旬和三月上旬，主要源自新冠疫情导致国内总需求和海外需求大幅下降的预期；债券收益率小幅震荡上行集中在二月中旬和三月中旬，主要源自宽基建稳增长政策预期升温和市场降息预期调整等因素。在资金利率保持宽松的背景下，利率收益率曲线在下行过程中逐步陡峭化。</w:t>
      </w:r>
    </w:p>
    <w:p>
      <w:pPr>
        <w:spacing w:before="29" w:line="288" w:lineRule="auto"/>
        <w:ind w:firstLine="480" w:firstLineChars="200"/>
        <w:rPr>
          <w:color w:val="000000"/>
          <w:sz w:val="24"/>
          <w:szCs w:val="24"/>
        </w:rPr>
      </w:pPr>
      <w:r>
        <w:rPr>
          <w:color w:val="000000"/>
          <w:sz w:val="24"/>
          <w:szCs w:val="24"/>
        </w:rPr>
        <w:t>报告期内，本基金以信用债杠杆套息策略为主，适当提升了组合杠杆，维持中性的组合久期配置，保持信用债整体的较高仓位，在板块上增加了部分中低等级城投债品种的配置，提升底仓的静态收益。</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二季度，全球疫情超预期的发展，国内外经济基本面下行压力仍然存在，货币政策预计将继续维持相对宽松，且有可能进一步降息以引导实体融资成本进一步下行。同时根据政治局会议的表态，财政政策发力可期，特别国债出台可能性较大，地方政府专项债发行量预期将明显增加，对财政方面刺激政策的预期又可能限制市场对长端利率的做多情绪。因此，我们认为2020年二季度长端利率将以震荡为主。基金策略方面，本基金将视融资成本及市场收益率变动情况，维持杠杆操作，并积极关注长端利率的波段交易机会，以期增厚组合收益。</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3,026,093,807.50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97.84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3,026,093,807.50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97.84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14,611,275.77</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0.47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52,290,002.28</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1.69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3,092,995,085.55</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本基金本报告期末未持有股票。</w:t>
      </w:r>
    </w:p>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本基金本报告期末未持有股票。</w:t>
      </w:r>
    </w:p>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129,220,807.50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5.15</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129,220,807.50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5.15</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739,462,500.00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29.49</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170,373,000.00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6.79</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1,987,035,500.00</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79.24</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0.00</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3,026,093,807.50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120.68</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101901570</w:t>
            </w:r>
          </w:p>
        </w:tc>
        <w:tc>
          <w:tcPr>
            <w:vAlign w:val="center"/>
          </w:tcPr>
          <w:p>
            <w:pPr>
              <w:jc w:val="center"/>
            </w:pPr>
            <w:r>
              <w:rPr>
                <w:color w:val="000000"/>
                <w:sz w:val="24"/>
                <w:szCs w:val="24"/>
              </w:rPr>
              <w:t>19武侯产业MTN001</w:t>
            </w:r>
          </w:p>
        </w:tc>
        <w:tc>
          <w:tcPr>
            <w:vAlign w:val="center"/>
          </w:tcPr>
          <w:p>
            <w:pPr>
              <w:jc w:val="right"/>
            </w:pPr>
            <w:r>
              <w:rPr>
                <w:color w:val="000000"/>
                <w:sz w:val="24"/>
                <w:szCs w:val="24"/>
              </w:rPr>
              <w:t>700,000</w:t>
            </w:r>
          </w:p>
        </w:tc>
        <w:tc>
          <w:tcPr>
            <w:vAlign w:val="center"/>
          </w:tcPr>
          <w:p>
            <w:pPr>
              <w:jc w:val="right"/>
            </w:pPr>
            <w:r>
              <w:rPr>
                <w:color w:val="000000"/>
                <w:sz w:val="24"/>
                <w:szCs w:val="24"/>
              </w:rPr>
              <w:t>71,792,000.00</w:t>
            </w:r>
          </w:p>
        </w:tc>
        <w:tc>
          <w:tcPr>
            <w:vAlign w:val="center"/>
          </w:tcPr>
          <w:p>
            <w:pPr>
              <w:jc w:val="right"/>
            </w:pPr>
            <w:r>
              <w:rPr>
                <w:color w:val="000000"/>
                <w:sz w:val="24"/>
                <w:szCs w:val="24"/>
              </w:rPr>
              <w:t>2.86</w:t>
            </w:r>
          </w:p>
        </w:tc>
      </w:tr>
      <w:tr>
        <w:tc>
          <w:tcPr>
            <w:vAlign w:val="center"/>
          </w:tcPr>
          <w:p>
            <w:pPr>
              <w:jc w:val="center"/>
            </w:pPr>
            <w:r>
              <w:rPr>
                <w:color w:val="000000"/>
                <w:sz w:val="24"/>
                <w:szCs w:val="24"/>
              </w:rPr>
              <w:t>2</w:t>
            </w:r>
          </w:p>
        </w:tc>
        <w:tc>
          <w:tcPr>
            <w:vAlign w:val="center"/>
          </w:tcPr>
          <w:p>
            <w:pPr>
              <w:jc w:val="center"/>
            </w:pPr>
            <w:r>
              <w:rPr>
                <w:color w:val="000000"/>
                <w:sz w:val="24"/>
                <w:szCs w:val="24"/>
              </w:rPr>
              <w:t>170209</w:t>
            </w:r>
          </w:p>
        </w:tc>
        <w:tc>
          <w:tcPr>
            <w:vAlign w:val="center"/>
          </w:tcPr>
          <w:p>
            <w:pPr>
              <w:jc w:val="center"/>
            </w:pPr>
            <w:r>
              <w:rPr>
                <w:color w:val="000000"/>
                <w:sz w:val="24"/>
                <w:szCs w:val="24"/>
              </w:rPr>
              <w:t>17国开09</w:t>
            </w:r>
          </w:p>
        </w:tc>
        <w:tc>
          <w:tcPr>
            <w:vAlign w:val="center"/>
          </w:tcPr>
          <w:p>
            <w:pPr>
              <w:jc w:val="right"/>
            </w:pPr>
            <w:r>
              <w:rPr>
                <w:color w:val="000000"/>
                <w:sz w:val="24"/>
                <w:szCs w:val="24"/>
              </w:rPr>
              <w:t>700,000</w:t>
            </w:r>
          </w:p>
        </w:tc>
        <w:tc>
          <w:tcPr>
            <w:vAlign w:val="center"/>
          </w:tcPr>
          <w:p>
            <w:pPr>
              <w:jc w:val="right"/>
            </w:pPr>
            <w:r>
              <w:rPr>
                <w:color w:val="000000"/>
                <w:sz w:val="24"/>
                <w:szCs w:val="24"/>
              </w:rPr>
              <w:t>70,798,000.00</w:t>
            </w:r>
          </w:p>
        </w:tc>
        <w:tc>
          <w:tcPr>
            <w:vAlign w:val="center"/>
          </w:tcPr>
          <w:p>
            <w:pPr>
              <w:jc w:val="right"/>
            </w:pPr>
            <w:r>
              <w:rPr>
                <w:color w:val="000000"/>
                <w:sz w:val="24"/>
                <w:szCs w:val="24"/>
              </w:rPr>
              <w:t>2.82</w:t>
            </w:r>
          </w:p>
        </w:tc>
      </w:tr>
      <w:tr>
        <w:tc>
          <w:tcPr>
            <w:vAlign w:val="center"/>
          </w:tcPr>
          <w:p>
            <w:pPr>
              <w:jc w:val="center"/>
            </w:pPr>
            <w:r>
              <w:rPr>
                <w:color w:val="000000"/>
                <w:sz w:val="24"/>
                <w:szCs w:val="24"/>
              </w:rPr>
              <w:t>3</w:t>
            </w:r>
          </w:p>
        </w:tc>
        <w:tc>
          <w:tcPr>
            <w:vAlign w:val="center"/>
          </w:tcPr>
          <w:p>
            <w:pPr>
              <w:jc w:val="center"/>
            </w:pPr>
            <w:r>
              <w:rPr>
                <w:color w:val="000000"/>
                <w:sz w:val="24"/>
                <w:szCs w:val="24"/>
              </w:rPr>
              <w:t>1580193</w:t>
            </w:r>
          </w:p>
        </w:tc>
        <w:tc>
          <w:tcPr>
            <w:vAlign w:val="center"/>
          </w:tcPr>
          <w:p>
            <w:pPr>
              <w:jc w:val="center"/>
            </w:pPr>
            <w:r>
              <w:rPr>
                <w:color w:val="000000"/>
                <w:sz w:val="24"/>
                <w:szCs w:val="24"/>
              </w:rPr>
              <w:t>15洪轨债02</w:t>
            </w:r>
          </w:p>
        </w:tc>
        <w:tc>
          <w:tcPr>
            <w:vAlign w:val="center"/>
          </w:tcPr>
          <w:p>
            <w:pPr>
              <w:jc w:val="right"/>
            </w:pPr>
            <w:r>
              <w:rPr>
                <w:color w:val="000000"/>
                <w:sz w:val="24"/>
                <w:szCs w:val="24"/>
              </w:rPr>
              <w:t>600,000</w:t>
            </w:r>
          </w:p>
        </w:tc>
        <w:tc>
          <w:tcPr>
            <w:vAlign w:val="center"/>
          </w:tcPr>
          <w:p>
            <w:pPr>
              <w:jc w:val="right"/>
            </w:pPr>
            <w:r>
              <w:rPr>
                <w:color w:val="000000"/>
                <w:sz w:val="24"/>
                <w:szCs w:val="24"/>
              </w:rPr>
              <w:t>60,912,000.00</w:t>
            </w:r>
          </w:p>
        </w:tc>
        <w:tc>
          <w:tcPr>
            <w:vAlign w:val="center"/>
          </w:tcPr>
          <w:p>
            <w:pPr>
              <w:jc w:val="right"/>
            </w:pPr>
            <w:r>
              <w:rPr>
                <w:color w:val="000000"/>
                <w:sz w:val="24"/>
                <w:szCs w:val="24"/>
              </w:rPr>
              <w:t>2.43</w:t>
            </w:r>
          </w:p>
        </w:tc>
      </w:tr>
      <w:tr>
        <w:tc>
          <w:tcPr>
            <w:vAlign w:val="center"/>
          </w:tcPr>
          <w:p>
            <w:pPr>
              <w:jc w:val="center"/>
            </w:pPr>
            <w:r>
              <w:rPr>
                <w:color w:val="000000"/>
                <w:sz w:val="24"/>
                <w:szCs w:val="24"/>
              </w:rPr>
              <w:t>4</w:t>
            </w:r>
          </w:p>
        </w:tc>
        <w:tc>
          <w:tcPr>
            <w:vAlign w:val="center"/>
          </w:tcPr>
          <w:p>
            <w:pPr>
              <w:jc w:val="center"/>
            </w:pPr>
            <w:r>
              <w:rPr>
                <w:color w:val="000000"/>
                <w:sz w:val="24"/>
                <w:szCs w:val="24"/>
              </w:rPr>
              <w:t>102000372</w:t>
            </w:r>
          </w:p>
        </w:tc>
        <w:tc>
          <w:tcPr>
            <w:vAlign w:val="center"/>
          </w:tcPr>
          <w:p>
            <w:pPr>
              <w:jc w:val="center"/>
            </w:pPr>
            <w:r>
              <w:rPr>
                <w:color w:val="000000"/>
                <w:sz w:val="24"/>
                <w:szCs w:val="24"/>
              </w:rPr>
              <w:t>20嘉兴科技MTN001</w:t>
            </w:r>
          </w:p>
        </w:tc>
        <w:tc>
          <w:tcPr>
            <w:vAlign w:val="center"/>
          </w:tcPr>
          <w:p>
            <w:pPr>
              <w:jc w:val="right"/>
            </w:pPr>
            <w:r>
              <w:rPr>
                <w:color w:val="000000"/>
                <w:sz w:val="24"/>
                <w:szCs w:val="24"/>
              </w:rPr>
              <w:t>600,000</w:t>
            </w:r>
          </w:p>
        </w:tc>
        <w:tc>
          <w:tcPr>
            <w:vAlign w:val="center"/>
          </w:tcPr>
          <w:p>
            <w:pPr>
              <w:jc w:val="right"/>
            </w:pPr>
            <w:r>
              <w:rPr>
                <w:color w:val="000000"/>
                <w:sz w:val="24"/>
                <w:szCs w:val="24"/>
              </w:rPr>
              <w:t>59,970,000.00</w:t>
            </w:r>
          </w:p>
        </w:tc>
        <w:tc>
          <w:tcPr>
            <w:vAlign w:val="center"/>
          </w:tcPr>
          <w:p>
            <w:pPr>
              <w:jc w:val="right"/>
            </w:pPr>
            <w:r>
              <w:rPr>
                <w:color w:val="000000"/>
                <w:sz w:val="24"/>
                <w:szCs w:val="24"/>
              </w:rPr>
              <w:t>2.39</w:t>
            </w:r>
          </w:p>
        </w:tc>
      </w:tr>
      <w:tr>
        <w:tc>
          <w:tcPr>
            <w:vAlign w:val="center"/>
          </w:tcPr>
          <w:p>
            <w:pPr>
              <w:jc w:val="center"/>
            </w:pPr>
            <w:r>
              <w:rPr>
                <w:color w:val="000000"/>
                <w:sz w:val="24"/>
                <w:szCs w:val="24"/>
              </w:rPr>
              <w:t>5</w:t>
            </w:r>
          </w:p>
        </w:tc>
        <w:tc>
          <w:tcPr>
            <w:vAlign w:val="center"/>
          </w:tcPr>
          <w:p>
            <w:pPr>
              <w:jc w:val="center"/>
            </w:pPr>
            <w:r>
              <w:rPr>
                <w:color w:val="000000"/>
                <w:sz w:val="24"/>
                <w:szCs w:val="24"/>
              </w:rPr>
              <w:t>101800408</w:t>
            </w:r>
          </w:p>
        </w:tc>
        <w:tc>
          <w:tcPr>
            <w:vAlign w:val="center"/>
          </w:tcPr>
          <w:p>
            <w:pPr>
              <w:jc w:val="center"/>
            </w:pPr>
            <w:r>
              <w:rPr>
                <w:color w:val="000000"/>
                <w:sz w:val="24"/>
                <w:szCs w:val="24"/>
              </w:rPr>
              <w:t>18成都开投MTN002</w:t>
            </w:r>
          </w:p>
        </w:tc>
        <w:tc>
          <w:tcPr>
            <w:vAlign w:val="center"/>
          </w:tcPr>
          <w:p>
            <w:pPr>
              <w:jc w:val="right"/>
            </w:pPr>
            <w:r>
              <w:rPr>
                <w:color w:val="000000"/>
                <w:sz w:val="24"/>
                <w:szCs w:val="24"/>
              </w:rPr>
              <w:t>500,000</w:t>
            </w:r>
          </w:p>
        </w:tc>
        <w:tc>
          <w:tcPr>
            <w:vAlign w:val="center"/>
          </w:tcPr>
          <w:p>
            <w:pPr>
              <w:jc w:val="right"/>
            </w:pPr>
            <w:r>
              <w:rPr>
                <w:color w:val="000000"/>
                <w:sz w:val="24"/>
                <w:szCs w:val="24"/>
              </w:rPr>
              <w:t>54,410,000.00</w:t>
            </w:r>
          </w:p>
        </w:tc>
        <w:tc>
          <w:tcPr>
            <w:vAlign w:val="center"/>
          </w:tcPr>
          <w:p>
            <w:pPr>
              <w:jc w:val="right"/>
            </w:pPr>
            <w:r>
              <w:rPr>
                <w:color w:val="000000"/>
                <w:sz w:val="24"/>
                <w:szCs w:val="24"/>
              </w:rPr>
              <w:t>2.17</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55,637.91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45,580,983.88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6,653,380.49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52,290,002.28</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本基金本报告期末未持有股票。</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1,546,236,280.51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1,245,184,035.45</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638,449,771.51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2,152,970,544.45</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w:r>
            <w:r w:rsidRPr="004F4D27">
              <w:rPr>
                <w:rFonts w:ascii="宋体" w:hAnsi="宋体"/>
                <w:color w:val="000000"/>
                <w:kern w:val="0"/>
              </w:rPr>
              <w:lastRenderedPageBreak/>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lastRenderedPageBreak/>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2020/1/1-2020/3/31</w:t>
            </w:r>
          </w:p>
        </w:tc>
        <w:tc>
          <w:tcPr>
            <w:vAlign w:val="center"/>
          </w:tcPr>
          <w:p>
            <w:pPr>
              <w:jc w:val="center"/>
            </w:pPr>
            <w:r>
              <w:rPr>
                <w:rFonts w:ascii="宋体" w:hAnsi="宋体"/>
                <w:color w:val="000000"/>
                <w:kern w:val="0"/>
              </w:rPr>
              <w:t>376,202,099.74</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376,202,099.74</w:t>
            </w:r>
          </w:p>
        </w:tc>
        <w:tc>
          <w:tcPr>
            <w:vAlign w:val="center"/>
          </w:tcPr>
          <w:p>
            <w:pPr>
              <w:jc w:val="center"/>
            </w:pPr>
            <w:r>
              <w:rPr>
                <w:rFonts w:ascii="宋体" w:hAnsi="宋体"/>
                <w:color w:val="000000"/>
                <w:kern w:val="0"/>
              </w:rPr>
              <w:t>17.47%</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1、中国证监会核准交银施罗德信用添利债券证券投资基金募集的文件； </w:t>
      </w:r>
    </w:p>
    <w:p>
      <w:pPr>
        <w:spacing w:before="29" w:line="288" w:lineRule="auto"/>
        <w:ind w:firstLine="480" w:firstLineChars="200"/>
        <w:rPr>
          <w:color w:val="000000"/>
          <w:sz w:val="24"/>
          <w:szCs w:val="24"/>
        </w:rPr>
      </w:pPr>
      <w:r>
        <w:rPr>
          <w:color w:val="000000"/>
          <w:sz w:val="24"/>
          <w:szCs w:val="24"/>
        </w:rPr>
        <w:t>2、《交银施罗德信用添利债券证券投资基金基金合同》；</w:t>
      </w:r>
    </w:p>
    <w:p>
      <w:pPr>
        <w:spacing w:before="29" w:line="288" w:lineRule="auto"/>
        <w:ind w:firstLine="480" w:firstLineChars="200"/>
        <w:rPr>
          <w:color w:val="000000"/>
          <w:sz w:val="24"/>
          <w:szCs w:val="24"/>
        </w:rPr>
      </w:pPr>
      <w:r>
        <w:rPr>
          <w:color w:val="000000"/>
          <w:sz w:val="24"/>
          <w:szCs w:val="24"/>
        </w:rPr>
        <w:t xml:space="preserve">3、《交银施罗德信用添利债券证券投资基金招募说明书》； </w:t>
      </w:r>
    </w:p>
    <w:p>
      <w:pPr>
        <w:spacing w:before="29" w:line="288" w:lineRule="auto"/>
        <w:ind w:firstLine="480" w:firstLineChars="200"/>
        <w:rPr>
          <w:color w:val="000000"/>
          <w:sz w:val="24"/>
          <w:szCs w:val="24"/>
        </w:rPr>
      </w:pPr>
      <w:r>
        <w:rPr>
          <w:color w:val="000000"/>
          <w:sz w:val="24"/>
          <w:szCs w:val="24"/>
        </w:rPr>
        <w:t xml:space="preserve">4、《交银施罗德信用添利债券证券投资基金托管协议》； </w:t>
      </w:r>
    </w:p>
    <w:p>
      <w:pPr>
        <w:spacing w:before="29" w:line="288" w:lineRule="auto"/>
        <w:ind w:firstLine="480" w:firstLineChars="200"/>
        <w:rPr>
          <w:color w:val="000000"/>
          <w:sz w:val="24"/>
          <w:szCs w:val="24"/>
        </w:rPr>
      </w:pPr>
      <w:r>
        <w:rPr>
          <w:color w:val="000000"/>
          <w:sz w:val="24"/>
          <w:szCs w:val="24"/>
        </w:rPr>
        <w:t>5、基金管理人业务资格批件、营业执照；</w:t>
      </w:r>
    </w:p>
    <w:p>
      <w:pPr>
        <w:spacing w:before="29" w:line="288" w:lineRule="auto"/>
        <w:ind w:firstLine="480" w:firstLineChars="200"/>
        <w:rPr>
          <w:color w:val="000000"/>
          <w:sz w:val="24"/>
          <w:szCs w:val="24"/>
        </w:rPr>
      </w:pPr>
      <w:r>
        <w:rPr>
          <w:color w:val="000000"/>
          <w:sz w:val="24"/>
          <w:szCs w:val="24"/>
        </w:rPr>
        <w:t>6、基金托管人业务资格批件、营业执照；</w:t>
      </w:r>
    </w:p>
    <w:p>
      <w:pPr>
        <w:spacing w:before="29" w:line="288" w:lineRule="auto"/>
        <w:ind w:firstLine="480" w:firstLineChars="200"/>
        <w:rPr>
          <w:color w:val="000000"/>
          <w:sz w:val="24"/>
          <w:szCs w:val="24"/>
        </w:rPr>
      </w:pPr>
      <w:r>
        <w:rPr>
          <w:color w:val="000000"/>
          <w:sz w:val="24"/>
          <w:szCs w:val="24"/>
        </w:rPr>
        <w:t>7、关于申请募集交银施罗德信用添利债券证券投资基金之法律意见书；</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8、报告期内交银施罗德信用添利债券证券投资基金在指定报刊上各项公告的原稿。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交银施罗德信用添利债券证券投资基金（LOF）2020年第1季度报告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