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交银施罗德品质升级混合型证券投资基金</w:t>
      </w:r>
    </w:p>
    <w:p w:rsidP="00C15CAC" w:rsidR="002279D3" w:rsidRDefault="002279D3" w:rsidRPr="0081286B">
      <w:pPr>
        <w:spacing w:before="29" w:line="288" w:lineRule="auto"/>
        <w:jc w:val="center"/>
        <w:rPr>
          <w:b/>
          <w:sz w:val="36"/>
          <w:szCs w:val="36"/>
        </w:rPr>
      </w:pPr>
      <w:r w:rsidRPr="0081286B">
        <w:rPr>
          <w:b/>
          <w:sz w:val="36"/>
          <w:szCs w:val="36"/>
        </w:rPr>
        <w:t>2020年第1季度报告</w:t>
      </w:r>
    </w:p>
    <w:p w:rsidP="00C15CAC" w:rsidR="004061AC" w:rsidRDefault="00655CD8" w:rsidRPr="0081286B">
      <w:pPr>
        <w:spacing w:before="29" w:line="288" w:lineRule="auto"/>
        <w:jc w:val="center"/>
        <w:rPr>
          <w:b/>
          <w:sz w:val="36"/>
          <w:szCs w:val="36"/>
        </w:rPr>
      </w:pPr>
      <w:r w:rsidRPr="0081286B">
        <w:rPr>
          <w:b/>
          <w:sz w:val="36"/>
          <w:szCs w:val="36"/>
        </w:rPr>
        <w:t>2020年3月31日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中国农业银行股份有限公司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二〇二〇年四月二十二日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基金托管人中国农业银行股份有限公司根据本基金合同规定，于2020年4月21日复核了本报告中的财务指标、净值表现和投资组合报告等内容，保证复核内容不存在虚假记载、误导性陈述或者重大遗漏。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本报告期自2020年1月1日起至3月31日止。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交银品质升级混合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005004</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005004</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2018年2月8日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410,096,895.64</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本基金在有效控制投资风险的前提下，聚焦居民生活品质升级的方向和趋势，通过把握消费成长领域的投资机会，力争为基金份额持有人获得超越业绩比较基准的收益。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(2020年1月1日-2020年3月31日)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34,032,503.24</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-25,655,035.17</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-0.0489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414,959,155.60</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1.0119</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2、本期已实现收益指基金本期利息收入、投资收益、其他收入（不含公允价值变动收益）扣除相关费用后的余额，本期利润为本期已实现收益加上本期公允价值变动收益。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-4.54%</w:t>
            </w:r>
          </w:p>
        </w:tc>
        <w:tc>
          <w:tcPr>
            <w:vAlign w:val="center"/>
          </w:tcPr>
          <w:p>
            <w:pPr>
              <w:jc w:val="center"/>
            </w:pPr>
            <w:r>
              <w:rPr>
                <w:color w:val="000000"/>
                <w:sz w:val="24"/>
                <w:szCs w:val="24"/>
              </w:rPr>
              <w:t>2.04%</w:t>
            </w:r>
          </w:p>
        </w:tc>
        <w:tc>
          <w:tcPr>
            <w:vAlign w:val="center"/>
          </w:tcPr>
          <w:p>
            <w:pPr>
              <w:jc w:val="center"/>
            </w:pPr>
            <w:r>
              <w:rPr>
                <w:color w:val="000000"/>
                <w:sz w:val="24"/>
                <w:szCs w:val="24"/>
              </w:rPr>
              <w:t>-4.90%</w:t>
            </w:r>
          </w:p>
        </w:tc>
        <w:tc>
          <w:tcPr>
            <w:vAlign w:val="center"/>
          </w:tcPr>
          <w:p>
            <w:pPr>
              <w:jc w:val="center"/>
            </w:pPr>
            <w:r>
              <w:rPr>
                <w:color w:val="000000"/>
                <w:sz w:val="24"/>
                <w:szCs w:val="24"/>
              </w:rPr>
              <w:t>1.15%</w:t>
            </w:r>
          </w:p>
        </w:tc>
        <w:tc>
          <w:tcPr>
            <w:vAlign w:val="center"/>
          </w:tcPr>
          <w:p>
            <w:pPr>
              <w:jc w:val="center"/>
            </w:pPr>
            <w:r>
              <w:rPr>
                <w:color w:val="000000"/>
                <w:sz w:val="24"/>
                <w:szCs w:val="24"/>
              </w:rPr>
              <w:t>0.36%</w:t>
            </w:r>
          </w:p>
        </w:tc>
        <w:tc>
          <w:tcPr>
            <w:vAlign w:val="center"/>
          </w:tcPr>
          <w:p>
            <w:pPr>
              <w:jc w:val="center"/>
            </w:pPr>
            <w:r>
              <w:rPr>
                <w:color w:val="000000"/>
                <w:sz w:val="24"/>
                <w:szCs w:val="24"/>
              </w:rPr>
              <w:t>0.89%</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交银施罗德品质升级混合型证券投资基金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2018年2月8日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2020年3月31日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韩威俊</w:t>
            </w:r>
          </w:p>
        </w:tc>
        <w:tc>
          <w:tcPr>
            <w:vAlign w:val="center"/>
          </w:tcPr>
          <w:p>
            <w:pPr>
              <w:jc w:val="center"/>
            </w:pPr>
            <w:r>
              <w:rPr>
                <w:color w:val="000000"/>
                <w:sz w:val="24"/>
                <w:szCs w:val="24"/>
              </w:rPr>
              <w:t>交银趋势混合、交银策略回报灵活配置混合、交银消费新驱动股票、交银股息优化混合、交银品质升级混合的基金经理</w:t>
            </w:r>
          </w:p>
        </w:tc>
        <w:tc>
          <w:tcPr>
            <w:vAlign w:val="center"/>
          </w:tcPr>
          <w:p>
            <w:pPr>
              <w:jc w:val="center"/>
            </w:pPr>
            <w:r>
              <w:rPr>
                <w:color w:val="000000"/>
                <w:sz w:val="24"/>
                <w:szCs w:val="24"/>
              </w:rPr>
              <w:t>2018-02-08</w:t>
            </w:r>
          </w:p>
        </w:tc>
        <w:tc>
          <w:tcPr>
            <w:vAlign w:val="center"/>
          </w:tcPr>
          <w:p>
            <w:pPr>
              <w:jc w:val="center"/>
            </w:pPr>
            <w:r>
              <w:rPr>
                <w:color w:val="000000"/>
                <w:sz w:val="24"/>
                <w:szCs w:val="24"/>
              </w:rPr>
              <w:t>-</w:t>
            </w:r>
          </w:p>
        </w:tc>
        <w:tc>
          <w:tcPr>
            <w:vAlign w:val="center"/>
          </w:tcPr>
          <w:p>
            <w:pPr>
              <w:jc w:val="center"/>
            </w:pPr>
            <w:r>
              <w:rPr>
                <w:color w:val="000000"/>
                <w:sz w:val="24"/>
                <w:szCs w:val="24"/>
              </w:rPr>
              <w:t>14年</w:t>
            </w:r>
          </w:p>
        </w:tc>
        <w:tc>
          <w:tcPr>
            <w:vAlign w:val="center"/>
          </w:tcPr>
          <w:p>
            <w:pPr>
              <w:jc w:val="both"/>
            </w:pPr>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2013年加入交银施罗德基金管理有限公司，历任行业分析师。</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回顾2020年一季度，新冠肺炎对国内国外的资本市场和经济造成了较大影响。尽管全球采取了各种货币政策、财政政策等救市措施，短期也无法弥补海外、特别是美国市场的流动性风险。A股市场在二月大幅波动后，三月的风险偏好开始大幅下降，整个市场陷入了风险偏好下降带动盈利预期下调再带动风险偏好下调的恶性循环中。从目前情况来看，海外流动性风险基本上解除，美国无限制QE政策也会导致美元指数在避险情绪消失后逐步回落，中国资产（包括货币、债券、股票）在全球市场的吸引力大幅提升。如果后续海外疫情逐步得到控制，海外资本市场稳定以后，海外资金或将继续快速流入中国，带动国内利率水平进一步回落以及债券价格和股票价格上升。</w:t>
      </w:r>
    </w:p>
    <w:p>
      <w:pPr>
        <w:spacing w:before="29" w:line="288" w:lineRule="auto"/>
        <w:ind w:firstLine="480" w:firstLineChars="200"/>
        <w:rPr>
          <w:color w:val="000000"/>
          <w:sz w:val="24"/>
          <w:szCs w:val="24"/>
        </w:rPr>
      </w:pPr>
      <w:r>
        <w:rPr>
          <w:color w:val="000000"/>
          <w:sz w:val="24"/>
          <w:szCs w:val="24"/>
        </w:rPr>
        <w:t>本基金在2020年一季度主要以消费白马龙头作为底仓的配置思路，个股集中度依然维持在较高水平，持仓并没有发生太大变化。一季度由于疫情对消费的冲击，春节后表现相对较弱，整体落后市场。但是我们认为，随着国内疫情的逐步恢复，内需消费信心的恢复，整个消费白马全年的盈利水平整体影响不会太大，全年绝对收益仍然值得期待。</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2020年二季度：（1）国内在二月按下暂停键以后，有效地控制了疫情的发展，三月已经开始复工复产。整个一季度宏观和各行业都面临较大压力，但随着国内疫情后续逐步恢复，国内正常经济活动展开和消费需求的复苏，整个内需有望出现比较明显的反弹。本基金仍然聚焦内需消费为主，结合疫情后消费复苏的节奏，适当做一些重仓股的结构调整。在追求全年绝对收益的前提下，二季度开始逐步布局市值相对低估，长期空间巨大的消费服务类龙头公司；（2）海外疫情于三月开始爆发，从欧洲到美国，对全球流动性和经济预期造成重大波动。从欧美目前情况来看，二季度整体经济影响巨大，三季度也很难出现比较明显的复苏。与海外需求高度相关的制造业等龙头企业，可能在二季度末或三季度初存在预期特别低的机会，特别是目前渗透率较低的新能源汽车和光伏等产业。</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388,954,682.34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92.45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388,954,682.34</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92.45</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31,416,594.33</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7.47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339,073.42</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0.08</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420,710,350.09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343,870,198.91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82.87</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19,147.31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10,402,536.32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2.51</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6,786,772.50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1.64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12,143,212.98</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2.93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545,772.32</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0.13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15,187,042.00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3.66</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388,954,682.34</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93.73</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600519</w:t>
            </w:r>
          </w:p>
        </w:tc>
        <w:tc>
          <w:tcPr>
            <w:vAlign w:val="center"/>
          </w:tcPr>
          <w:p>
            <w:pPr>
              <w:jc w:val="center"/>
            </w:pPr>
            <w:r>
              <w:rPr>
                <w:color w:val="000000"/>
                <w:sz w:val="24"/>
                <w:szCs w:val="24"/>
              </w:rPr>
              <w:t>贵州茅台</w:t>
            </w:r>
          </w:p>
        </w:tc>
        <w:tc>
          <w:tcPr>
            <w:vAlign w:val="center"/>
          </w:tcPr>
          <w:p>
            <w:pPr>
              <w:jc w:val="right"/>
            </w:pPr>
            <w:r>
              <w:rPr>
                <w:color w:val="000000"/>
                <w:sz w:val="24"/>
                <w:szCs w:val="24"/>
              </w:rPr>
              <w:t>37,031</w:t>
            </w:r>
          </w:p>
        </w:tc>
        <w:tc>
          <w:tcPr>
            <w:vAlign w:val="center"/>
          </w:tcPr>
          <w:p>
            <w:pPr>
              <w:jc w:val="right"/>
            </w:pPr>
            <w:r>
              <w:rPr>
                <w:color w:val="000000"/>
                <w:sz w:val="24"/>
                <w:szCs w:val="24"/>
              </w:rPr>
              <w:t>41,141,441.00</w:t>
            </w:r>
          </w:p>
        </w:tc>
        <w:tc>
          <w:tcPr>
            <w:vAlign w:val="center"/>
          </w:tcPr>
          <w:p>
            <w:pPr>
              <w:jc w:val="right"/>
            </w:pPr>
            <w:r>
              <w:rPr>
                <w:color w:val="000000"/>
                <w:sz w:val="24"/>
                <w:szCs w:val="24"/>
              </w:rPr>
              <w:t>9.91</w:t>
            </w:r>
          </w:p>
        </w:tc>
      </w:tr>
      <w:tr>
        <w:tc>
          <w:tcPr>
            <w:vAlign w:val="center"/>
          </w:tcPr>
          <w:p>
            <w:pPr>
              <w:jc w:val="center"/>
            </w:pPr>
            <w:r>
              <w:rPr>
                <w:color w:val="000000"/>
                <w:sz w:val="24"/>
                <w:szCs w:val="24"/>
              </w:rPr>
              <w:t>2</w:t>
            </w:r>
          </w:p>
        </w:tc>
        <w:tc>
          <w:tcPr>
            <w:vAlign w:val="center"/>
          </w:tcPr>
          <w:p>
            <w:pPr>
              <w:jc w:val="center"/>
            </w:pPr>
            <w:r>
              <w:rPr>
                <w:color w:val="000000"/>
                <w:sz w:val="24"/>
                <w:szCs w:val="24"/>
              </w:rPr>
              <w:t>000858</w:t>
            </w:r>
          </w:p>
        </w:tc>
        <w:tc>
          <w:tcPr>
            <w:vAlign w:val="center"/>
          </w:tcPr>
          <w:p>
            <w:pPr>
              <w:jc w:val="center"/>
            </w:pPr>
            <w:r>
              <w:rPr>
                <w:color w:val="000000"/>
                <w:sz w:val="24"/>
                <w:szCs w:val="24"/>
              </w:rPr>
              <w:t>五粮液</w:t>
            </w:r>
          </w:p>
        </w:tc>
        <w:tc>
          <w:tcPr>
            <w:vAlign w:val="center"/>
          </w:tcPr>
          <w:p>
            <w:pPr>
              <w:jc w:val="right"/>
            </w:pPr>
            <w:r>
              <w:rPr>
                <w:color w:val="000000"/>
                <w:sz w:val="24"/>
                <w:szCs w:val="24"/>
              </w:rPr>
              <w:t>348,089</w:t>
            </w:r>
          </w:p>
        </w:tc>
        <w:tc>
          <w:tcPr>
            <w:vAlign w:val="center"/>
          </w:tcPr>
          <w:p>
            <w:pPr>
              <w:jc w:val="right"/>
            </w:pPr>
            <w:r>
              <w:rPr>
                <w:color w:val="000000"/>
                <w:sz w:val="24"/>
                <w:szCs w:val="24"/>
              </w:rPr>
              <w:t>40,099,852.80</w:t>
            </w:r>
          </w:p>
        </w:tc>
        <w:tc>
          <w:tcPr>
            <w:vAlign w:val="center"/>
          </w:tcPr>
          <w:p>
            <w:pPr>
              <w:jc w:val="right"/>
            </w:pPr>
            <w:r>
              <w:rPr>
                <w:color w:val="000000"/>
                <w:sz w:val="24"/>
                <w:szCs w:val="24"/>
              </w:rPr>
              <w:t>9.66</w:t>
            </w:r>
          </w:p>
        </w:tc>
      </w:tr>
      <w:tr>
        <w:tc>
          <w:tcPr>
            <w:vAlign w:val="center"/>
          </w:tcPr>
          <w:p>
            <w:pPr>
              <w:jc w:val="center"/>
            </w:pPr>
            <w:r>
              <w:rPr>
                <w:color w:val="000000"/>
                <w:sz w:val="24"/>
                <w:szCs w:val="24"/>
              </w:rPr>
              <w:t>3</w:t>
            </w:r>
          </w:p>
        </w:tc>
        <w:tc>
          <w:tcPr>
            <w:vAlign w:val="center"/>
          </w:tcPr>
          <w:p>
            <w:pPr>
              <w:jc w:val="center"/>
            </w:pPr>
            <w:r>
              <w:rPr>
                <w:color w:val="000000"/>
                <w:sz w:val="24"/>
                <w:szCs w:val="24"/>
              </w:rPr>
              <w:t>603369</w:t>
            </w:r>
          </w:p>
        </w:tc>
        <w:tc>
          <w:tcPr>
            <w:vAlign w:val="center"/>
          </w:tcPr>
          <w:p>
            <w:pPr>
              <w:jc w:val="center"/>
            </w:pPr>
            <w:r>
              <w:rPr>
                <w:color w:val="000000"/>
                <w:sz w:val="24"/>
                <w:szCs w:val="24"/>
              </w:rPr>
              <w:t>今世缘</w:t>
            </w:r>
          </w:p>
        </w:tc>
        <w:tc>
          <w:tcPr>
            <w:vAlign w:val="center"/>
          </w:tcPr>
          <w:p>
            <w:pPr>
              <w:jc w:val="right"/>
            </w:pPr>
            <w:r>
              <w:rPr>
                <w:color w:val="000000"/>
                <w:sz w:val="24"/>
                <w:szCs w:val="24"/>
              </w:rPr>
              <w:t>1,325,782</w:t>
            </w:r>
          </w:p>
        </w:tc>
        <w:tc>
          <w:tcPr>
            <w:vAlign w:val="center"/>
          </w:tcPr>
          <w:p>
            <w:pPr>
              <w:jc w:val="right"/>
            </w:pPr>
            <w:r>
              <w:rPr>
                <w:color w:val="000000"/>
                <w:sz w:val="24"/>
                <w:szCs w:val="24"/>
              </w:rPr>
              <w:t>37,320,763.30</w:t>
            </w:r>
          </w:p>
        </w:tc>
        <w:tc>
          <w:tcPr>
            <w:vAlign w:val="center"/>
          </w:tcPr>
          <w:p>
            <w:pPr>
              <w:jc w:val="right"/>
            </w:pPr>
            <w:r>
              <w:rPr>
                <w:color w:val="000000"/>
                <w:sz w:val="24"/>
                <w:szCs w:val="24"/>
              </w:rPr>
              <w:t>8.99</w:t>
            </w:r>
          </w:p>
        </w:tc>
      </w:tr>
      <w:tr>
        <w:tc>
          <w:tcPr>
            <w:vAlign w:val="center"/>
          </w:tcPr>
          <w:p>
            <w:pPr>
              <w:jc w:val="center"/>
            </w:pPr>
            <w:r>
              <w:rPr>
                <w:color w:val="000000"/>
                <w:sz w:val="24"/>
                <w:szCs w:val="24"/>
              </w:rPr>
              <w:t>4</w:t>
            </w:r>
          </w:p>
        </w:tc>
        <w:tc>
          <w:tcPr>
            <w:vAlign w:val="center"/>
          </w:tcPr>
          <w:p>
            <w:pPr>
              <w:jc w:val="center"/>
            </w:pPr>
            <w:r>
              <w:rPr>
                <w:color w:val="000000"/>
                <w:sz w:val="24"/>
                <w:szCs w:val="24"/>
              </w:rPr>
              <w:t>300146</w:t>
            </w:r>
          </w:p>
        </w:tc>
        <w:tc>
          <w:tcPr>
            <w:vAlign w:val="center"/>
          </w:tcPr>
          <w:p>
            <w:pPr>
              <w:jc w:val="center"/>
            </w:pPr>
            <w:r>
              <w:rPr>
                <w:color w:val="000000"/>
                <w:sz w:val="24"/>
                <w:szCs w:val="24"/>
              </w:rPr>
              <w:t>汤臣倍健</w:t>
            </w:r>
          </w:p>
        </w:tc>
        <w:tc>
          <w:tcPr>
            <w:vAlign w:val="center"/>
          </w:tcPr>
          <w:p>
            <w:pPr>
              <w:jc w:val="right"/>
            </w:pPr>
            <w:r>
              <w:rPr>
                <w:color w:val="000000"/>
                <w:sz w:val="24"/>
                <w:szCs w:val="24"/>
              </w:rPr>
              <w:t>2,199,021</w:t>
            </w:r>
          </w:p>
        </w:tc>
        <w:tc>
          <w:tcPr>
            <w:vAlign w:val="center"/>
          </w:tcPr>
          <w:p>
            <w:pPr>
              <w:jc w:val="right"/>
            </w:pPr>
            <w:r>
              <w:rPr>
                <w:color w:val="000000"/>
                <w:sz w:val="24"/>
                <w:szCs w:val="24"/>
              </w:rPr>
              <w:t>36,921,562.59</w:t>
            </w:r>
          </w:p>
        </w:tc>
        <w:tc>
          <w:tcPr>
            <w:vAlign w:val="center"/>
          </w:tcPr>
          <w:p>
            <w:pPr>
              <w:jc w:val="right"/>
            </w:pPr>
            <w:r>
              <w:rPr>
                <w:color w:val="000000"/>
                <w:sz w:val="24"/>
                <w:szCs w:val="24"/>
              </w:rPr>
              <w:t>8.90</w:t>
            </w:r>
          </w:p>
        </w:tc>
      </w:tr>
      <w:tr>
        <w:tc>
          <w:tcPr>
            <w:vAlign w:val="center"/>
          </w:tcPr>
          <w:p>
            <w:pPr>
              <w:jc w:val="center"/>
            </w:pPr>
            <w:r>
              <w:rPr>
                <w:color w:val="000000"/>
                <w:sz w:val="24"/>
                <w:szCs w:val="24"/>
              </w:rPr>
              <w:t>5</w:t>
            </w:r>
          </w:p>
        </w:tc>
        <w:tc>
          <w:tcPr>
            <w:vAlign w:val="center"/>
          </w:tcPr>
          <w:p>
            <w:pPr>
              <w:jc w:val="center"/>
            </w:pPr>
            <w:r>
              <w:rPr>
                <w:color w:val="000000"/>
                <w:sz w:val="24"/>
                <w:szCs w:val="24"/>
              </w:rPr>
              <w:t>600132</w:t>
            </w:r>
          </w:p>
        </w:tc>
        <w:tc>
          <w:tcPr>
            <w:vAlign w:val="center"/>
          </w:tcPr>
          <w:p>
            <w:pPr>
              <w:jc w:val="center"/>
            </w:pPr>
            <w:r>
              <w:rPr>
                <w:color w:val="000000"/>
                <w:sz w:val="24"/>
                <w:szCs w:val="24"/>
              </w:rPr>
              <w:t>重庆啤酒</w:t>
            </w:r>
          </w:p>
        </w:tc>
        <w:tc>
          <w:tcPr>
            <w:vAlign w:val="center"/>
          </w:tcPr>
          <w:p>
            <w:pPr>
              <w:jc w:val="right"/>
            </w:pPr>
            <w:r>
              <w:rPr>
                <w:color w:val="000000"/>
                <w:sz w:val="24"/>
                <w:szCs w:val="24"/>
              </w:rPr>
              <w:t>810,139</w:t>
            </w:r>
          </w:p>
        </w:tc>
        <w:tc>
          <w:tcPr>
            <w:vAlign w:val="center"/>
          </w:tcPr>
          <w:p>
            <w:pPr>
              <w:jc w:val="right"/>
            </w:pPr>
            <w:r>
              <w:rPr>
                <w:color w:val="000000"/>
                <w:sz w:val="24"/>
                <w:szCs w:val="24"/>
              </w:rPr>
              <w:t>36,869,425.89</w:t>
            </w:r>
          </w:p>
        </w:tc>
        <w:tc>
          <w:tcPr>
            <w:vAlign w:val="center"/>
          </w:tcPr>
          <w:p>
            <w:pPr>
              <w:jc w:val="right"/>
            </w:pPr>
            <w:r>
              <w:rPr>
                <w:color w:val="000000"/>
                <w:sz w:val="24"/>
                <w:szCs w:val="24"/>
              </w:rPr>
              <w:t>8.89</w:t>
            </w:r>
          </w:p>
        </w:tc>
      </w:tr>
      <w:tr>
        <w:tc>
          <w:tcPr>
            <w:vAlign w:val="center"/>
          </w:tcPr>
          <w:p>
            <w:pPr>
              <w:jc w:val="center"/>
            </w:pPr>
            <w:r>
              <w:rPr>
                <w:color w:val="000000"/>
                <w:sz w:val="24"/>
                <w:szCs w:val="24"/>
              </w:rPr>
              <w:t>6</w:t>
            </w:r>
          </w:p>
        </w:tc>
        <w:tc>
          <w:tcPr>
            <w:vAlign w:val="center"/>
          </w:tcPr>
          <w:p>
            <w:pPr>
              <w:jc w:val="center"/>
            </w:pPr>
            <w:r>
              <w:rPr>
                <w:color w:val="000000"/>
                <w:sz w:val="24"/>
                <w:szCs w:val="24"/>
              </w:rPr>
              <w:t>002461</w:t>
            </w:r>
          </w:p>
        </w:tc>
        <w:tc>
          <w:tcPr>
            <w:vAlign w:val="center"/>
          </w:tcPr>
          <w:p>
            <w:pPr>
              <w:jc w:val="center"/>
            </w:pPr>
            <w:r>
              <w:rPr>
                <w:color w:val="000000"/>
                <w:sz w:val="24"/>
                <w:szCs w:val="24"/>
              </w:rPr>
              <w:t>珠江啤酒</w:t>
            </w:r>
          </w:p>
        </w:tc>
        <w:tc>
          <w:tcPr>
            <w:vAlign w:val="center"/>
          </w:tcPr>
          <w:p>
            <w:pPr>
              <w:jc w:val="right"/>
            </w:pPr>
            <w:r>
              <w:rPr>
                <w:color w:val="000000"/>
                <w:sz w:val="24"/>
                <w:szCs w:val="24"/>
              </w:rPr>
              <w:t>4,606,687</w:t>
            </w:r>
          </w:p>
        </w:tc>
        <w:tc>
          <w:tcPr>
            <w:vAlign w:val="center"/>
          </w:tcPr>
          <w:p>
            <w:pPr>
              <w:jc w:val="right"/>
            </w:pPr>
            <w:r>
              <w:rPr>
                <w:color w:val="000000"/>
                <w:sz w:val="24"/>
                <w:szCs w:val="24"/>
              </w:rPr>
              <w:t>31,970,407.78</w:t>
            </w:r>
          </w:p>
        </w:tc>
        <w:tc>
          <w:tcPr>
            <w:vAlign w:val="center"/>
          </w:tcPr>
          <w:p>
            <w:pPr>
              <w:jc w:val="right"/>
            </w:pPr>
            <w:r>
              <w:rPr>
                <w:color w:val="000000"/>
                <w:sz w:val="24"/>
                <w:szCs w:val="24"/>
              </w:rPr>
              <w:t>7.70</w:t>
            </w:r>
          </w:p>
        </w:tc>
      </w:tr>
      <w:tr>
        <w:tc>
          <w:tcPr>
            <w:vAlign w:val="center"/>
          </w:tcPr>
          <w:p>
            <w:pPr>
              <w:jc w:val="center"/>
            </w:pPr>
            <w:r>
              <w:rPr>
                <w:color w:val="000000"/>
                <w:sz w:val="24"/>
                <w:szCs w:val="24"/>
              </w:rPr>
              <w:t>7</w:t>
            </w:r>
          </w:p>
        </w:tc>
        <w:tc>
          <w:tcPr>
            <w:vAlign w:val="center"/>
          </w:tcPr>
          <w:p>
            <w:pPr>
              <w:jc w:val="center"/>
            </w:pPr>
            <w:r>
              <w:rPr>
                <w:color w:val="000000"/>
                <w:sz w:val="24"/>
                <w:szCs w:val="24"/>
              </w:rPr>
              <w:t>600529</w:t>
            </w:r>
          </w:p>
        </w:tc>
        <w:tc>
          <w:tcPr>
            <w:vAlign w:val="center"/>
          </w:tcPr>
          <w:p>
            <w:pPr>
              <w:jc w:val="center"/>
            </w:pPr>
            <w:r>
              <w:rPr>
                <w:color w:val="000000"/>
                <w:sz w:val="24"/>
                <w:szCs w:val="24"/>
              </w:rPr>
              <w:t>山东药玻</w:t>
            </w:r>
          </w:p>
        </w:tc>
        <w:tc>
          <w:tcPr>
            <w:vAlign w:val="center"/>
          </w:tcPr>
          <w:p>
            <w:pPr>
              <w:jc w:val="right"/>
            </w:pPr>
            <w:r>
              <w:rPr>
                <w:color w:val="000000"/>
                <w:sz w:val="24"/>
                <w:szCs w:val="24"/>
              </w:rPr>
              <w:t>625,800</w:t>
            </w:r>
          </w:p>
        </w:tc>
        <w:tc>
          <w:tcPr>
            <w:vAlign w:val="center"/>
          </w:tcPr>
          <w:p>
            <w:pPr>
              <w:jc w:val="right"/>
            </w:pPr>
            <w:r>
              <w:rPr>
                <w:color w:val="000000"/>
                <w:sz w:val="24"/>
                <w:szCs w:val="24"/>
              </w:rPr>
              <w:t>21,014,364.00</w:t>
            </w:r>
          </w:p>
        </w:tc>
        <w:tc>
          <w:tcPr>
            <w:vAlign w:val="center"/>
          </w:tcPr>
          <w:p>
            <w:pPr>
              <w:jc w:val="right"/>
            </w:pPr>
            <w:r>
              <w:rPr>
                <w:color w:val="000000"/>
                <w:sz w:val="24"/>
                <w:szCs w:val="24"/>
              </w:rPr>
              <w:t>5.06</w:t>
            </w:r>
          </w:p>
        </w:tc>
      </w:tr>
      <w:tr>
        <w:tc>
          <w:tcPr>
            <w:vAlign w:val="center"/>
          </w:tcPr>
          <w:p>
            <w:pPr>
              <w:jc w:val="center"/>
            </w:pPr>
            <w:r>
              <w:rPr>
                <w:color w:val="000000"/>
                <w:sz w:val="24"/>
                <w:szCs w:val="24"/>
              </w:rPr>
              <w:t>8</w:t>
            </w:r>
          </w:p>
        </w:tc>
        <w:tc>
          <w:tcPr>
            <w:vAlign w:val="center"/>
          </w:tcPr>
          <w:p>
            <w:pPr>
              <w:jc w:val="center"/>
            </w:pPr>
            <w:r>
              <w:rPr>
                <w:color w:val="000000"/>
                <w:sz w:val="24"/>
                <w:szCs w:val="24"/>
              </w:rPr>
              <w:t>600887</w:t>
            </w:r>
          </w:p>
        </w:tc>
        <w:tc>
          <w:tcPr>
            <w:vAlign w:val="center"/>
          </w:tcPr>
          <w:p>
            <w:pPr>
              <w:jc w:val="center"/>
            </w:pPr>
            <w:r>
              <w:rPr>
                <w:color w:val="000000"/>
                <w:sz w:val="24"/>
                <w:szCs w:val="24"/>
              </w:rPr>
              <w:t>伊利股份</w:t>
            </w:r>
          </w:p>
        </w:tc>
        <w:tc>
          <w:tcPr>
            <w:vAlign w:val="center"/>
          </w:tcPr>
          <w:p>
            <w:pPr>
              <w:jc w:val="right"/>
            </w:pPr>
            <w:r>
              <w:rPr>
                <w:color w:val="000000"/>
                <w:sz w:val="24"/>
                <w:szCs w:val="24"/>
              </w:rPr>
              <w:t>702,895</w:t>
            </w:r>
          </w:p>
        </w:tc>
        <w:tc>
          <w:tcPr>
            <w:vAlign w:val="center"/>
          </w:tcPr>
          <w:p>
            <w:pPr>
              <w:jc w:val="right"/>
            </w:pPr>
            <w:r>
              <w:rPr>
                <w:color w:val="000000"/>
                <w:sz w:val="24"/>
                <w:szCs w:val="24"/>
              </w:rPr>
              <w:t>20,988,444.70</w:t>
            </w:r>
          </w:p>
        </w:tc>
        <w:tc>
          <w:tcPr>
            <w:vAlign w:val="center"/>
          </w:tcPr>
          <w:p>
            <w:pPr>
              <w:jc w:val="right"/>
            </w:pPr>
            <w:r>
              <w:rPr>
                <w:color w:val="000000"/>
                <w:sz w:val="24"/>
                <w:szCs w:val="24"/>
              </w:rPr>
              <w:t>5.06</w:t>
            </w:r>
          </w:p>
        </w:tc>
      </w:tr>
      <w:tr>
        <w:tc>
          <w:tcPr>
            <w:vAlign w:val="center"/>
          </w:tcPr>
          <w:p>
            <w:pPr>
              <w:jc w:val="center"/>
            </w:pPr>
            <w:r>
              <w:rPr>
                <w:color w:val="000000"/>
                <w:sz w:val="24"/>
                <w:szCs w:val="24"/>
              </w:rPr>
              <w:t>9</w:t>
            </w:r>
          </w:p>
        </w:tc>
        <w:tc>
          <w:tcPr>
            <w:vAlign w:val="center"/>
          </w:tcPr>
          <w:p>
            <w:pPr>
              <w:jc w:val="center"/>
            </w:pPr>
            <w:r>
              <w:rPr>
                <w:color w:val="000000"/>
                <w:sz w:val="24"/>
                <w:szCs w:val="24"/>
              </w:rPr>
              <w:t>000651</w:t>
            </w:r>
          </w:p>
        </w:tc>
        <w:tc>
          <w:tcPr>
            <w:vAlign w:val="center"/>
          </w:tcPr>
          <w:p>
            <w:pPr>
              <w:jc w:val="center"/>
            </w:pPr>
            <w:r>
              <w:rPr>
                <w:color w:val="000000"/>
                <w:sz w:val="24"/>
                <w:szCs w:val="24"/>
              </w:rPr>
              <w:t>格力电器</w:t>
            </w:r>
          </w:p>
        </w:tc>
        <w:tc>
          <w:tcPr>
            <w:vAlign w:val="center"/>
          </w:tcPr>
          <w:p>
            <w:pPr>
              <w:jc w:val="right"/>
            </w:pPr>
            <w:r>
              <w:rPr>
                <w:color w:val="000000"/>
                <w:sz w:val="24"/>
                <w:szCs w:val="24"/>
              </w:rPr>
              <w:t>388,427</w:t>
            </w:r>
          </w:p>
        </w:tc>
        <w:tc>
          <w:tcPr>
            <w:vAlign w:val="center"/>
          </w:tcPr>
          <w:p>
            <w:pPr>
              <w:jc w:val="right"/>
            </w:pPr>
            <w:r>
              <w:rPr>
                <w:color w:val="000000"/>
                <w:sz w:val="24"/>
                <w:szCs w:val="24"/>
              </w:rPr>
              <w:t>20,275,889.40</w:t>
            </w:r>
          </w:p>
        </w:tc>
        <w:tc>
          <w:tcPr>
            <w:vAlign w:val="center"/>
          </w:tcPr>
          <w:p>
            <w:pPr>
              <w:jc w:val="right"/>
            </w:pPr>
            <w:r>
              <w:rPr>
                <w:color w:val="000000"/>
                <w:sz w:val="24"/>
                <w:szCs w:val="24"/>
              </w:rPr>
              <w:t>4.89</w:t>
            </w:r>
          </w:p>
        </w:tc>
      </w:tr>
      <w:tr>
        <w:tc>
          <w:tcPr>
            <w:vAlign w:val="center"/>
          </w:tcPr>
          <w:p>
            <w:pPr>
              <w:jc w:val="center"/>
            </w:pPr>
            <w:r>
              <w:rPr>
                <w:color w:val="000000"/>
                <w:sz w:val="24"/>
                <w:szCs w:val="24"/>
              </w:rPr>
              <w:t>10</w:t>
            </w:r>
          </w:p>
        </w:tc>
        <w:tc>
          <w:tcPr>
            <w:vAlign w:val="center"/>
          </w:tcPr>
          <w:p>
            <w:pPr>
              <w:jc w:val="center"/>
            </w:pPr>
            <w:r>
              <w:rPr>
                <w:color w:val="000000"/>
                <w:sz w:val="24"/>
                <w:szCs w:val="24"/>
              </w:rPr>
              <w:t>603882</w:t>
            </w:r>
          </w:p>
        </w:tc>
        <w:tc>
          <w:tcPr>
            <w:vAlign w:val="center"/>
          </w:tcPr>
          <w:p>
            <w:pPr>
              <w:jc w:val="center"/>
            </w:pPr>
            <w:r>
              <w:rPr>
                <w:color w:val="000000"/>
                <w:sz w:val="24"/>
                <w:szCs w:val="24"/>
              </w:rPr>
              <w:t>金域医学</w:t>
            </w:r>
          </w:p>
        </w:tc>
        <w:tc>
          <w:tcPr>
            <w:vAlign w:val="center"/>
          </w:tcPr>
          <w:p>
            <w:pPr>
              <w:jc w:val="right"/>
            </w:pPr>
            <w:r>
              <w:rPr>
                <w:color w:val="000000"/>
                <w:sz w:val="24"/>
                <w:szCs w:val="24"/>
              </w:rPr>
              <w:t>269,800</w:t>
            </w:r>
          </w:p>
        </w:tc>
        <w:tc>
          <w:tcPr>
            <w:vAlign w:val="center"/>
          </w:tcPr>
          <w:p>
            <w:pPr>
              <w:jc w:val="right"/>
            </w:pPr>
            <w:r>
              <w:rPr>
                <w:color w:val="000000"/>
                <w:sz w:val="24"/>
                <w:szCs w:val="24"/>
              </w:rPr>
              <w:t>15,187,042.00</w:t>
            </w:r>
          </w:p>
        </w:tc>
        <w:tc>
          <w:tcPr>
            <w:vAlign w:val="center"/>
          </w:tcPr>
          <w:p>
            <w:pPr>
              <w:jc w:val="right"/>
            </w:pPr>
            <w:r>
              <w:rPr>
                <w:color w:val="000000"/>
                <w:sz w:val="24"/>
                <w:szCs w:val="24"/>
              </w:rPr>
              <w:t>3.66</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34FB5">
      <w:pPr>
        <w:autoSpaceDE w:val="0"/>
        <w:autoSpaceDN w:val="0"/>
        <w:adjustRightInd w:val="0"/>
        <w:spacing w:before="29" w:line="288" w:lineRule="auto"/>
        <w:jc w:val="left"/>
        <w:rPr>
          <w:b/>
          <w:bCs/>
          <w:color w:val="000000"/>
          <w:kern w:val="0"/>
          <w:sz w:val="24"/>
          <w:szCs w:val="24"/>
        </w:rPr>
      </w:pPr>
      <w:r w:rsidRPr="00B34FB5">
        <w:rPr>
          <w:b/>
          <w:bCs/>
          <w:color w:val="000000"/>
          <w:kern w:val="0"/>
          <w:sz w:val="24"/>
          <w:szCs w:val="24"/>
        </w:rPr>
        <w:t>5.11.1</w:t>
      </w:r>
      <w:r w:rsidRPr="00AA3969">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P="00E40D31" w:rsidR="00BE5388" w:rsidRDefault="00BE5388" w:rsidRPr="00AA3969">
      <w:pPr>
        <w:autoSpaceDE w:val="0"/>
        <w:autoSpaceDN w:val="0"/>
        <w:adjustRightInd w:val="0"/>
        <w:spacing w:before="29" w:line="288" w:lineRule="auto"/>
        <w:jc w:val="left"/>
        <w:rPr>
          <w:bCs/>
          <w:color w:val="000000"/>
          <w:kern w:val="0"/>
          <w:sz w:val="24"/>
          <w:szCs w:val="24"/>
        </w:rPr>
      </w:pPr>
      <w:r w:rsidRPr="00B34FB5">
        <w:rPr>
          <w:b/>
          <w:bCs/>
          <w:color w:val="000000"/>
          <w:kern w:val="0"/>
          <w:sz w:val="24"/>
          <w:szCs w:val="24"/>
        </w:rPr>
        <w:t>5.11.2</w:t>
      </w:r>
      <w:bookmarkStart w:id="2" w:name="_GoBack"/>
      <w:r w:rsidRPr="00AA3969">
        <w:rPr>
          <w:bCs/>
          <w:color w:val="000000"/>
          <w:kern w:val="0"/>
          <w:sz w:val="24"/>
          <w:szCs w:val="24"/>
        </w:rPr>
        <w:t>本基金投资的前十名股票中，没有超出基金合同规定的备选股票库之外的股票。</w:t>
      </w:r>
    </w:p>
    <w:bookmarkEnd w:id="2"/>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259,258.03</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5,845.62</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73,969.77</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339,073.42</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733,085,078.34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9,334,181.41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332,322,364.11</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410,096,895.64</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2、如果本报告期间发生转换出业务，则总赎回份额中包含该业务。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3C50AD" w:rsidRDefault="003C50AD" w:rsidRPr="00220C32">
      <w:pPr>
        <w:pStyle w:val="1"/>
        <w:spacing w:after="312" w:afterLines="100" w:before="312" w:beforeLines="100" w:line="360" w:lineRule="auto"/>
        <w:jc w:val="center"/>
        <w:rPr>
          <w:rFonts w:asciiTheme="minorEastAsia" w:eastAsiaTheme="minorEastAsia" w:hAnsiTheme="minorEastAsia"/>
          <w:color w:themeColor="text1" w:val="000000"/>
          <w:kern w:val="0"/>
          <w:sz w:val="24"/>
          <w:szCs w:val="24"/>
        </w:rPr>
      </w:pPr>
      <w:r w:rsidRPr="00220C32">
        <w:rPr>
          <w:rFonts w:asciiTheme="minorEastAsia" w:eastAsiaTheme="minorEastAsia" w:hAnsiTheme="minorEastAsia" w:hint="eastAsia"/>
          <w:color w:themeColor="text1" w:val="000000"/>
          <w:kern w:val="0"/>
          <w:sz w:val="24"/>
          <w:szCs w:val="24"/>
        </w:rPr>
        <w:t>§8</w:t>
      </w:r>
      <w:r w:rsidRPr="00220C32">
        <w:rPr>
          <w:rFonts w:asciiTheme="minorEastAsia" w:eastAsiaTheme="minorEastAsia" w:hAnsiTheme="minorEastAsia"/>
          <w:color w:themeColor="text1" w:val="000000"/>
          <w:kern w:val="0"/>
          <w:sz w:val="24"/>
          <w:szCs w:val="24"/>
        </w:rPr>
        <w:t xml:space="preserve">  </w:t>
      </w:r>
      <w:r w:rsidRPr="00220C32">
        <w:rPr>
          <w:rFonts w:asciiTheme="minorEastAsia" w:eastAsiaTheme="minorEastAsia" w:hAnsiTheme="minorEastAsia" w:hint="eastAsia"/>
          <w:color w:themeColor="text1" w:val="000000"/>
          <w:kern w:val="0"/>
          <w:sz w:val="24"/>
          <w:szCs w:val="24"/>
        </w:rPr>
        <w:t>影响投资者决策的其他重要信息</w:t>
      </w:r>
    </w:p>
    <w:p w:rsidP="003C50AD" w:rsidR="003C50AD" w:rsidRDefault="003C50AD" w:rsidRPr="009A5C99">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b/>
          <w:color w:val="000000"/>
          <w:kern w:val="0"/>
          <w:sz w:val="24"/>
          <w:szCs w:val="24"/>
        </w:rPr>
        <w:t/>
      </w:r>
      <w:r w:rsidRPr="009A5C99">
        <w:rPr>
          <w:rFonts w:ascii="宋体" w:hAnsi="宋体"/>
          <w:b/>
          <w:bCs/>
          <w:color w:val="000000"/>
          <w:kern w:val="0"/>
          <w:sz w:val="24"/>
          <w:szCs w:val="24"/>
        </w:rPr>
        <w:t>8.</w:t>
      </w:r>
      <w:r w:rsidRPr="009A5C99">
        <w:rPr>
          <w:rFonts w:ascii="宋体" w:hAnsi="宋体" w:hint="eastAsia"/>
          <w:b/>
          <w:bCs/>
          <w:color w:val="000000"/>
          <w:kern w:val="0"/>
          <w:sz w:val="24"/>
          <w:szCs w:val="24"/>
        </w:rPr>
        <w:t>1 报告期内单一投资者持有基金份额比例达到或超过20%的情况</w:t>
      </w:r>
    </w:p>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3"/>
        <w:gridCol w:w="992"/>
        <w:gridCol w:w="1843"/>
        <w:gridCol w:w="851"/>
        <w:gridCol w:w="850"/>
        <w:gridCol w:w="1134"/>
        <w:gridCol w:w="1419"/>
        <w:gridCol w:w="1130"/>
      </w:tblGrid>
      <w:tr w:rsidR="003C50AD" w:rsidRPr="004F4D27" w:rsidTr="00424D30">
        <w:tc>
          <w:tcPr>
            <w:tcW w:type="dxa" w:w="993"/>
            <w:vMerge w:val="restart"/>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w:r>
            <w:r w:rsidRPr="004F4D27">
              <w:rPr>
                <w:rFonts w:ascii="宋体" w:hAnsi="宋体"/>
                <w:color w:val="000000"/>
                <w:kern w:val="0"/>
              </w:rPr>
              <w:lastRenderedPageBreak/>
              <w:t xml:space="preserve">  </w:t>
            </w:r>
          </w:p>
        </w:tc>
        <w:tc>
          <w:tcPr>
            <w:tcW w:type="dxa" w:w="5670"/>
            <w:gridSpan w:val="5"/>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lastRenderedPageBreak/>
              <w:t>报告期内持有基金份额变化情况</w:t>
            </w:r>
          </w:p>
        </w:tc>
        <w:tc>
          <w:tcPr>
            <w:tcW w:type="dxa" w:w="2549"/>
            <w:gridSpan w:val="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type="dxa" w:w="993"/>
            <w:vMerge/>
            <w:vAlign w:val="center"/>
          </w:tcPr>
          <w:p w:rsidP="00424D30" w:rsidR="003C50AD" w:rsidRDefault="003C50AD" w:rsidRPr="004F4D27">
            <w:pPr>
              <w:autoSpaceDE w:val="0"/>
              <w:autoSpaceDN w:val="0"/>
              <w:adjustRightInd w:val="0"/>
              <w:jc w:val="center"/>
              <w:rPr>
                <w:rFonts w:ascii="宋体" w:hAnsi="宋体"/>
                <w:b/>
                <w:bCs/>
                <w:color w:val="000000"/>
                <w:kern w:val="0"/>
              </w:rPr>
            </w:pPr>
          </w:p>
        </w:tc>
        <w:tc>
          <w:tcPr>
            <w:tcW w:type="dxa" w:w="992"/>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type="dxa" w:w="1843"/>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type="dxa" w:w="851"/>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期初份额</w:t>
            </w:r>
          </w:p>
        </w:tc>
        <w:tc>
          <w:tcPr>
            <w:tcW w:type="dxa" w:w="850"/>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申购份额</w:t>
            </w:r>
          </w:p>
        </w:tc>
        <w:tc>
          <w:tcPr>
            <w:tcW w:type="dxa" w:w="1134"/>
            <w:vAlign w:val="center"/>
          </w:tcPr>
          <w:p w:rsidP="00424D30" w:rsidR="003C50AD" w:rsidRDefault="003C50AD" w:rsidRPr="004F4D27">
            <w:pPr>
              <w:widowControl/>
              <w:jc w:val="center"/>
              <w:rPr>
                <w:rFonts w:ascii="宋体" w:hAnsi="宋体"/>
                <w:b/>
                <w:bCs/>
                <w:color w:val="000000"/>
                <w:kern w:val="0"/>
              </w:rPr>
            </w:pPr>
            <w:r w:rsidRPr="004F4D27">
              <w:rPr>
                <w:rFonts w:ascii="宋体" w:hAnsi="宋体" w:hint="eastAsia"/>
                <w:color w:val="000000"/>
                <w:kern w:val="0"/>
              </w:rPr>
              <w:t>赎回份额</w:t>
            </w:r>
          </w:p>
        </w:tc>
        <w:tc>
          <w:tcPr>
            <w:tcW w:type="dxa" w:w="1419"/>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type="dxa" w:w="1130"/>
            <w:vAlign w:val="center"/>
          </w:tcPr>
          <w:p w:rsidP="00424D30" w:rsidR="003C50AD" w:rsidRDefault="003C50AD" w:rsidRPr="004F4D27">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tc>
          <w:tcPr>
            <w:vMerge w:val="restart"/>
          </w:tcPr>
          <w:p/>
          <w:p>
            <w:r>
              <w:rPr>
                <w:rFonts w:ascii="宋体" w:hAnsi="宋体" w:hint="eastAsia"/>
                <w:bCs/>
                <w:color w:val="000000"/>
                <w:kern w:val="0"/>
              </w:rPr>
              <w:t>机构</w:t>
            </w:r>
          </w:p>
        </w:tc>
        <w:tc>
          <w:tcPr>
            <w:vAlign w:val="center"/>
          </w:tcPr>
          <w:p>
            <w:pPr>
              <w:jc w:val="center"/>
            </w:pPr>
            <w:r>
              <w:rPr>
                <w:rFonts w:ascii="宋体" w:hAnsi="宋体"/>
                <w:color w:val="000000"/>
                <w:kern w:val="0"/>
              </w:rPr>
              <w:t>1</w:t>
            </w:r>
          </w:p>
        </w:tc>
        <w:tc>
          <w:tcPr>
            <w:vAlign w:val="center"/>
          </w:tcPr>
          <w:p>
            <w:pPr>
              <w:jc w:val="center"/>
            </w:pPr>
            <w:r>
              <w:rPr>
                <w:rFonts w:ascii="宋体" w:hAnsi="宋体"/>
                <w:color w:val="000000"/>
                <w:kern w:val="0"/>
              </w:rPr>
              <w:t>2020/1/1-2020/3/31</w:t>
            </w:r>
          </w:p>
        </w:tc>
        <w:tc>
          <w:tcPr>
            <w:vAlign w:val="center"/>
          </w:tcPr>
          <w:p>
            <w:pPr>
              <w:jc w:val="center"/>
            </w:pPr>
            <w:r>
              <w:rPr>
                <w:rFonts w:ascii="宋体" w:hAnsi="宋体"/>
                <w:color w:val="000000"/>
                <w:kern w:val="0"/>
              </w:rPr>
              <w:t>96,115,916.96</w:t>
            </w:r>
          </w:p>
        </w:tc>
        <w:tc>
          <w:tcPr>
            <w:vAlign w:val="center"/>
          </w:tcPr>
          <w:p>
            <w:pPr>
              <w:jc w:val="center"/>
            </w:pPr>
            <w:r>
              <w:rPr>
                <w:rFonts w:ascii="宋体" w:hAnsi="宋体"/>
                <w:color w:val="000000"/>
                <w:kern w:val="0"/>
              </w:rPr>
              <w:t>-</w:t>
            </w:r>
          </w:p>
        </w:tc>
        <w:tc>
          <w:tcPr>
            <w:vAlign w:val="center"/>
          </w:tcPr>
          <w:p>
            <w:pPr>
              <w:jc w:val="center"/>
            </w:pPr>
            <w:r>
              <w:rPr>
                <w:rFonts w:ascii="宋体" w:hAnsi="宋体"/>
                <w:color w:val="000000"/>
                <w:kern w:val="0"/>
              </w:rPr>
              <w:t>50,000,000.00</w:t>
            </w:r>
          </w:p>
        </w:tc>
        <w:tc>
          <w:tcPr>
            <w:vAlign w:val="center"/>
          </w:tcPr>
          <w:p>
            <w:pPr>
              <w:jc w:val="center"/>
            </w:pPr>
            <w:r>
              <w:rPr>
                <w:rFonts w:ascii="宋体" w:hAnsi="宋体"/>
                <w:color w:val="000000"/>
                <w:kern w:val="0"/>
              </w:rPr>
              <w:t>46,115,916.96</w:t>
            </w:r>
          </w:p>
        </w:tc>
        <w:tc>
          <w:tcPr>
            <w:vAlign w:val="center"/>
          </w:tcPr>
          <w:p>
            <w:pPr>
              <w:jc w:val="center"/>
            </w:pPr>
            <w:r>
              <w:rPr>
                <w:rFonts w:ascii="宋体" w:hAnsi="宋体"/>
                <w:color w:val="000000"/>
                <w:kern w:val="0"/>
              </w:rPr>
              <w:t>11.25%</w:t>
            </w:r>
          </w:p>
        </w:tc>
      </w:tr>
    </w:tbl>
    <w:tbl>
      <w:tblPr>
        <w:tblW w:type="dxa" w:w="9212"/>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2"/>
      </w:tblGrid>
      <w:tr w:rsidR="003C50AD" w:rsidRPr="004F4D27" w:rsidTr="00424D30">
        <w:tc>
          <w:tcPr>
            <w:tcW w:type="dxa" w:w="9212"/>
            <w:vAlign w:val="center"/>
          </w:tcPr>
          <w:p w:rsidP="00424D30" w:rsidR="003C50AD" w:rsidRDefault="003C50AD" w:rsidRPr="004F4D27">
            <w:pPr>
              <w:autoSpaceDE w:val="0"/>
              <w:autoSpaceDN w:val="0"/>
              <w:adjustRightInd w:val="0"/>
              <w:jc w:val="center"/>
              <w:rPr>
                <w:rFonts w:ascii="宋体" w:hAnsi="宋体"/>
                <w:kern w:val="0"/>
              </w:rPr>
            </w:pPr>
            <w:r w:rsidRPr="004F4D27">
              <w:rPr>
                <w:rFonts w:ascii="宋体" w:hAnsi="宋体"/>
                <w:color w:val="000000"/>
                <w:kern w:val="0"/>
              </w:rPr>
              <w:t>产品特有风险</w:t>
            </w:r>
            <w:r w:rsidRPr="004F4D27">
              <w:rPr>
                <w:rFonts w:ascii="宋体" w:hAnsi="宋体"/>
                <w:kern w:val="0"/>
              </w:rPr>
              <w:t/>
            </w:r>
            <w:r w:rsidRPr="004F4D27">
              <w:rPr>
                <w:rFonts w:ascii="宋体" w:hAnsi="宋体" w:hint="eastAsia"/>
                <w:kern w:val="0"/>
              </w:rPr>
              <w:t/>
            </w:r>
            <w:r w:rsidRPr="004F4D27">
              <w:rPr>
                <w:rFonts w:ascii="宋体" w:hAnsi="宋体"/>
                <w:kern w:val="0"/>
              </w:rPr>
              <w:t/>
            </w:r>
          </w:p>
        </w:tc>
      </w:tr>
      <w:tr w:rsidR="003C50AD" w:rsidRPr="004F4D27" w:rsidTr="00424D30">
        <w:tc>
          <w:tcPr>
            <w:tcW w:type="dxa" w:w="9212"/>
            <w:vAlign w:val="center"/>
          </w:tcPr>
          <w:p w:rsidP="00424D30" w:rsidR="003C50AD" w:rsidRDefault="003C50AD" w:rsidRPr="004F4D27">
            <w:pPr>
              <w:autoSpaceDE w:val="0"/>
              <w:autoSpaceDN w:val="0"/>
              <w:adjustRightInd w:val="0"/>
              <w:jc w:val="left"/>
              <w:rPr>
                <w:rFonts w:ascii="宋体" w:hAnsi="宋体"/>
                <w:kern w:val="0"/>
              </w:rPr>
            </w:pPr>
            <w:r w:rsidRPr="004F4D27">
              <w:rPr>
                <w:rFonts w:ascii="宋体" w:hAnsi="宋体" w:hint="eastAsia"/>
                <w:kern w:val="0"/>
              </w:rPr>
              <w:t/>
            </w:r>
            <w:r w:rsidRPr="004F4D27">
              <w:rPr>
                <w:rFonts w:ascii="宋体" w:hAnsi="宋体"/>
                <w:kern w:val="0"/>
              </w:rPr>
              <w:t/>
            </w: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r w:rsidRPr="004F4D27">
              <w:rPr>
                <w:rFonts w:ascii="宋体" w:hAnsi="宋体"/>
                <w:kern w:val="0"/>
              </w:rPr>
              <w:t/>
            </w:r>
          </w:p>
        </w:tc>
      </w:tr>
    </w:tbl>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1、中国证监会准予交银施罗德品质升级混合型证券投资基金募集注册的文件；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2、《交银施罗德品质升级混合型证券投资基金基金合同》；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3、《交银施罗德品质升级混合型证券投资基金招募说明书》；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4、《交银施罗德品质升级混合型证券投资基金托管协议》；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5、关于申请募集注册交银施罗德品质升级混合型证券投资基金的法律意见书；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8、报告期内交银施罗德品质升级混合型证券投资基金在指定报刊上各项公告的原稿。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AA1" w:rsidRDefault="00C11AA1" w:rsidP="00876D65">
      <w:r>
        <w:separator/>
      </w:r>
    </w:p>
  </w:endnote>
  <w:endnote w:type="continuationSeparator" w:id="0">
    <w:p w:rsidR="00C11AA1" w:rsidRDefault="00C11AA1"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黑体"/>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AA3969">
      <w:rPr>
        <w:noProof/>
        <w:kern w:val="0"/>
        <w:szCs w:val="21"/>
      </w:rPr>
      <w:t>17</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AA3969">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C11AA1" w:rsidRDefault="00C11AA1">
      <w:r>
        <w:separator/>
      </w:r>
    </w:p>
  </w:footnote>
  <w:footnote w:id="0" w:type="continuationSeparator">
    <w:p w:rsidP="00876D65" w:rsidR="00C11AA1" w:rsidRDefault="00C11AA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交银施罗德品质升级混合型证券投资基金2020年第1季度报告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56"/>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6731"/>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969"/>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4FB5"/>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1AA1"/>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04FC3"/>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224F61-935D-4852-8DB9-16A24A127B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1828</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2020-01-17T03:03:00Z</dcterms:modified>
  <cp:revision>600</cp:revision>
</cp:coreProperties>
</file>