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0C1E17" w:rsidRDefault="000C1E17" w:rsidRPr="00414345">
      <w:pPr>
        <w:autoSpaceDE w:val="0"/>
        <w:autoSpaceDN w:val="0"/>
        <w:adjustRightInd w:val="0"/>
        <w:spacing w:before="29" w:line="288" w:lineRule="auto"/>
        <w:jc w:val="left"/>
        <w:rPr>
          <w:color w:val="000000"/>
          <w:kern w:val="0"/>
          <w:sz w:val="24"/>
          <w:szCs w:val="24"/>
        </w:rPr>
      </w:pPr>
    </w:p>
    <w:p w:rsidP="00C15CAC" w:rsidR="000C1E17" w:rsidRDefault="000C1E17" w:rsidRPr="00414345">
      <w:pPr>
        <w:autoSpaceDE w:val="0"/>
        <w:autoSpaceDN w:val="0"/>
        <w:adjustRightInd w:val="0"/>
        <w:spacing w:before="29" w:line="288" w:lineRule="auto"/>
        <w:jc w:val="left"/>
        <w:rPr>
          <w:color w:val="000000"/>
          <w:kern w:val="0"/>
          <w:sz w:val="24"/>
          <w:szCs w:val="24"/>
        </w:rPr>
      </w:pPr>
    </w:p>
    <w:p w:rsidP="00C15CAC" w:rsidR="002279D3" w:rsidRDefault="002279D3" w:rsidRPr="0081286B">
      <w:pPr>
        <w:spacing w:before="29" w:line="288" w:lineRule="auto"/>
        <w:jc w:val="center"/>
        <w:rPr>
          <w:b/>
          <w:sz w:val="36"/>
          <w:szCs w:val="36"/>
        </w:rPr>
      </w:pPr>
      <w:r w:rsidRPr="0081286B">
        <w:rPr>
          <w:b/>
          <w:sz w:val="36"/>
          <w:szCs w:val="36"/>
        </w:rPr>
        <w:t>交银施罗德品质升级混合型证券投资基金</w:t>
      </w:r>
    </w:p>
    <w:p w:rsidP="00C15CAC" w:rsidR="002279D3" w:rsidRDefault="002279D3" w:rsidRPr="0081286B">
      <w:pPr>
        <w:spacing w:before="29" w:line="288" w:lineRule="auto"/>
        <w:jc w:val="center"/>
        <w:rPr>
          <w:b/>
          <w:sz w:val="36"/>
          <w:szCs w:val="36"/>
        </w:rPr>
      </w:pPr>
      <w:r w:rsidRPr="0081286B">
        <w:rPr>
          <w:b/>
          <w:sz w:val="36"/>
          <w:szCs w:val="36"/>
        </w:rPr>
        <w:t>2020年第1季度报告</w:t>
      </w:r>
    </w:p>
    <w:p w:rsidP="00C15CAC" w:rsidR="004061AC" w:rsidRDefault="00655CD8" w:rsidRPr="0081286B">
      <w:pPr>
        <w:spacing w:before="29" w:line="288" w:lineRule="auto"/>
        <w:jc w:val="center"/>
        <w:rPr>
          <w:b/>
          <w:sz w:val="36"/>
          <w:szCs w:val="36"/>
        </w:rPr>
      </w:pPr>
      <w:r w:rsidRPr="0081286B">
        <w:rPr>
          <w:b/>
          <w:sz w:val="36"/>
          <w:szCs w:val="36"/>
        </w:rPr>
        <w:t>2020年3月31日</w:t>
      </w: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625BFC" w:rsidRDefault="004061AC" w:rsidRPr="0081286B">
      <w:pPr>
        <w:spacing w:before="29" w:line="288" w:lineRule="auto"/>
        <w:ind w:firstLine="2168" w:firstLineChars="900"/>
        <w:rPr>
          <w:b/>
          <w:color w:val="000000"/>
          <w:sz w:val="24"/>
          <w:szCs w:val="24"/>
        </w:rPr>
      </w:pPr>
      <w:r w:rsidRPr="0081286B">
        <w:rPr>
          <w:b/>
          <w:color w:val="000000"/>
          <w:sz w:val="24"/>
          <w:szCs w:val="24"/>
        </w:rPr>
        <w:t>基金管理人：</w:t>
      </w:r>
      <w:r w:rsidRPr="0081286B">
        <w:rPr>
          <w:b/>
          <w:color w:val="000000"/>
          <w:sz w:val="24"/>
          <w:szCs w:val="24"/>
        </w:rPr>
        <w:t>交银施罗德基金管理有限公司</w:t>
      </w:r>
    </w:p>
    <w:p w:rsidP="00C15CAC" w:rsidR="00625BFC" w:rsidRDefault="004061AC" w:rsidRPr="0081286B">
      <w:pPr>
        <w:spacing w:before="29" w:line="288" w:lineRule="auto"/>
        <w:ind w:firstLine="2168" w:firstLineChars="900"/>
        <w:rPr>
          <w:b/>
          <w:color w:val="000000"/>
          <w:sz w:val="24"/>
          <w:szCs w:val="24"/>
        </w:rPr>
      </w:pPr>
      <w:r w:rsidRPr="0081286B">
        <w:rPr>
          <w:b/>
          <w:color w:val="000000"/>
          <w:sz w:val="24"/>
          <w:szCs w:val="24"/>
        </w:rPr>
        <w:t>基金托管人：</w:t>
      </w:r>
      <w:r w:rsidRPr="0081286B">
        <w:rPr>
          <w:b/>
          <w:color w:val="000000"/>
          <w:sz w:val="24"/>
          <w:szCs w:val="24"/>
        </w:rPr>
        <w:t>中国农业银行股份有限公司</w:t>
      </w:r>
    </w:p>
    <w:p w:rsidP="00C15CAC" w:rsidR="004061AC" w:rsidRDefault="004061AC" w:rsidRPr="0081286B">
      <w:pPr>
        <w:spacing w:before="29" w:line="288" w:lineRule="auto"/>
        <w:ind w:firstLine="2168" w:firstLineChars="900"/>
        <w:rPr>
          <w:b/>
          <w:color w:val="000000"/>
          <w:sz w:val="24"/>
          <w:szCs w:val="24"/>
        </w:rPr>
        <w:sectPr w:rsidR="004061AC" w:rsidRPr="0081286B" w:rsidSect="00DC456F">
          <w:headerReference r:id="rId8" w:type="even"/>
          <w:headerReference r:id="rId9" w:type="default"/>
          <w:footerReference r:id="rId10" w:type="even"/>
          <w:footerReference r:id="rId11" w:type="default"/>
          <w:headerReference r:id="rId12" w:type="first"/>
          <w:footerReference r:id="rId13" w:type="first"/>
          <w:pgSz w:h="15840" w:w="11926"/>
          <w:pgMar w:bottom="851" w:footer="992" w:gutter="0" w:header="851" w:left="1440" w:right="1440" w:top="1418"/>
          <w:cols w:space="720"/>
          <w:noEndnote/>
          <w:titlePg/>
          <w:docGrid w:linePitch="286"/>
        </w:sectPr>
      </w:pPr>
      <w:r w:rsidRPr="0081286B">
        <w:rPr>
          <w:b/>
          <w:color w:val="000000"/>
          <w:sz w:val="24"/>
          <w:szCs w:val="24"/>
        </w:rPr>
        <w:t>报告送出日期：</w:t>
      </w:r>
      <w:r w:rsidR="00F16E3F" w:rsidRPr="0081286B">
        <w:rPr>
          <w:b/>
          <w:color w:val="000000"/>
          <w:sz w:val="24"/>
          <w:szCs w:val="24"/>
        </w:rPr>
        <w:t/>
      </w:r>
      <w:r w:rsidR="0042009D" w:rsidRPr="0081286B">
        <w:rPr>
          <w:b/>
          <w:color w:val="000000"/>
          <w:sz w:val="24"/>
          <w:szCs w:val="24"/>
        </w:rPr>
        <w:t/>
      </w:r>
      <w:r w:rsidR="00F16E3F" w:rsidRPr="0081286B">
        <w:rPr>
          <w:b/>
          <w:color w:val="000000"/>
          <w:sz w:val="24"/>
          <w:szCs w:val="24"/>
        </w:rPr>
        <w:t>二〇二〇年四月二十二日</w:t>
      </w:r>
    </w:p>
    <w:p w:rsidP="0011537B" w:rsidR="004061AC" w:rsidRDefault="004061AC" w:rsidRPr="00414345">
      <w:pPr>
        <w:pStyle w:val="1"/>
        <w:spacing w:after="312" w:afterLines="100" w:before="312" w:beforeLines="100" w:line="288" w:lineRule="auto"/>
        <w:jc w:val="center"/>
        <w:rPr>
          <w:b w:val="0"/>
          <w:bCs w:val="0"/>
          <w:color w:val="000000"/>
          <w:kern w:val="0"/>
          <w:sz w:val="24"/>
          <w:szCs w:val="24"/>
        </w:rPr>
      </w:pPr>
      <w:r w:rsidRPr="00414345">
        <w:rPr>
          <w:color w:val="000000"/>
          <w:kern w:val="0"/>
          <w:sz w:val="24"/>
          <w:szCs w:val="24"/>
        </w:rPr>
        <w:lastRenderedPageBreak/>
        <w:t xml:space="preserve">§1  </w:t>
      </w:r>
      <w:r w:rsidRPr="00414345">
        <w:rPr>
          <w:color w:val="000000"/>
          <w:kern w:val="0"/>
          <w:sz w:val="24"/>
          <w:szCs w:val="24"/>
        </w:rPr>
        <w:t>重要提示</w:t>
      </w:r>
    </w:p>
    <w:p>
      <w:pPr>
        <w:spacing w:before="29" w:line="288" w:lineRule="auto"/>
        <w:ind w:firstLine="480" w:firstLineChars="200"/>
        <w:rPr>
          <w:color w:val="000000"/>
          <w:sz w:val="24"/>
          <w:szCs w:val="24"/>
        </w:rPr>
      </w:pPr>
      <w:r>
        <w:rPr>
          <w:color w:val="000000"/>
          <w:sz w:val="24"/>
          <w:szCs w:val="24"/>
        </w:rPr>
        <w:t xml:space="preserve">基金管理人的董事会及董事保证本报告所载资料不存在虚假记载、误导性陈述或重大遗漏，并对其内容的真实性、准确性和完整性承担个别及连带责任。 </w:t>
      </w:r>
    </w:p>
    <w:p>
      <w:pPr>
        <w:spacing w:before="29" w:line="288" w:lineRule="auto"/>
        <w:ind w:firstLine="480" w:firstLineChars="200"/>
        <w:rPr>
          <w:color w:val="000000"/>
          <w:sz w:val="24"/>
          <w:szCs w:val="24"/>
        </w:rPr>
      </w:pPr>
      <w:r>
        <w:rPr>
          <w:color w:val="000000"/>
          <w:sz w:val="24"/>
          <w:szCs w:val="24"/>
        </w:rPr>
        <w:t xml:space="preserve">基金托管人中国农业银行股份有限公司根据本基金合同规定，于2020年4月21日复核了本报告中的财务指标、净值表现和投资组合报告等内容，保证复核内容不存在虚假记载、误导性陈述或者重大遗漏。 </w:t>
      </w:r>
    </w:p>
    <w:p>
      <w:pPr>
        <w:spacing w:before="29" w:line="288" w:lineRule="auto"/>
        <w:ind w:firstLine="480" w:firstLineChars="200"/>
        <w:rPr>
          <w:color w:val="000000"/>
          <w:sz w:val="24"/>
          <w:szCs w:val="24"/>
        </w:rPr>
      </w:pPr>
      <w:r>
        <w:rPr>
          <w:color w:val="000000"/>
          <w:sz w:val="24"/>
          <w:szCs w:val="24"/>
        </w:rPr>
        <w:t xml:space="preserve">基金管理人承诺以诚实信用、勤勉尽责的原则管理和运用基金资产，但不保证基金一定盈利。 </w:t>
      </w:r>
    </w:p>
    <w:p>
      <w:pPr>
        <w:spacing w:before="29" w:line="288" w:lineRule="auto"/>
        <w:ind w:firstLine="480" w:firstLineChars="200"/>
        <w:rPr>
          <w:color w:val="000000"/>
          <w:sz w:val="24"/>
          <w:szCs w:val="24"/>
        </w:rPr>
      </w:pPr>
      <w:r>
        <w:rPr>
          <w:color w:val="000000"/>
          <w:sz w:val="24"/>
          <w:szCs w:val="24"/>
        </w:rPr>
        <w:t xml:space="preserve">基金的过往业绩并不代表其未来表现。投资有风险，投资者在作出投资决策前应仔细阅读本基金的招募说明书。 </w:t>
      </w:r>
    </w:p>
    <w:p>
      <w:pPr>
        <w:spacing w:before="29" w:line="288" w:lineRule="auto"/>
        <w:ind w:firstLine="480" w:firstLineChars="200"/>
        <w:rPr>
          <w:color w:val="000000"/>
          <w:sz w:val="24"/>
          <w:szCs w:val="24"/>
        </w:rPr>
      </w:pPr>
      <w:r>
        <w:rPr>
          <w:color w:val="000000"/>
          <w:sz w:val="24"/>
          <w:szCs w:val="24"/>
        </w:rPr>
        <w:t>本报告中财务资料未经审计。</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本报告期自2020年1月1日起至3月31日止。</w:t>
      </w:r>
    </w:p>
    <w:p w:rsidP="00C15CAC" w:rsidR="00627E2D" w:rsidRDefault="00627E2D" w:rsidRPr="00414345">
      <w:pPr>
        <w:spacing w:before="29" w:line="288" w:lineRule="auto"/>
        <w:ind w:firstLine="480" w:firstLineChars="200"/>
        <w:rPr>
          <w:color w:val="000000"/>
          <w:sz w:val="24"/>
          <w:szCs w:val="24"/>
        </w:rPr>
      </w:pPr>
    </w:p>
    <w:p w:rsidP="0011537B" w:rsidR="004061AC" w:rsidRDefault="004061AC" w:rsidRPr="00414345">
      <w:pPr>
        <w:pStyle w:val="1"/>
        <w:spacing w:after="312" w:afterLines="100" w:before="312" w:beforeLines="100" w:line="288" w:lineRule="auto"/>
        <w:jc w:val="center"/>
        <w:rPr>
          <w:color w:val="000000"/>
          <w:kern w:val="0"/>
          <w:sz w:val="24"/>
          <w:szCs w:val="24"/>
        </w:rPr>
      </w:pPr>
      <w:r w:rsidRPr="00414345">
        <w:rPr>
          <w:color w:val="000000"/>
          <w:kern w:val="0"/>
          <w:sz w:val="24"/>
          <w:szCs w:val="24"/>
        </w:rPr>
        <w:t xml:space="preserve">§2  </w:t>
      </w:r>
      <w:r w:rsidRPr="00414345">
        <w:rPr>
          <w:color w:val="000000"/>
          <w:kern w:val="0"/>
          <w:sz w:val="24"/>
          <w:szCs w:val="24"/>
        </w:rPr>
        <w:t>基金产品概况</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1" w:lastRow="1" w:noHBand="0" w:noVBand="0" w:val="01E0"/>
      </w:tblPr>
      <w:tblGrid>
        <w:gridCol w:w="3023"/>
        <w:gridCol w:w="2922"/>
        <w:gridCol w:w="2923"/>
      </w:tblGrid>
      <w:tr w:rsidR="004061AC" w:rsidRPr="00414345" w:rsidTr="006E6726">
        <w:trPr>
          <w:jc w:val="center"/>
        </w:trPr>
        <w:tc>
          <w:tcPr>
            <w:tcW w:type="dxa" w:w="3023"/>
            <w:vAlign w:val="center"/>
          </w:tcPr>
          <w:p w:rsidP="00C15CAC" w:rsidR="004061AC" w:rsidRDefault="004061AC" w:rsidRPr="00414345">
            <w:pPr>
              <w:adjustRightInd w:val="0"/>
              <w:spacing w:before="29" w:line="288" w:lineRule="auto"/>
              <w:ind w:left="17"/>
              <w:jc w:val="left"/>
              <w:rPr>
                <w:kern w:val="0"/>
                <w:sz w:val="24"/>
                <w:szCs w:val="24"/>
              </w:rPr>
            </w:pPr>
            <w:r w:rsidRPr="00414345">
              <w:rPr>
                <w:kern w:val="0"/>
                <w:sz w:val="24"/>
                <w:szCs w:val="24"/>
              </w:rPr>
              <w:t>基金简称</w:t>
            </w:r>
          </w:p>
        </w:tc>
        <w:tc>
          <w:tcPr>
            <w:tcW w:type="dxa" w:w="5845"/>
            <w:gridSpan w:val="2"/>
            <w:vAlign w:val="center"/>
          </w:tcPr>
          <w:p w:rsidP="00C15CAC" w:rsidR="004061AC" w:rsidRDefault="004061AC" w:rsidRPr="00414345">
            <w:pPr>
              <w:adjustRightInd w:val="0"/>
              <w:spacing w:before="29" w:line="288" w:lineRule="auto"/>
              <w:ind w:left="17"/>
              <w:jc w:val="left"/>
              <w:rPr>
                <w:color w:val="000000"/>
                <w:kern w:val="0"/>
                <w:sz w:val="24"/>
                <w:szCs w:val="24"/>
              </w:rPr>
            </w:pPr>
            <w:r w:rsidRPr="00414345">
              <w:rPr>
                <w:color w:val="000000"/>
                <w:kern w:val="0"/>
                <w:sz w:val="24"/>
                <w:szCs w:val="24"/>
              </w:rPr>
              <w:t>交银品质升级混合</w:t>
            </w:r>
          </w:p>
        </w:tc>
      </w:tr>
      <w:tr w:rsidR="00D94B8D" w:rsidRPr="00414345" w:rsidTr="006E6726">
        <w:trPr>
          <w:jc w:val="center"/>
        </w:trPr>
        <w:tc>
          <w:tcPr>
            <w:tcW w:type="dxa" w:w="3023"/>
            <w:tcBorders>
              <w:top w:color="auto" w:space="0" w:sz="4" w:val="single"/>
              <w:left w:color="auto" w:space="0" w:sz="4" w:val="single"/>
              <w:bottom w:color="auto" w:space="0" w:sz="4" w:val="single"/>
              <w:right w:color="auto" w:space="0" w:sz="4" w:val="single"/>
            </w:tcBorders>
            <w:vAlign w:val="center"/>
            <w:hideMark/>
          </w:tcPr>
          <w:p w:rsidP="00C15CAC" w:rsidR="00D94B8D" w:rsidRDefault="00D94B8D" w:rsidRPr="00414345">
            <w:pPr>
              <w:adjustRightInd w:val="0"/>
              <w:spacing w:before="29" w:line="288" w:lineRule="auto"/>
              <w:ind w:left="17"/>
              <w:jc w:val="left"/>
              <w:rPr>
                <w:kern w:val="0"/>
                <w:sz w:val="24"/>
                <w:szCs w:val="24"/>
              </w:rPr>
            </w:pPr>
            <w:r w:rsidRPr="00414345">
              <w:rPr>
                <w:kern w:val="0"/>
                <w:sz w:val="24"/>
                <w:szCs w:val="24"/>
              </w:rPr>
              <w:t>基金主代码</w:t>
            </w:r>
          </w:p>
        </w:tc>
        <w:tc>
          <w:tcPr>
            <w:tcW w:type="dxa" w:w="5845"/>
            <w:gridSpan w:val="2"/>
            <w:tcBorders>
              <w:top w:color="auto" w:space="0" w:sz="4" w:val="single"/>
              <w:left w:color="auto" w:space="0" w:sz="4" w:val="single"/>
              <w:bottom w:color="auto" w:space="0" w:sz="4" w:val="single"/>
              <w:right w:color="auto" w:space="0" w:sz="4" w:val="single"/>
            </w:tcBorders>
            <w:vAlign w:val="center"/>
            <w:hideMark/>
          </w:tcPr>
          <w:p w:rsidP="00C15CAC" w:rsidR="00D94B8D" w:rsidRDefault="00D94B8D" w:rsidRPr="00414345">
            <w:pPr>
              <w:adjustRightInd w:val="0"/>
              <w:spacing w:before="29" w:line="288" w:lineRule="auto"/>
              <w:ind w:left="17"/>
              <w:jc w:val="left"/>
              <w:rPr>
                <w:color w:val="000000"/>
                <w:kern w:val="0"/>
                <w:sz w:val="24"/>
                <w:szCs w:val="24"/>
              </w:rPr>
            </w:pPr>
            <w:r w:rsidRPr="00414345">
              <w:rPr>
                <w:color w:val="000000"/>
                <w:kern w:val="0"/>
                <w:sz w:val="24"/>
                <w:szCs w:val="24"/>
              </w:rPr>
              <w:t>005004</w:t>
            </w:r>
          </w:p>
        </w:tc>
      </w:tr>
      <w:tr w:rsidR="001B2F35" w:rsidRPr="00414345" w:rsidTr="006E6726">
        <w:trPr>
          <w:jc w:val="center"/>
        </w:trPr>
        <w:tc>
          <w:tcPr>
            <w:tcW w:type="dxa" w:w="3023"/>
            <w:tcBorders>
              <w:top w:color="auto" w:space="0" w:sz="4" w:val="single"/>
              <w:left w:color="auto" w:space="0" w:sz="4" w:val="single"/>
              <w:bottom w:color="auto" w:space="0" w:sz="4" w:val="single"/>
              <w:right w:color="auto" w:space="0" w:sz="4" w:val="single"/>
            </w:tcBorders>
            <w:vAlign w:val="center"/>
          </w:tcPr>
          <w:p w:rsidP="00C15CAC" w:rsidR="001B2F35" w:rsidRDefault="001B2F35" w:rsidRPr="00414345">
            <w:pPr>
              <w:adjustRightInd w:val="0"/>
              <w:spacing w:before="29" w:line="288" w:lineRule="auto"/>
              <w:ind w:left="17"/>
              <w:jc w:val="left"/>
              <w:rPr>
                <w:kern w:val="0"/>
                <w:sz w:val="24"/>
                <w:szCs w:val="24"/>
              </w:rPr>
            </w:pPr>
            <w:r w:rsidRPr="00414345">
              <w:rPr>
                <w:kern w:val="0"/>
                <w:sz w:val="24"/>
                <w:szCs w:val="24"/>
              </w:rPr>
              <w:t>交易代码</w:t>
            </w:r>
          </w:p>
        </w:tc>
        <w:tc>
          <w:tcPr>
            <w:tcW w:type="dxa" w:w="5845"/>
            <w:gridSpan w:val="2"/>
            <w:tcBorders>
              <w:top w:color="auto" w:space="0" w:sz="4" w:val="single"/>
              <w:left w:color="auto" w:space="0" w:sz="4" w:val="single"/>
              <w:bottom w:color="auto" w:space="0" w:sz="4" w:val="single"/>
              <w:right w:color="auto" w:space="0" w:sz="4" w:val="single"/>
            </w:tcBorders>
            <w:vAlign w:val="center"/>
          </w:tcPr>
          <w:p w:rsidP="00C15CAC" w:rsidR="001B2F35" w:rsidRDefault="00C5218C" w:rsidRPr="00414345">
            <w:pPr>
              <w:adjustRightInd w:val="0"/>
              <w:spacing w:before="29" w:line="288" w:lineRule="auto"/>
              <w:ind w:left="17"/>
              <w:jc w:val="left"/>
              <w:rPr>
                <w:color w:val="000000"/>
                <w:kern w:val="0"/>
                <w:sz w:val="24"/>
                <w:szCs w:val="24"/>
              </w:rPr>
            </w:pPr>
            <w:r w:rsidRPr="00414345">
              <w:rPr>
                <w:kern w:val="0"/>
                <w:sz w:val="24"/>
              </w:rPr>
              <w:t>005004</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基金运作方式</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契约型开放式</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基金合同生效日</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2018年2月8日</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报告期末基金份额总额</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410,096,895.64</w:t>
            </w:r>
            <w:r w:rsidRPr="00414345">
              <w:rPr>
                <w:color w:val="000000"/>
                <w:kern w:val="0"/>
                <w:sz w:val="24"/>
                <w:szCs w:val="24"/>
              </w:rPr>
              <w:t>份</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投资目标</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本基金在有效控制投资风险的前提下，聚焦居民生活品质升级的方向和趋势，通过把握消费成长领域的投资机会，力争为基金份额持有人获得超越业绩比较基准的收益。</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投资策略</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本基金充分发挥基金管理人的研究优势，在分析和判断宏观经济周期和金融市场运行趋势的基础上，运用修正后的投资时钟分析框架，自上而下调整基金大类资产配置，确定债券组合久期和债券类别配置；在严谨深入的股票和债券研究分析基础上，自下而上精选个券；在保持总体风险水平相对稳定的基础上，力争获取投资组合的较高回报。</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业绩比较基准</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沪深300指数收益率×60%+中证综合债券指数收益率×40%</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风险收益特征</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本基金是一只混合型基金，其风险和预期收益高于债券型基金和货币市场基金，低于股票型基金，属于承担较高风险、预期收益较高的证券投资基金品种。</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基金管理人</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交银施罗德基金管理有限公司</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基金托管人</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中国农业银行股份有限公司</w:t>
            </w:r>
          </w:p>
        </w:tc>
      </w:tr>
    </w:tbl>
    <w:p w:rsidP="00C15CAC" w:rsidR="005910BF" w:rsidRDefault="005910BF" w:rsidRPr="00414345">
      <w:pPr>
        <w:autoSpaceDE w:val="0"/>
        <w:autoSpaceDN w:val="0"/>
        <w:adjustRightInd w:val="0"/>
        <w:spacing w:before="29" w:line="288" w:lineRule="auto"/>
        <w:jc w:val="left"/>
        <w:rPr>
          <w:color w:val="000000"/>
          <w:kern w:val="0"/>
          <w:sz w:val="24"/>
          <w:szCs w:val="24"/>
        </w:rPr>
      </w:pPr>
    </w:p>
    <w:p w:rsidP="0011537B" w:rsidR="004061AC" w:rsidRDefault="004061AC" w:rsidRPr="00414345">
      <w:pPr>
        <w:pStyle w:val="1"/>
        <w:spacing w:after="312" w:afterLines="100" w:before="312" w:beforeLines="100" w:line="288" w:lineRule="auto"/>
        <w:jc w:val="center"/>
        <w:rPr>
          <w:color w:val="000000"/>
          <w:kern w:val="0"/>
          <w:sz w:val="24"/>
          <w:szCs w:val="24"/>
        </w:rPr>
      </w:pPr>
      <w:r w:rsidRPr="00414345">
        <w:rPr>
          <w:color w:val="000000"/>
          <w:kern w:val="0"/>
          <w:sz w:val="24"/>
          <w:szCs w:val="24"/>
        </w:rPr>
        <w:t xml:space="preserve">§3  </w:t>
      </w:r>
      <w:r w:rsidRPr="00414345">
        <w:rPr>
          <w:color w:val="000000"/>
          <w:kern w:val="0"/>
          <w:sz w:val="24"/>
          <w:szCs w:val="24"/>
        </w:rPr>
        <w:t>主要财务指标和基金净值表现</w:t>
      </w: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3.1 </w:t>
      </w:r>
      <w:r w:rsidRPr="00414345">
        <w:rPr>
          <w:b/>
          <w:bCs/>
          <w:color w:val="000000"/>
          <w:kern w:val="0"/>
          <w:sz w:val="24"/>
          <w:szCs w:val="24"/>
        </w:rPr>
        <w:t>主要财务指标</w:t>
      </w:r>
    </w:p>
    <w:p w:rsidP="00C15CAC" w:rsidR="004061AC" w:rsidRDefault="004061AC" w:rsidRPr="00414345">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单位：人民币元</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0" w:firstRow="0" w:lastColumn="0" w:lastRow="0" w:noHBand="0" w:noVBand="0" w:val="0000"/>
      </w:tblPr>
      <w:tblGrid>
        <w:gridCol w:w="3607"/>
        <w:gridCol w:w="2706"/>
        <w:gridCol w:w="2555"/>
      </w:tblGrid>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jc w:val="center"/>
              <w:rPr>
                <w:kern w:val="0"/>
                <w:sz w:val="24"/>
                <w:szCs w:val="24"/>
              </w:rPr>
            </w:pPr>
            <w:r w:rsidRPr="00414345">
              <w:rPr>
                <w:kern w:val="0"/>
                <w:sz w:val="24"/>
                <w:szCs w:val="24"/>
              </w:rPr>
              <w:t>主要财务指标</w:t>
            </w:r>
            <w:r w:rsidR="00D96C8D" w:rsidRPr="00414345">
              <w:rPr>
                <w:kern w:val="0"/>
                <w:sz w:val="24"/>
                <w:szCs w:val="24"/>
              </w:rPr>
              <w:t/>
            </w:r>
          </w:p>
        </w:tc>
        <w:tc>
          <w:tcPr>
            <w:tcW w:type="dxa" w:w="4962"/>
            <w:hMerge w:val="restart"/>
            <w:vAlign w:val="center"/>
          </w:tcPr>
          <w:p w:rsidP="00C15CAC" w:rsidR="009C60F7" w:rsidRDefault="009C60F7" w:rsidRPr="00414345">
            <w:pPr>
              <w:adjustRightInd w:val="0"/>
              <w:spacing w:before="29" w:line="288" w:lineRule="auto"/>
              <w:ind w:left="17"/>
              <w:jc w:val="center"/>
              <w:rPr>
                <w:color w:val="000000"/>
                <w:sz w:val="24"/>
                <w:szCs w:val="24"/>
              </w:rPr>
            </w:pPr>
            <w:r w:rsidRPr="00414345">
              <w:rPr>
                <w:color w:val="000000"/>
                <w:sz w:val="24"/>
                <w:szCs w:val="24"/>
              </w:rPr>
              <w:t>报告期</w:t>
            </w:r>
          </w:p>
          <w:p w:rsidP="00C15CAC" w:rsidR="00C21520" w:rsidRDefault="009C60F7" w:rsidRPr="00414345">
            <w:pPr>
              <w:adjustRightInd w:val="0"/>
              <w:spacing w:before="29" w:line="288" w:lineRule="auto"/>
              <w:ind w:left="17"/>
              <w:jc w:val="center"/>
              <w:rPr>
                <w:color w:val="000000"/>
                <w:sz w:val="24"/>
                <w:szCs w:val="24"/>
              </w:rPr>
            </w:pPr>
            <w:r w:rsidRPr="00414345">
              <w:rPr>
                <w:color w:val="000000"/>
                <w:sz w:val="24"/>
                <w:szCs w:val="24"/>
              </w:rPr>
              <w:t>(2020年1月1日-2020年3月31日)</w:t>
            </w:r>
          </w:p>
        </w:tc>
        <w:tc>
          <w:tcPr>
            <w:tcW w:type="dxa" w:w="2410"/>
            <w:hMerge/>
            <w:vAlign w:val="center"/>
          </w:tcPr>
          <w:p w:rsidP="00C15CAC" w:rsidR="00C21520" w:rsidRDefault="00C21520" w:rsidRPr="00414345">
            <w:pPr>
              <w:adjustRightInd w:val="0"/>
              <w:spacing w:before="29" w:line="288" w:lineRule="auto"/>
              <w:ind w:left="17"/>
              <w:jc w:val="center"/>
              <w:rPr>
                <w:color w:val="000000"/>
                <w:sz w:val="24"/>
                <w:szCs w:val="24"/>
              </w:rPr>
            </w:pPr>
            <w:r w:rsidRPr="00414345">
              <w:rPr>
                <w:color w:val="000000"/>
                <w:sz w:val="24"/>
                <w:szCs w:val="24"/>
              </w:rPr>
              <w:t>上期金额</w:t>
            </w:r>
            <w:r w:rsidR="006A7AF1" w:rsidRPr="00414345">
              <w:rPr>
                <w:color w:val="000000"/>
                <w:sz w:val="24"/>
                <w:szCs w:val="24"/>
              </w:rPr>
              <w:t/>
            </w:r>
          </w:p>
        </w:tc>
      </w:tr>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lastRenderedPageBreak/>
              <w:t>1.</w:t>
            </w:r>
            <w:r w:rsidRPr="00414345">
              <w:rPr>
                <w:kern w:val="0"/>
                <w:sz w:val="24"/>
                <w:szCs w:val="24"/>
              </w:rPr>
              <w:t>本期已实现收益</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34,032,503.24</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t>2.</w:t>
            </w:r>
            <w:r w:rsidRPr="00414345">
              <w:rPr>
                <w:kern w:val="0"/>
                <w:sz w:val="24"/>
                <w:szCs w:val="24"/>
              </w:rPr>
              <w:t>本期利润</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-25,655,035.17</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t>3.</w:t>
            </w:r>
            <w:r w:rsidRPr="00414345">
              <w:rPr>
                <w:kern w:val="0"/>
                <w:sz w:val="24"/>
                <w:szCs w:val="24"/>
              </w:rPr>
              <w:t>加权平均基金份额本期利润</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-0.0489</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t>4.</w:t>
            </w:r>
            <w:r w:rsidRPr="00414345">
              <w:rPr>
                <w:kern w:val="0"/>
                <w:sz w:val="24"/>
                <w:szCs w:val="24"/>
              </w:rPr>
              <w:t>期末基金资产净值</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414,959,155.60</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rsidR="00C21520" w:rsidRPr="00414345" w:rsidTr="00BD0031">
        <w:trPr>
          <w:trHeight w:val="158"/>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t>5.</w:t>
            </w:r>
            <w:r w:rsidRPr="00414345">
              <w:rPr>
                <w:kern w:val="0"/>
                <w:sz w:val="24"/>
                <w:szCs w:val="24"/>
              </w:rPr>
              <w:t>期末基金份额净值</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1.0119</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bl>
    <w:p>
      <w:pPr>
        <w:autoSpaceDE w:val="0"/>
        <w:autoSpaceDN w:val="0"/>
        <w:adjustRightInd w:val="0"/>
        <w:spacing w:before="29" w:line="288" w:lineRule="auto"/>
        <w:jc w:val="left"/>
        <w:rPr>
          <w:color w:val="000000"/>
          <w:sz w:val="24"/>
          <w:szCs w:val="24"/>
        </w:rPr>
      </w:pPr>
      <w:r>
        <w:rPr>
          <w:color w:val="000000"/>
          <w:sz w:val="24"/>
          <w:szCs w:val="24"/>
        </w:rPr>
        <w:t xml:space="preserve">注：1、上述基金业绩指标不包括持有人认购或交易基金的各项费用，计入费用后的实际收益水平要低于所列数字； </w:t>
      </w:r>
    </w:p>
    <w:p w:rsidP="00C15CAC" w:rsidR="004061AC" w:rsidRDefault="00A5612C"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2、本期已实现收益指基金本期利息收入、投资收益、其他收入（不含公允价值变动收益）扣除相关费用后的余额，本期利润为本期已实现收益加上本期公允价值变动收益。</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 </w:t>
      </w:r>
      <w:r w:rsidRPr="00414345">
        <w:rPr>
          <w:b/>
          <w:bCs/>
          <w:color w:val="000000"/>
          <w:kern w:val="0"/>
          <w:sz w:val="24"/>
          <w:szCs w:val="24"/>
        </w:rPr>
        <w:t>基金净值表现</w:t>
      </w:r>
    </w:p>
    <w:p w:rsidP="00C15CAC" w:rsidR="00CF6572"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3.2.1 </w:t>
      </w:r>
      <w:r w:rsidRPr="00414345">
        <w:rPr>
          <w:b/>
          <w:bCs/>
          <w:color w:val="000000"/>
          <w:kern w:val="0"/>
          <w:sz w:val="24"/>
          <w:szCs w:val="24"/>
        </w:rPr>
        <w:t>本报告期基金份额净值增长率及其与同期业绩比较基准收益率的比较</w:t>
      </w:r>
    </w:p>
    <w:tbl>
      <w:tblPr>
        <w:tblStyle w:val="af7"/>
        <w:tblW w:type="dxa" w:w="8868"/>
        <w:jc w:val="center"/>
        <w:tblLayout w:type="fixed"/>
        <w:tblCellMar>
          <w:top w:type="dxa" w:w="57"/>
          <w:bottom w:type="dxa" w:w="57"/>
        </w:tblCellMar>
        <w:tblLook w:firstColumn="1" w:firstRow="1" w:lastColumn="0" w:lastRow="0" w:noHBand="0" w:noVBand="1" w:val="04A0"/>
      </w:tblPr>
      <w:tblGrid>
        <w:gridCol w:w="1701"/>
        <w:gridCol w:w="1045"/>
        <w:gridCol w:w="1344"/>
        <w:gridCol w:w="1194"/>
        <w:gridCol w:w="1492"/>
        <w:gridCol w:w="1194"/>
        <w:gridCol w:w="898"/>
      </w:tblGrid>
      <w:tr w:rsidR="00EF6FA5" w:rsidRPr="00414345" w:rsidTr="00A324F4">
        <w:trPr>
          <w:jc w:val="center"/>
        </w:trPr>
        <w:tc>
          <w:tcPr>
            <w:tcW w:type="dxa" w:w="1614"/>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阶段</w:t>
            </w:r>
            <w:r w:rsidR="00200FAB" w:rsidRPr="00414345">
              <w:rPr>
                <w:color w:val="000000"/>
                <w:sz w:val="24"/>
                <w:szCs w:val="24"/>
              </w:rPr>
              <w:t/>
            </w:r>
          </w:p>
        </w:tc>
        <w:tc>
          <w:tcPr>
            <w:tcW w:type="dxa" w:w="992"/>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w:t>
            </w:r>
            <w:r w:rsidRPr="00414345">
              <w:rPr>
                <w:rFonts w:hAnsi="宋体"/>
                <w:color w:val="000000"/>
                <w:sz w:val="24"/>
                <w:szCs w:val="24"/>
              </w:rPr>
              <w:t>①</w:t>
            </w:r>
          </w:p>
        </w:tc>
        <w:tc>
          <w:tcPr>
            <w:tcW w:type="dxa" w:w="1276"/>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净值增长率标准差</w:t>
            </w:r>
            <w:r w:rsidRPr="00414345">
              <w:rPr>
                <w:rFonts w:hAnsi="宋体"/>
                <w:color w:val="000000"/>
                <w:sz w:val="24"/>
                <w:szCs w:val="24"/>
              </w:rPr>
              <w:t>②</w:t>
            </w:r>
          </w:p>
        </w:tc>
        <w:tc>
          <w:tcPr>
            <w:tcW w:type="dxa" w:w="1134"/>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w:t>
            </w:r>
            <w:r w:rsidRPr="00414345">
              <w:rPr>
                <w:rFonts w:hAnsi="宋体"/>
                <w:color w:val="000000"/>
                <w:sz w:val="24"/>
                <w:szCs w:val="24"/>
              </w:rPr>
              <w:t>③</w:t>
            </w:r>
          </w:p>
        </w:tc>
        <w:tc>
          <w:tcPr>
            <w:tcW w:type="dxa" w:w="1417"/>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业绩比较基准收益率标准差</w:t>
            </w:r>
            <w:r w:rsidRPr="00414345">
              <w:rPr>
                <w:rFonts w:hAnsi="宋体"/>
                <w:color w:val="000000"/>
                <w:sz w:val="24"/>
                <w:szCs w:val="24"/>
              </w:rPr>
              <w:t>④</w:t>
            </w:r>
          </w:p>
        </w:tc>
        <w:tc>
          <w:tcPr>
            <w:tcW w:type="dxa" w:w="1134"/>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①</w:t>
            </w:r>
            <w:r w:rsidRPr="00414345">
              <w:rPr>
                <w:color w:val="000000"/>
                <w:sz w:val="24"/>
                <w:szCs w:val="24"/>
              </w:rPr>
              <w:t>-</w:t>
            </w:r>
            <w:r w:rsidRPr="00414345">
              <w:rPr>
                <w:rFonts w:hAnsi="宋体"/>
                <w:color w:val="000000"/>
                <w:sz w:val="24"/>
                <w:szCs w:val="24"/>
              </w:rPr>
              <w:t>③</w:t>
            </w:r>
          </w:p>
        </w:tc>
        <w:tc>
          <w:tcPr>
            <w:tcW w:type="dxa" w:w="853"/>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②</w:t>
            </w:r>
            <w:r w:rsidRPr="00414345">
              <w:rPr>
                <w:color w:val="000000"/>
                <w:sz w:val="24"/>
                <w:szCs w:val="24"/>
              </w:rPr>
              <w:t>-</w:t>
            </w:r>
            <w:r w:rsidRPr="00414345">
              <w:rPr>
                <w:rFonts w:hAnsi="宋体"/>
                <w:color w:val="000000"/>
                <w:sz w:val="24"/>
                <w:szCs w:val="24"/>
              </w:rPr>
              <w:t>④</w:t>
            </w:r>
          </w:p>
        </w:tc>
      </w:tr>
      <w:tr>
        <w:tc>
          <w:tcPr>
            <w:vAlign w:val="center"/>
          </w:tcPr>
          <w:p>
            <w:pPr>
              <w:jc w:val="left"/>
            </w:pPr>
            <w:r>
              <w:rPr>
                <w:color w:val="000000"/>
                <w:sz w:val="24"/>
                <w:szCs w:val="24"/>
              </w:rPr>
              <w:t>过去三个月</w:t>
            </w:r>
          </w:p>
        </w:tc>
        <w:tc>
          <w:tcPr>
            <w:vAlign w:val="center"/>
          </w:tcPr>
          <w:p>
            <w:pPr>
              <w:jc w:val="center"/>
            </w:pPr>
            <w:r>
              <w:rPr>
                <w:color w:val="000000"/>
                <w:sz w:val="24"/>
                <w:szCs w:val="24"/>
              </w:rPr>
              <w:t>-4.54%</w:t>
            </w:r>
          </w:p>
        </w:tc>
        <w:tc>
          <w:tcPr>
            <w:vAlign w:val="center"/>
          </w:tcPr>
          <w:p>
            <w:pPr>
              <w:jc w:val="center"/>
            </w:pPr>
            <w:r>
              <w:rPr>
                <w:color w:val="000000"/>
                <w:sz w:val="24"/>
                <w:szCs w:val="24"/>
              </w:rPr>
              <w:t>2.04%</w:t>
            </w:r>
          </w:p>
        </w:tc>
        <w:tc>
          <w:tcPr>
            <w:vAlign w:val="center"/>
          </w:tcPr>
          <w:p>
            <w:pPr>
              <w:jc w:val="center"/>
            </w:pPr>
            <w:r>
              <w:rPr>
                <w:color w:val="000000"/>
                <w:sz w:val="24"/>
                <w:szCs w:val="24"/>
              </w:rPr>
              <w:t>-4.90%</w:t>
            </w:r>
          </w:p>
        </w:tc>
        <w:tc>
          <w:tcPr>
            <w:vAlign w:val="center"/>
          </w:tcPr>
          <w:p>
            <w:pPr>
              <w:jc w:val="center"/>
            </w:pPr>
            <w:r>
              <w:rPr>
                <w:color w:val="000000"/>
                <w:sz w:val="24"/>
                <w:szCs w:val="24"/>
              </w:rPr>
              <w:t>1.15%</w:t>
            </w:r>
          </w:p>
        </w:tc>
        <w:tc>
          <w:tcPr>
            <w:vAlign w:val="center"/>
          </w:tcPr>
          <w:p>
            <w:pPr>
              <w:jc w:val="center"/>
            </w:pPr>
            <w:r>
              <w:rPr>
                <w:color w:val="000000"/>
                <w:sz w:val="24"/>
                <w:szCs w:val="24"/>
              </w:rPr>
              <w:t>0.36%</w:t>
            </w:r>
          </w:p>
        </w:tc>
        <w:tc>
          <w:tcPr>
            <w:vAlign w:val="center"/>
          </w:tcPr>
          <w:p>
            <w:pPr>
              <w:jc w:val="center"/>
            </w:pPr>
            <w:r>
              <w:rPr>
                <w:color w:val="000000"/>
                <w:sz w:val="24"/>
                <w:szCs w:val="24"/>
              </w:rPr>
              <w:t>0.89%</w:t>
            </w:r>
          </w:p>
        </w:tc>
      </w:tr>
    </w:tbl>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3.2.2</w:t>
      </w:r>
      <w:r w:rsidR="000824E7" w:rsidRPr="00F81917">
        <w:rPr>
          <w:rFonts w:hint="eastAsia"/>
          <w:b/>
          <w:bCs/>
          <w:color w:val="000000"/>
          <w:kern w:val="0"/>
          <w:sz w:val="24"/>
          <w:szCs w:val="24"/>
        </w:rPr>
        <w:t>自基金合同生效以来</w:t>
      </w:r>
      <w:r w:rsidR="00C6002A" w:rsidRPr="00F81917">
        <w:rPr>
          <w:b/>
          <w:bCs/>
          <w:color w:val="000000"/>
          <w:kern w:val="0"/>
          <w:sz w:val="24"/>
          <w:szCs w:val="24"/>
        </w:rPr>
        <w:t>基</w:t>
      </w:r>
      <w:r w:rsidR="00C6002A" w:rsidRPr="00414345">
        <w:rPr>
          <w:b/>
          <w:bCs/>
          <w:color w:val="000000"/>
          <w:sz w:val="24"/>
        </w:rPr>
        <w:t>金份额累计净值增长率变动及其与同期业绩比较基准收益率变动的比较</w:t>
      </w:r>
    </w:p>
    <w:p w:rsidP="00C15CAC" w:rsidR="008606B6" w:rsidRDefault="008606B6" w:rsidRPr="00414345">
      <w:pPr>
        <w:spacing w:before="29" w:line="288" w:lineRule="auto"/>
        <w:jc w:val="center"/>
        <w:rPr>
          <w:color w:val="000000"/>
          <w:sz w:val="24"/>
          <w:szCs w:val="24"/>
        </w:rPr>
      </w:pPr>
      <w:r w:rsidRPr="00414345">
        <w:rPr>
          <w:color w:val="000000"/>
          <w:sz w:val="24"/>
          <w:szCs w:val="24"/>
        </w:rPr>
        <w:t>交银施罗德品质升级混合型证券投资基金</w:t>
      </w:r>
    </w:p>
    <w:p w:rsidP="00C15CAC" w:rsidR="004061AC" w:rsidRDefault="00B56F53" w:rsidRPr="00414345">
      <w:pPr>
        <w:pStyle w:val="a5"/>
        <w:snapToGrid w:val="0"/>
        <w:spacing w:before="29" w:line="288" w:lineRule="auto"/>
        <w:jc w:val="center"/>
        <w:rPr>
          <w:rFonts w:ascii="Times New Roman" w:cs="Times New Roman" w:hAnsi="Times New Roman"/>
          <w:color w:val="000000"/>
          <w:sz w:val="24"/>
          <w:szCs w:val="24"/>
        </w:rPr>
      </w:pPr>
      <w:r w:rsidRPr="00414345">
        <w:rPr>
          <w:rFonts w:ascii="Times New Roman" w:cs="Times New Roman" w:hAnsi="Times New Roman"/>
          <w:color w:val="000000"/>
          <w:sz w:val="24"/>
          <w:szCs w:val="24"/>
        </w:rPr>
        <w:t>份额累计净值增长率与业绩比较基准收益率历史走势对比图</w:t>
      </w:r>
    </w:p>
    <w:p w:rsidP="00C15CAC" w:rsidR="00AE7962" w:rsidRDefault="00DE4B43" w:rsidRPr="00414345">
      <w:pPr>
        <w:pStyle w:val="a5"/>
        <w:snapToGrid w:val="0"/>
        <w:spacing w:before="29" w:line="288" w:lineRule="auto"/>
        <w:ind w:firstLine="480"/>
        <w:jc w:val="center"/>
        <w:rPr>
          <w:rFonts w:ascii="Times New Roman" w:cs="Times New Roman" w:hAnsi="Times New Roman"/>
          <w:sz w:val="24"/>
          <w:szCs w:val="24"/>
        </w:rPr>
      </w:pPr>
      <w:r w:rsidRPr="00414345">
        <w:rPr>
          <w:rFonts w:ascii="Times New Roman" w:cs="Times New Roman" w:hAnsi="Times New Roman"/>
          <w:color w:val="000000"/>
          <w:sz w:val="24"/>
          <w:szCs w:val="24"/>
        </w:rPr>
        <w:lastRenderedPageBreak/>
        <w:t>（</w:t>
      </w:r>
      <w:r w:rsidR="0042009D" w:rsidRPr="00414345">
        <w:rPr>
          <w:rFonts w:ascii="Times New Roman" w:cs="Times New Roman" w:hAnsi="Times New Roman"/>
          <w:sz w:val="24"/>
          <w:szCs w:val="24"/>
        </w:rPr>
        <w:t>2018年2月8日</w:t>
      </w:r>
      <w:r w:rsidR="00AE7962" w:rsidRPr="00414345">
        <w:rPr>
          <w:rFonts w:ascii="Times New Roman" w:cs="Times New Roman" w:hAnsi="Times New Roman"/>
          <w:sz w:val="24"/>
          <w:szCs w:val="24"/>
        </w:rPr>
        <w:t>至</w:t>
      </w:r>
      <w:r w:rsidR="00AE7962" w:rsidRPr="00414345">
        <w:rPr>
          <w:rFonts w:ascii="Times New Roman" w:cs="Times New Roman" w:hAnsi="Times New Roman"/>
          <w:sz w:val="24"/>
          <w:szCs w:val="24"/>
        </w:rPr>
        <w:t>2020年3月31日</w:t>
      </w:r>
      <w:r w:rsidRPr="00414345">
        <w:rPr>
          <w:rFonts w:ascii="Times New Roman" w:cs="Times New Roman" w:hAnsi="Times New Roman"/>
          <w:color w:val="000000"/>
          <w:sz w:val="24"/>
          <w:szCs w:val="24"/>
        </w:rPr>
        <w:t>）</w:t>
      </w:r>
    </w:p>
    <w:p w:rsidP="00C15CAC" w:rsidR="004061AC" w:rsidRDefault="00B816A7" w:rsidRPr="00414345">
      <w:pPr>
        <w:pStyle w:val="a5"/>
        <w:snapToGrid w:val="0"/>
        <w:spacing w:before="29" w:line="288" w:lineRule="auto"/>
        <w:jc w:val="center"/>
        <w:rPr>
          <w:rFonts w:ascii="Times New Roman" w:cs="Times New Roman" w:hAnsi="Times New Roman"/>
          <w:color w:val="000000"/>
          <w:sz w:val="24"/>
          <w:szCs w:val="24"/>
        </w:rPr>
      </w:pPr>
      <w:r w:rsidRPr="00414345">
        <w:rPr>
          <w:rFonts w:ascii="Times New Roman" w:cs="Times New Roman" w:hAnsi="Times New Roman"/>
          <w:noProof/>
          <w:color w:val="000000"/>
          <w:sz w:val="24"/>
          <w:szCs w:val="24"/>
        </w:rPr>
        <w:drawing>
          <wp:inline distB="0" distL="0" distR="0" distT="0">
            <wp:extent cx="5731510" cy="3356610"/>
            <wp:effectExtent b="0" l="19050" r="2540" t="0"/>
            <wp:docPr descr="走势图1.jpg"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cstate="print" r:embed="rId14"/>
                    <a:stretch>
                      <a:fillRect/>
                    </a:stretch>
                  </pic:blipFill>
                  <pic:spPr>
                    <a:xfrm>
                      <a:off x="0" y="0"/>
                      <a:ext cx="5731510" cy="3356610"/>
                    </a:xfrm>
                    <a:prstGeom prst="rect">
                      <a:avLst/>
                    </a:prstGeom>
                  </pic:spPr>
                </pic:pic>
              </a:graphicData>
            </a:graphic>
          </wp:inline>
        </w:drawing>
      </w:r>
    </w:p>
    <w:p w:rsidP="00C15CAC" w:rsidR="004061AC" w:rsidRDefault="001C79F2"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8700EC" w:rsidRPr="00414345">
        <w:rPr>
          <w:color w:val="000000"/>
          <w:sz w:val="24"/>
          <w:szCs w:val="24"/>
        </w:rPr>
        <w:t/>
      </w:r>
      <w:r w:rsidRPr="00414345">
        <w:rPr>
          <w:color w:val="000000"/>
          <w:sz w:val="24"/>
          <w:szCs w:val="24"/>
        </w:rPr>
        <w:t/>
      </w:r>
      <w:r w:rsidR="004061AC" w:rsidRPr="00414345">
        <w:rPr>
          <w:color w:val="000000"/>
          <w:sz w:val="24"/>
          <w:szCs w:val="24"/>
        </w:rPr>
        <w:t>注：本基金建仓期为自基金合同生效日起的6个月。截至建仓期结束，本基金各项资产配置比例符合基金合同及招募说明书有关投资比例的约定。</w:t>
      </w:r>
    </w:p>
    <w:p w:rsidP="00C15CAC" w:rsidR="00957594" w:rsidRDefault="00957594" w:rsidRPr="00414345">
      <w:pPr>
        <w:tabs>
          <w:tab w:pos="1800" w:val="left"/>
        </w:tabs>
        <w:spacing w:before="29" w:line="288" w:lineRule="auto"/>
        <w:rPr>
          <w:color w:val="000000"/>
          <w:sz w:val="24"/>
          <w:szCs w:val="24"/>
        </w:rPr>
      </w:pPr>
    </w:p>
    <w:p w:rsidP="00C15CAC" w:rsidR="00693843" w:rsidRDefault="00693843" w:rsidRPr="00414345">
      <w:pPr>
        <w:tabs>
          <w:tab w:pos="1800" w:val="left"/>
        </w:tabs>
        <w:spacing w:before="29" w:line="288" w:lineRule="auto"/>
        <w:rPr>
          <w:color w:val="000000"/>
          <w:sz w:val="24"/>
          <w:szCs w:val="24"/>
        </w:rPr>
      </w:pPr>
    </w:p>
    <w:p w:rsidP="0011537B" w:rsidR="004061AC" w:rsidRDefault="004061AC" w:rsidRPr="00414345">
      <w:pPr>
        <w:pStyle w:val="1"/>
        <w:spacing w:after="312" w:afterLines="100" w:before="312" w:beforeLines="100" w:line="288" w:lineRule="auto"/>
        <w:jc w:val="center"/>
        <w:rPr>
          <w:color w:val="000000"/>
          <w:kern w:val="0"/>
          <w:sz w:val="24"/>
          <w:szCs w:val="24"/>
        </w:rPr>
      </w:pPr>
      <w:r w:rsidRPr="00414345">
        <w:rPr>
          <w:color w:val="000000"/>
          <w:kern w:val="0"/>
          <w:sz w:val="24"/>
          <w:szCs w:val="24"/>
        </w:rPr>
        <w:t xml:space="preserve">§4  </w:t>
      </w:r>
      <w:r w:rsidRPr="00414345">
        <w:rPr>
          <w:color w:val="000000"/>
          <w:kern w:val="0"/>
          <w:sz w:val="24"/>
          <w:szCs w:val="24"/>
        </w:rPr>
        <w:t>管理人报告</w:t>
      </w:r>
    </w:p>
    <w:p w:rsidP="00C15CAC" w:rsidR="00B12B7D"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4.1 </w:t>
      </w:r>
      <w:r w:rsidRPr="00414345">
        <w:rPr>
          <w:b/>
          <w:bCs/>
          <w:color w:val="000000"/>
          <w:kern w:val="0"/>
          <w:sz w:val="24"/>
          <w:szCs w:val="24"/>
        </w:rPr>
        <w:t>基金经理</w:t>
      </w:r>
      <w:r w:rsidR="00333AD0" w:rsidRPr="00414345">
        <w:rPr>
          <w:b/>
          <w:color w:val="000000"/>
          <w:kern w:val="0"/>
          <w:sz w:val="24"/>
        </w:rPr>
        <w:t>（</w:t>
      </w:r>
      <w:r w:rsidRPr="00414345">
        <w:rPr>
          <w:b/>
          <w:bCs/>
          <w:color w:val="000000"/>
          <w:kern w:val="0"/>
          <w:sz w:val="24"/>
          <w:szCs w:val="24"/>
        </w:rPr>
        <w:t>或基金经理小组</w:t>
      </w:r>
      <w:r w:rsidR="00333AD0" w:rsidRPr="00414345">
        <w:rPr>
          <w:b/>
          <w:color w:val="000000"/>
          <w:kern w:val="0"/>
          <w:sz w:val="24"/>
        </w:rPr>
        <w:t>）</w:t>
      </w:r>
      <w:r w:rsidRPr="00414345">
        <w:rPr>
          <w:b/>
          <w:bCs/>
          <w:color w:val="000000"/>
          <w:kern w:val="0"/>
          <w:sz w:val="24"/>
          <w:szCs w:val="24"/>
        </w:rPr>
        <w:t>简介</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0" w:val="00A0"/>
      </w:tblPr>
      <w:tblGrid>
        <w:gridCol w:w="846"/>
        <w:gridCol w:w="845"/>
        <w:gridCol w:w="1549"/>
        <w:gridCol w:w="1548"/>
        <w:gridCol w:w="1407"/>
        <w:gridCol w:w="2673"/>
      </w:tblGrid>
      <w:tr w:rsidR="00286BEF" w:rsidRPr="00414345" w:rsidTr="006A10AB">
        <w:trPr>
          <w:trHeight w:val="292"/>
          <w:jc w:val="center"/>
        </w:trPr>
        <w:tc>
          <w:tcPr>
            <w:tcW w:type="dxa" w:w="851"/>
            <w:vMerge w:val="restart"/>
            <w:vAlign w:val="center"/>
          </w:tcPr>
          <w:p w:rsidP="00C15CAC" w:rsidR="004061AC" w:rsidRDefault="004061AC" w:rsidRPr="00414345">
            <w:pPr>
              <w:widowControl/>
              <w:spacing w:before="29" w:line="288" w:lineRule="auto"/>
              <w:ind w:left="17"/>
              <w:jc w:val="center"/>
              <w:rPr>
                <w:color w:val="000000"/>
                <w:kern w:val="0"/>
                <w:sz w:val="24"/>
                <w:szCs w:val="24"/>
              </w:rPr>
            </w:pPr>
            <w:r w:rsidRPr="00414345">
              <w:rPr>
                <w:color w:val="000000"/>
                <w:kern w:val="0"/>
                <w:sz w:val="24"/>
                <w:szCs w:val="24"/>
              </w:rPr>
              <w:t>姓名</w:t>
            </w:r>
          </w:p>
        </w:tc>
        <w:tc>
          <w:tcPr>
            <w:tcW w:type="dxa" w:w="850"/>
            <w:vMerge w:val="restart"/>
            <w:vAlign w:val="center"/>
          </w:tcPr>
          <w:p w:rsidP="00C15CAC" w:rsidR="004061AC" w:rsidRDefault="004061AC" w:rsidRPr="00414345">
            <w:pPr>
              <w:widowControl/>
              <w:spacing w:before="29" w:line="288" w:lineRule="auto"/>
              <w:ind w:left="17"/>
              <w:jc w:val="center"/>
              <w:rPr>
                <w:color w:val="000000"/>
                <w:kern w:val="0"/>
                <w:sz w:val="24"/>
                <w:szCs w:val="24"/>
              </w:rPr>
            </w:pPr>
            <w:r w:rsidRPr="00414345">
              <w:rPr>
                <w:color w:val="000000"/>
                <w:kern w:val="0"/>
                <w:sz w:val="24"/>
                <w:szCs w:val="24"/>
              </w:rPr>
              <w:t>职务</w:t>
            </w:r>
          </w:p>
        </w:tc>
        <w:tc>
          <w:tcPr>
            <w:tcW w:type="dxa" w:w="3119"/>
            <w:gridSpan w:val="2"/>
            <w:vAlign w:val="center"/>
          </w:tcPr>
          <w:p w:rsidP="00C15CAC" w:rsidR="004061AC" w:rsidRDefault="004061AC" w:rsidRPr="00414345">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任本基金的基金经理期限</w:t>
            </w:r>
          </w:p>
        </w:tc>
        <w:tc>
          <w:tcPr>
            <w:tcW w:type="dxa" w:w="1417"/>
            <w:vMerge w:val="restart"/>
            <w:vAlign w:val="center"/>
          </w:tcPr>
          <w:p w:rsidP="00C15CAC" w:rsidR="004061AC" w:rsidRDefault="004061AC" w:rsidRPr="00414345">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证券从业</w:t>
            </w:r>
            <w:r w:rsidRPr="00414345">
              <w:rPr>
                <w:color w:val="000000"/>
                <w:kern w:val="0"/>
                <w:sz w:val="24"/>
                <w:szCs w:val="24"/>
              </w:rPr>
              <w:lastRenderedPageBreak/>
              <w:t>年限</w:t>
            </w:r>
          </w:p>
        </w:tc>
        <w:tc>
          <w:tcPr>
            <w:tcW w:type="dxa" w:w="2694"/>
            <w:vMerge w:val="restart"/>
            <w:vAlign w:val="center"/>
          </w:tcPr>
          <w:p w:rsidP="00C15CAC" w:rsidR="004061AC" w:rsidRDefault="004061AC" w:rsidRPr="00414345">
            <w:pPr>
              <w:widowControl/>
              <w:spacing w:before="29" w:line="288" w:lineRule="auto"/>
              <w:ind w:left="17"/>
              <w:jc w:val="center"/>
              <w:rPr>
                <w:color w:val="000000"/>
                <w:kern w:val="0"/>
                <w:sz w:val="24"/>
                <w:szCs w:val="24"/>
              </w:rPr>
            </w:pPr>
            <w:r w:rsidRPr="00414345">
              <w:rPr>
                <w:color w:val="000000"/>
                <w:kern w:val="0"/>
                <w:sz w:val="24"/>
                <w:szCs w:val="24"/>
              </w:rPr>
              <w:lastRenderedPageBreak/>
              <w:t>说明</w:t>
            </w:r>
          </w:p>
        </w:tc>
      </w:tr>
      <w:tr w:rsidR="00D13737" w:rsidRPr="00414345" w:rsidTr="006A10AB">
        <w:trPr>
          <w:jc w:val="center"/>
        </w:trPr>
        <w:tc>
          <w:tcPr>
            <w:tcW w:type="dxa" w:w="851"/>
            <w:vMerge/>
            <w:vAlign w:val="center"/>
          </w:tcPr>
          <w:p w:rsidP="00C15CAC" w:rsidR="004061AC" w:rsidRDefault="004061AC" w:rsidRPr="00414345">
            <w:pPr>
              <w:widowControl/>
              <w:spacing w:before="29" w:line="288" w:lineRule="auto"/>
              <w:jc w:val="left"/>
              <w:rPr>
                <w:color w:val="000000"/>
                <w:kern w:val="0"/>
                <w:sz w:val="24"/>
                <w:szCs w:val="24"/>
              </w:rPr>
            </w:pPr>
          </w:p>
        </w:tc>
        <w:tc>
          <w:tcPr>
            <w:tcW w:type="dxa" w:w="850"/>
            <w:vMerge/>
            <w:vAlign w:val="center"/>
          </w:tcPr>
          <w:p w:rsidP="00C15CAC" w:rsidR="004061AC" w:rsidRDefault="004061AC" w:rsidRPr="00414345">
            <w:pPr>
              <w:widowControl/>
              <w:spacing w:before="29" w:line="288" w:lineRule="auto"/>
              <w:jc w:val="left"/>
              <w:rPr>
                <w:color w:val="000000"/>
                <w:kern w:val="0"/>
                <w:sz w:val="24"/>
                <w:szCs w:val="24"/>
              </w:rPr>
            </w:pPr>
          </w:p>
        </w:tc>
        <w:tc>
          <w:tcPr>
            <w:tcW w:type="dxa" w:w="1560"/>
            <w:vAlign w:val="center"/>
          </w:tcPr>
          <w:p w:rsidP="00C15CAC" w:rsidR="004061AC" w:rsidRDefault="004061AC" w:rsidRPr="00414345">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任职日期</w:t>
            </w:r>
          </w:p>
        </w:tc>
        <w:tc>
          <w:tcPr>
            <w:tcW w:type="dxa" w:w="1559"/>
            <w:vAlign w:val="center"/>
          </w:tcPr>
          <w:p w:rsidP="00C15CAC" w:rsidR="004061AC" w:rsidRDefault="004061AC" w:rsidRPr="00414345">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离任日期</w:t>
            </w:r>
          </w:p>
        </w:tc>
        <w:tc>
          <w:tcPr>
            <w:tcW w:type="dxa" w:w="1417"/>
            <w:vMerge/>
            <w:vAlign w:val="center"/>
          </w:tcPr>
          <w:p w:rsidP="00C15CAC" w:rsidR="004061AC" w:rsidRDefault="004061AC" w:rsidRPr="00414345">
            <w:pPr>
              <w:widowControl/>
              <w:spacing w:before="29" w:line="288" w:lineRule="auto"/>
              <w:jc w:val="left"/>
              <w:rPr>
                <w:color w:val="000000"/>
                <w:kern w:val="0"/>
                <w:sz w:val="24"/>
                <w:szCs w:val="24"/>
              </w:rPr>
            </w:pPr>
          </w:p>
        </w:tc>
        <w:tc>
          <w:tcPr>
            <w:tcW w:type="dxa" w:w="2694"/>
            <w:vMerge/>
            <w:vAlign w:val="center"/>
          </w:tcPr>
          <w:p w:rsidP="00C15CAC" w:rsidR="004061AC" w:rsidRDefault="004061AC" w:rsidRPr="00414345">
            <w:pPr>
              <w:widowControl/>
              <w:spacing w:before="29" w:line="288" w:lineRule="auto"/>
              <w:jc w:val="left"/>
              <w:rPr>
                <w:color w:val="000000"/>
                <w:kern w:val="0"/>
                <w:sz w:val="24"/>
                <w:szCs w:val="24"/>
              </w:rPr>
            </w:pPr>
          </w:p>
        </w:tc>
      </w:tr>
      <w:tr>
        <w:tc>
          <w:tcPr>
            <w:vAlign w:val="center"/>
          </w:tcPr>
          <w:p>
            <w:pPr>
              <w:jc w:val="center"/>
            </w:pPr>
            <w:r>
              <w:rPr>
                <w:color w:val="000000"/>
                <w:sz w:val="24"/>
                <w:szCs w:val="24"/>
              </w:rPr>
              <w:t>韩威俊</w:t>
            </w:r>
          </w:p>
        </w:tc>
        <w:tc>
          <w:tcPr>
            <w:vAlign w:val="center"/>
          </w:tcPr>
          <w:p>
            <w:pPr>
              <w:jc w:val="center"/>
            </w:pPr>
            <w:r>
              <w:rPr>
                <w:color w:val="000000"/>
                <w:sz w:val="24"/>
                <w:szCs w:val="24"/>
              </w:rPr>
              <w:t>交银趋势混合、交银策略回报灵活配置混合、交银消费新驱动股票、交银股息优化混合、交银品质升级混合的基金经理</w:t>
            </w:r>
          </w:p>
        </w:tc>
        <w:tc>
          <w:tcPr>
            <w:vAlign w:val="center"/>
          </w:tcPr>
          <w:p>
            <w:pPr>
              <w:jc w:val="center"/>
            </w:pPr>
            <w:r>
              <w:rPr>
                <w:color w:val="000000"/>
                <w:sz w:val="24"/>
                <w:szCs w:val="24"/>
              </w:rPr>
              <w:t>2018-02-08</w:t>
            </w:r>
          </w:p>
        </w:tc>
        <w:tc>
          <w:tcPr>
            <w:vAlign w:val="center"/>
          </w:tcPr>
          <w:p>
            <w:pPr>
              <w:jc w:val="center"/>
            </w:pPr>
            <w:r>
              <w:rPr>
                <w:color w:val="000000"/>
                <w:sz w:val="24"/>
                <w:szCs w:val="24"/>
              </w:rPr>
              <w:t>-</w:t>
            </w:r>
          </w:p>
        </w:tc>
        <w:tc>
          <w:tcPr>
            <w:vAlign w:val="center"/>
          </w:tcPr>
          <w:p>
            <w:pPr>
              <w:jc w:val="center"/>
            </w:pPr>
            <w:r>
              <w:rPr>
                <w:color w:val="000000"/>
                <w:sz w:val="24"/>
                <w:szCs w:val="24"/>
              </w:rPr>
              <w:t>14年</w:t>
            </w:r>
          </w:p>
        </w:tc>
        <w:tc>
          <w:tcPr>
            <w:vAlign w:val="center"/>
          </w:tcPr>
          <w:p>
            <w:pPr>
              <w:jc w:val="both"/>
            </w:pPr>
            <w:r>
              <w:rPr>
                <w:color w:val="000000"/>
                <w:sz w:val="24"/>
                <w:szCs w:val="24"/>
              </w:rPr>
              <w:t>韩威俊先生，上海财经大学金融学硕士。历任申银万国证券研究所助理分析师、北京鼎天资产管理有限公司董事助理、申银万国证券研究所行业分析师、信诚基金管理有限公司投资分析师。2013年加入交银施罗德基金管理有限公司，历任行业分析师。</w:t>
            </w:r>
          </w:p>
        </w:tc>
      </w:tr>
    </w:tbl>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注：基金经理（或基金经理小组）期后变动（如有）敬请关注基金管理人发布的相关公告。</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4.2 </w:t>
      </w:r>
      <w:r w:rsidRPr="00414345">
        <w:rPr>
          <w:b/>
          <w:bCs/>
          <w:color w:val="000000"/>
          <w:kern w:val="0"/>
          <w:sz w:val="24"/>
          <w:szCs w:val="24"/>
        </w:rPr>
        <w:t>管理人对报告期内本基金运作遵规守信情况的说明</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4.3 </w:t>
      </w:r>
      <w:r w:rsidRPr="00414345">
        <w:rPr>
          <w:b/>
          <w:bCs/>
          <w:color w:val="000000"/>
          <w:kern w:val="0"/>
          <w:sz w:val="24"/>
          <w:szCs w:val="24"/>
        </w:rPr>
        <w:t>公平交易专项说明</w:t>
      </w:r>
    </w:p>
    <w:p w:rsidP="00C15CAC" w:rsidR="004061AC" w:rsidRDefault="004061AC" w:rsidRPr="00414345">
      <w:pPr>
        <w:spacing w:before="29" w:line="288" w:lineRule="auto"/>
        <w:rPr>
          <w:color w:val="000000"/>
          <w:sz w:val="24"/>
          <w:szCs w:val="24"/>
        </w:rPr>
      </w:pPr>
      <w:r w:rsidRPr="00414345">
        <w:rPr>
          <w:color w:val="000000"/>
          <w:sz w:val="24"/>
          <w:szCs w:val="24"/>
        </w:rPr>
        <w:t xml:space="preserve">4.3.1 </w:t>
      </w:r>
      <w:r w:rsidRPr="00414345">
        <w:rPr>
          <w:color w:val="000000"/>
          <w:sz w:val="24"/>
          <w:szCs w:val="24"/>
        </w:rPr>
        <w:t>公平交易制度的执行情况</w:t>
      </w:r>
    </w:p>
    <w:p>
      <w:pPr>
        <w:spacing w:before="29" w:line="288" w:lineRule="auto"/>
        <w:ind w:firstLine="480" w:firstLineChars="200"/>
        <w:rPr>
          <w:color w:val="000000"/>
          <w:sz w:val="24"/>
          <w:szCs w:val="24"/>
        </w:rPr>
      </w:pPr>
      <w:r>
        <w:rPr>
          <w:color w:val="000000"/>
          <w:sz w:val="24"/>
          <w:szCs w:val="24"/>
        </w:rPr>
        <w:t>本公司制定了严格的投资控制制度和公平交易监控制度来保证旗下基金运作的公平，旗下所管理的所有资产组合，包括证券投资基金和特定客户资产管理专户均严格遵循制度进行公平交易。</w:t>
      </w:r>
    </w:p>
    <w:p>
      <w:pPr>
        <w:spacing w:before="29" w:line="288" w:lineRule="auto"/>
        <w:ind w:firstLine="480" w:firstLineChars="200"/>
        <w:rPr>
          <w:color w:val="000000"/>
          <w:sz w:val="24"/>
          <w:szCs w:val="24"/>
        </w:rPr>
      </w:pPr>
      <w:r>
        <w:rPr>
          <w:color w:val="000000"/>
          <w:sz w:val="24"/>
          <w:szCs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时间优先、价格优先、比例分配”的原则，全部通过交易系统进行比例分配；对于非集中竞价交易、以公司名义进行的场外交易，遵循“价格优先、比例分配”的原则按事前独立确定的投资方案对交易结果进行分配。</w:t>
      </w:r>
    </w:p>
    <w:p>
      <w:pPr>
        <w:spacing w:before="29" w:line="288" w:lineRule="auto"/>
        <w:ind w:firstLine="480" w:firstLineChars="200"/>
        <w:rPr>
          <w:color w:val="000000"/>
          <w:sz w:val="24"/>
          <w:szCs w:val="24"/>
        </w:rPr>
      </w:pPr>
      <w:r>
        <w:rPr>
          <w:color w:val="000000"/>
          <w:sz w:val="24"/>
          <w:szCs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
      </w:r>
      <w:r w:rsidR="00957594" w:rsidRPr="00414345">
        <w:rPr>
          <w:color w:val="000000"/>
          <w:sz w:val="24"/>
          <w:szCs w:val="24"/>
        </w:rPr>
        <w:t/>
      </w:r>
      <w:r w:rsidRPr="00414345">
        <w:rPr>
          <w:color w:val="000000"/>
          <w:sz w:val="24"/>
          <w:szCs w:val="24"/>
        </w:rPr>
        <w:t>报告期内本公司严格执行公平交易制度，公平对待旗下各投资组合，未发现任何违反公平交易的行为。</w:t>
      </w:r>
    </w:p>
    <w:p w:rsidP="00C15CAC" w:rsidR="004061AC" w:rsidRDefault="004061AC" w:rsidRPr="00414345">
      <w:pPr>
        <w:spacing w:before="29" w:line="288" w:lineRule="auto"/>
        <w:rPr>
          <w:color w:val="000000"/>
          <w:sz w:val="24"/>
          <w:szCs w:val="24"/>
        </w:rPr>
      </w:pPr>
      <w:r w:rsidRPr="00414345">
        <w:rPr>
          <w:color w:val="000000"/>
          <w:sz w:val="24"/>
          <w:szCs w:val="24"/>
        </w:rPr>
        <w:t xml:space="preserve">4.3.2 </w:t>
      </w:r>
      <w:r w:rsidRPr="00414345">
        <w:rPr>
          <w:color w:val="000000"/>
          <w:sz w:val="24"/>
          <w:szCs w:val="24"/>
        </w:rPr>
        <w:t>异常交易行为的专项说明</w:t>
      </w:r>
    </w:p>
    <w:p w:rsidP="00C15CAC" w:rsidR="004061AC" w:rsidRDefault="00957594" w:rsidRPr="00414345">
      <w:pPr>
        <w:spacing w:before="29" w:line="288" w:lineRule="auto"/>
        <w:ind w:firstLine="480" w:firstLineChars="200"/>
        <w:rPr>
          <w:color w:val="000000"/>
          <w:sz w:val="24"/>
          <w:szCs w:val="24"/>
        </w:rPr>
      </w:pPr>
      <w:r w:rsidRPr="00414345">
        <w:rPr>
          <w:color w:val="000000"/>
          <w:sz w:val="24"/>
          <w:szCs w:val="24"/>
        </w:rPr>
        <w:t>本基金于本报告期内不存在异常交易行为。本报告期内，本公司管理的所有投资组合参与的交易所公开竞价同日反向交易成交较少的单边交易量没有超过该证券当日总成交量5%的情形，本基金与本公司管理的其他投资组合在不同时间窗下（如日内、3日内、5日内）同向交易的交易价差未出现异常。</w:t>
      </w:r>
    </w:p>
    <w:p w:rsidP="00C15CAC" w:rsidR="004061AC" w:rsidRDefault="004061AC" w:rsidRPr="00414345">
      <w:pPr>
        <w:spacing w:before="29" w:line="288" w:lineRule="auto"/>
        <w:ind w:firstLine="480" w:firstLineChars="200"/>
        <w:rPr>
          <w:color w:val="000000"/>
          <w:sz w:val="24"/>
          <w:szCs w:val="24"/>
        </w:rPr>
      </w:pPr>
    </w:p>
    <w:p w:rsidP="00C15CAC" w:rsidR="004061AC" w:rsidRDefault="00D44EE8" w:rsidRPr="00414345">
      <w:pPr>
        <w:spacing w:before="29" w:line="288" w:lineRule="auto"/>
        <w:rPr>
          <w:sz w:val="24"/>
          <w:szCs w:val="24"/>
        </w:rPr>
      </w:pPr>
      <w:r w:rsidRPr="00414345">
        <w:rPr>
          <w:b/>
          <w:color w:val="000000"/>
          <w:kern w:val="0"/>
          <w:sz w:val="24"/>
        </w:rPr>
        <w:t xml:space="preserve">4.4 </w:t>
      </w:r>
      <w:r w:rsidRPr="00414345">
        <w:rPr>
          <w:rFonts w:hAnsi="宋体"/>
          <w:b/>
          <w:bCs/>
          <w:color w:val="000000"/>
          <w:sz w:val="24"/>
        </w:rPr>
        <w:t>报告期内基金的投资策略和运作分析</w:t>
      </w:r>
    </w:p>
    <w:p>
      <w:pPr>
        <w:spacing w:before="29" w:line="288" w:lineRule="auto"/>
        <w:ind w:firstLine="480" w:firstLineChars="200"/>
        <w:rPr>
          <w:color w:val="000000"/>
          <w:sz w:val="24"/>
          <w:szCs w:val="24"/>
        </w:rPr>
      </w:pPr>
      <w:r>
        <w:rPr>
          <w:color w:val="000000"/>
          <w:sz w:val="24"/>
          <w:szCs w:val="24"/>
        </w:rPr>
        <w:t>回顾2020年一季度，新冠肺炎对国内国外的资本市场和经济造成了较大影响。尽管全球采取了各种货币政策、财政政策等救市措施，短期也无法弥补海外、特别是美国市场的流动性风险。A股市场在二月大幅波动后，三月的风险偏好开始大幅下降，整个市场陷入了风险偏好下降带动盈利预期下调再带动风险偏好下调的恶性循环中。从目前情况来看，海外流动性风险基本上解除，美国无限制QE政策也会导致美元指数在避险情绪消失后逐步回落，中国资产（包括货币、债券、股票）在全球市场的吸引力大幅提升。如果后续海外疫情逐步得到控制，海外资本市场稳定以后，海外资金或将继续快速流入中国，带动国内利率水平进一步回落以及债券价格和股票价格上升。</w:t>
      </w:r>
    </w:p>
    <w:p>
      <w:pPr>
        <w:spacing w:before="29" w:line="288" w:lineRule="auto"/>
        <w:ind w:firstLine="480" w:firstLineChars="200"/>
        <w:rPr>
          <w:color w:val="000000"/>
          <w:sz w:val="24"/>
          <w:szCs w:val="24"/>
        </w:rPr>
      </w:pPr>
      <w:r>
        <w:rPr>
          <w:color w:val="000000"/>
          <w:sz w:val="24"/>
          <w:szCs w:val="24"/>
        </w:rPr>
        <w:t>本基金在2020年一季度主要以消费白马龙头作为底仓的配置思路，个股集中度依然维持在较高水平，持仓并没有发生太大变化。一季度由于疫情对消费的冲击，春节后表现相对较弱，整体落后市场。但是我们认为，随着国内疫情的逐步恢复，内需消费信心的恢复，整个消费白马全年的盈利水平整体影响不会太大，全年绝对收益仍然值得期待。</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展望2020年二季度：（1）国内在二月按下暂停键以后，有效地控制了疫情的发展，三月已经开始复工复产。整个一季度宏观和各行业都面临较大压力，但随着国内疫情后续逐步恢复，国内正常经济活动展开和消费需求的复苏，整个内需有望出现比较明显的反弹。本基金仍然聚焦内需消费为主，结合疫情后消费复苏的节奏，适当做一些重仓股的结构调整。在追求全年绝对收益的前提下，二季度开始逐步布局市值相对低估，长期空间巨大的消费服务类龙头公司；（2）海外疫情于三月开始爆发，从欧洲到美国，对全球流动性和经济预期造成重大波动。从欧美目前情况来看，二季度整体经济影响巨大，三季度也很难出现比较明显的复苏。与海外需求高度相关的制造业等龙头企业，可能在二季度末或三季度初存在预期特别低的机会，特别是目前渗透率较低的新能源汽车和光伏等产业。</w:t>
      </w:r>
    </w:p>
    <w:p w:rsidP="00C15CAC" w:rsidR="00627E2D" w:rsidRDefault="00627E2D" w:rsidRPr="00414345">
      <w:pPr>
        <w:spacing w:before="29" w:line="288" w:lineRule="auto"/>
        <w:ind w:firstLine="480" w:firstLineChars="200"/>
        <w:rPr>
          <w:color w:val="000000"/>
          <w:sz w:val="24"/>
          <w:szCs w:val="24"/>
        </w:rPr>
      </w:pPr>
    </w:p>
    <w:p w:rsidP="00C15CAC" w:rsidR="004061AC" w:rsidRDefault="00D44EE8" w:rsidRPr="00414345">
      <w:pPr>
        <w:spacing w:before="29" w:line="288" w:lineRule="auto"/>
        <w:rPr>
          <w:sz w:val="24"/>
          <w:szCs w:val="24"/>
        </w:rPr>
      </w:pPr>
      <w:r w:rsidRPr="00414345">
        <w:rPr>
          <w:b/>
          <w:color w:val="000000"/>
          <w:kern w:val="0"/>
          <w:sz w:val="24"/>
        </w:rPr>
        <w:t>4.5</w:t>
      </w:r>
      <w:r w:rsidRPr="00414345">
        <w:rPr>
          <w:b/>
          <w:color w:val="000000"/>
          <w:kern w:val="0"/>
          <w:sz w:val="24"/>
        </w:rPr>
        <w:t>报告期内基金的业绩表现</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本基金（各类）份额净值及业绩表现请见“3.1主要财务指标” 及“3.2.1 本报告期基金份额净值增长率及其与同期业绩比较基准收益率的比较”部分披露。</w:t>
      </w:r>
    </w:p>
    <w:p w:rsidP="00C15CAC" w:rsidR="009C5186" w:rsidRDefault="009C5186" w:rsidRPr="00414345">
      <w:pPr>
        <w:spacing w:before="29" w:line="288" w:lineRule="auto"/>
        <w:ind w:firstLine="480" w:firstLineChars="200"/>
        <w:rPr>
          <w:color w:val="000000"/>
          <w:sz w:val="24"/>
          <w:szCs w:val="24"/>
        </w:rPr>
      </w:pPr>
    </w:p>
    <w:p w:rsidP="00421CD2" w:rsidR="00421CD2" w:rsidRDefault="00421CD2" w:rsidRPr="002070B4">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P="00421CD2" w:rsidR="00421CD2" w:rsidRDefault="00421CD2">
      <w:pPr>
        <w:spacing w:before="29" w:line="288" w:lineRule="auto"/>
        <w:ind w:firstLine="480" w:firstLineChars="200"/>
        <w:rPr>
          <w:color w:val="000000"/>
          <w:sz w:val="24"/>
        </w:rPr>
      </w:pPr>
      <w:r w:rsidRPr="002070B4">
        <w:rPr>
          <w:color w:val="000000"/>
          <w:sz w:val="24"/>
        </w:rPr>
        <w:t>本基金本报告期内无需预警说明。</w:t>
      </w:r>
    </w:p>
    <w:p w:rsidP="0011537B" w:rsidR="004061AC" w:rsidRDefault="004061AC" w:rsidRPr="00414345">
      <w:pPr>
        <w:pStyle w:val="1"/>
        <w:spacing w:after="312" w:afterLines="100" w:before="312" w:beforeLines="100" w:line="288" w:lineRule="auto"/>
        <w:jc w:val="center"/>
        <w:rPr>
          <w:color w:val="000000"/>
          <w:kern w:val="0"/>
          <w:sz w:val="24"/>
          <w:szCs w:val="24"/>
        </w:rPr>
      </w:pPr>
      <w:r w:rsidRPr="00414345">
        <w:rPr>
          <w:color w:val="000000"/>
          <w:kern w:val="0"/>
          <w:sz w:val="24"/>
          <w:szCs w:val="24"/>
        </w:rPr>
        <w:t>§</w:t>
      </w:r>
      <w:r w:rsidR="001C0993" w:rsidRPr="00414345">
        <w:rPr>
          <w:color w:val="000000"/>
          <w:kern w:val="0"/>
          <w:sz w:val="24"/>
          <w:szCs w:val="24"/>
        </w:rPr>
        <w:t>5</w:t>
      </w:r>
      <w:r w:rsidR="00834E74">
        <w:rPr>
          <w:color w:val="000000"/>
          <w:kern w:val="0"/>
          <w:sz w:val="24"/>
          <w:szCs w:val="24"/>
        </w:rPr>
        <w:t xml:space="preserve">  </w:t>
      </w:r>
      <w:r w:rsidRPr="00414345">
        <w:rPr>
          <w:color w:val="000000"/>
          <w:kern w:val="0"/>
          <w:sz w:val="24"/>
          <w:szCs w:val="24"/>
        </w:rPr>
        <w:t>投资组合报告</w:t>
      </w:r>
    </w:p>
    <w:p w:rsidP="00BF0019" w:rsidR="00BF0019" w:rsidRDefault="00BF0019">
      <w:pPr>
        <w:autoSpaceDE w:val="0"/>
        <w:autoSpaceDN w:val="0"/>
        <w:adjustRightInd w:val="0"/>
        <w:spacing w:line="360" w:lineRule="auto"/>
        <w:jc w:val="left"/>
        <w:rPr>
          <w:rFonts w:eastAsiaTheme="minorEastAsia"/>
          <w:b/>
          <w:color w:themeColor="text1" w:val="000000"/>
          <w:kern w:val="0"/>
          <w:sz w:val="24"/>
          <w:szCs w:val="24"/>
        </w:rPr>
      </w:pPr>
      <w:r w:rsidRPr="007B5F21">
        <w:rPr>
          <w:rFonts w:eastAsiaTheme="minorEastAsia"/>
          <w:b/>
          <w:color w:themeColor="text1" w:val="000000"/>
          <w:kern w:val="0"/>
          <w:sz w:val="24"/>
          <w:szCs w:val="24"/>
        </w:rPr>
        <w:t xml:space="preserve">5.1 </w:t>
      </w:r>
      <w:r w:rsidRPr="007B5F21">
        <w:rPr>
          <w:rFonts w:eastAsiaTheme="minorEastAsia"/>
          <w:b/>
          <w:color w:themeColor="text1" w:val="000000"/>
          <w:kern w:val="0"/>
          <w:sz w:val="24"/>
          <w:szCs w:val="24"/>
        </w:rPr>
        <w:t>报告期末基金资产组合情况</w:t>
      </w:r>
    </w:p>
    <w:p w:rsidP="009C1009" w:rsidR="006B5F69" w:rsidRDefault="009C1009" w:rsidRPr="007B5F21">
      <w:pPr>
        <w:autoSpaceDE w:val="0"/>
        <w:autoSpaceDN w:val="0"/>
        <w:adjustRightInd w:val="0"/>
        <w:spacing w:line="360" w:lineRule="auto"/>
        <w:jc w:val="right"/>
        <w:rPr>
          <w:rFonts w:eastAsiaTheme="minorEastAsia"/>
          <w:b/>
          <w:color w:themeColor="text1" w:val="000000"/>
          <w:kern w:val="0"/>
          <w:sz w:val="24"/>
          <w:szCs w:val="24"/>
        </w:rPr>
      </w:pPr>
      <w:r w:rsidRPr="009C1009">
        <w:rPr>
          <w:rFonts w:hint="eastAsia"/>
          <w:color w:val="000000"/>
          <w:kern w:val="0"/>
        </w:rPr>
        <w:t/>
      </w:r>
      <w:r w:rsidRPr="009C1009">
        <w:rPr>
          <w:rFonts w:hint="eastAsia"/>
          <w:color w:val="000000"/>
          <w:kern w:val="0"/>
        </w:rPr>
        <w:t>金额单位：人民币元</w:t>
      </w:r>
    </w:p>
    <w:tbl>
      <w:tblPr>
        <w:tblStyle w:val="af7"/>
        <w:tblW w:type="dxa" w:w="8897"/>
        <w:tblInd w:type="dxa" w:w="108"/>
        <w:tblLayout w:type="fixed"/>
        <w:tblLook w:firstColumn="1" w:firstRow="1" w:lastColumn="0" w:lastRow="0" w:noHBand="0" w:noVBand="1" w:val="04A0"/>
      </w:tblPr>
      <w:tblGrid>
        <w:gridCol w:w="720"/>
        <w:gridCol w:w="2682"/>
        <w:gridCol w:w="2552"/>
        <w:gridCol w:w="2943"/>
      </w:tblGrid>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序号</w:t>
            </w:r>
          </w:p>
        </w:tc>
        <w:tc>
          <w:tcPr>
            <w:tcW w:type="dxa" w:w="2682"/>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项目</w:t>
            </w:r>
          </w:p>
        </w:tc>
        <w:tc>
          <w:tcPr>
            <w:tcW w:type="dxa" w:w="2552"/>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金额</w:t>
            </w:r>
          </w:p>
        </w:tc>
        <w:tc>
          <w:tcPr>
            <w:tcW w:type="dxa" w:w="2943"/>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占基金总资产的比例</w:t>
            </w:r>
            <w:r w:rsidR="0018138B">
              <w:rPr>
                <w:rFonts w:eastAsiaTheme="minorEastAsia" w:hint="eastAsia"/>
                <w:color w:themeColor="text1" w:val="000000"/>
                <w:sz w:val="24"/>
                <w:szCs w:val="24"/>
              </w:rPr>
              <w:t>(</w:t>
            </w:r>
            <w:r w:rsidR="0018138B">
              <w:rPr>
                <w:rFonts w:eastAsiaTheme="minorEastAsia"/>
                <w:color w:themeColor="text1" w:val="000000"/>
                <w:sz w:val="24"/>
                <w:szCs w:val="24"/>
              </w:rPr>
              <w:t>%</w:t>
            </w:r>
            <w:r w:rsidR="0018138B">
              <w:rPr>
                <w:rFonts w:eastAsiaTheme="minorEastAsia" w:hint="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lastRenderedPageBreak/>
              <w:t>1</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权益投资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388,954,682.34</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92.45</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其中：股票</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388,954,682.34</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92.45</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2</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ascii="宋体" w:hAnsi="宋体" w:hint="eastAsia"/>
                <w:sz w:val="24"/>
                <w:szCs w:val="24"/>
              </w:rPr>
              <w:t>基金投资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hint="eastAsia"/>
                <w:color w:themeColor="text1" w:val="000000"/>
                <w:sz w:val="24"/>
                <w:szCs w:val="24"/>
              </w:rPr>
              <w:t/>
            </w:r>
            <w:r w:rsidRPr="007B5F21">
              <w:rPr>
                <w:rFonts w:eastAsiaTheme="minorEastAsia"/>
                <w:color w:themeColor="text1" w:val="000000"/>
                <w:sz w:val="24"/>
                <w:szCs w:val="24"/>
              </w:rPr>
              <w:t/>
            </w:r>
            <w:r w:rsidRPr="007B5F21">
              <w:rPr>
                <w:rFonts w:eastAsiaTheme="minorEastAsia" w:hint="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hint="eastAsia"/>
                <w:color w:themeColor="text1" w:val="000000"/>
                <w:sz w:val="24"/>
                <w:szCs w:val="24"/>
              </w:rPr>
              <w:t/>
            </w:r>
            <w:r w:rsidRPr="007B5F21">
              <w:rPr>
                <w:rFonts w:eastAsiaTheme="minorEastAsia"/>
                <w:color w:themeColor="text1" w:val="000000"/>
                <w:sz w:val="24"/>
                <w:szCs w:val="24"/>
              </w:rPr>
              <w:t/>
            </w:r>
            <w:r w:rsidRPr="007B5F21">
              <w:rPr>
                <w:rFonts w:eastAsiaTheme="minorEastAsia" w:hint="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3</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固定收益投资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其中：债券</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p>
        </w:tc>
        <w:tc>
          <w:tcPr>
            <w:tcW w:type="dxa" w:w="2682"/>
            <w:vAlign w:val="center"/>
          </w:tcPr>
          <w:p w:rsidP="007B5F21" w:rsidR="00BF0019" w:rsidRDefault="00BF0019" w:rsidRPr="007B5F21">
            <w:pPr>
              <w:autoSpaceDE w:val="0"/>
              <w:autoSpaceDN w:val="0"/>
              <w:adjustRightInd w:val="0"/>
              <w:spacing w:before="29" w:line="360" w:lineRule="auto"/>
              <w:ind w:firstLine="720" w:firstLineChars="300" w:left="17"/>
              <w:jc w:val="left"/>
              <w:rPr>
                <w:rFonts w:eastAsiaTheme="minorEastAsia"/>
                <w:color w:themeColor="text1" w:val="000000"/>
                <w:sz w:val="24"/>
                <w:szCs w:val="24"/>
              </w:rPr>
            </w:pPr>
            <w:r w:rsidRPr="007B5F21">
              <w:rPr>
                <w:rFonts w:eastAsiaTheme="minorEastAsia"/>
                <w:color w:themeColor="text1" w:val="000000"/>
                <w:sz w:val="24"/>
                <w:szCs w:val="24"/>
              </w:rPr>
              <w:t>资产支持证券</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4</w:t>
            </w:r>
          </w:p>
        </w:tc>
        <w:tc>
          <w:tcPr>
            <w:tcW w:type="dxa" w:w="2682"/>
            <w:vAlign w:val="center"/>
          </w:tcPr>
          <w:p w:rsidP="002D2971" w:rsidR="00BF0019" w:rsidRDefault="00BF0019" w:rsidRPr="007B5F21">
            <w:pPr>
              <w:spacing w:before="29" w:line="360" w:lineRule="auto"/>
              <w:ind w:left="105" w:leftChars="50"/>
              <w:rPr>
                <w:rFonts w:eastAsiaTheme="minorEastAsia"/>
                <w:color w:themeColor="text1" w:val="000000"/>
                <w:sz w:val="24"/>
                <w:szCs w:val="24"/>
              </w:rPr>
            </w:pPr>
            <w:r w:rsidRPr="007B5F21">
              <w:rPr>
                <w:rFonts w:eastAsiaTheme="minorEastAsia"/>
                <w:color w:themeColor="text1" w:val="000000"/>
                <w:sz w:val="24"/>
                <w:szCs w:val="24"/>
              </w:rPr>
              <w:t>贵金属投资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5</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金融衍生品投资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6</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买入返售金融资产</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
            </w:r>
            <w:r w:rsidRPr="007B5F21">
              <w:rPr>
                <w:rFonts w:eastAsiaTheme="minorEastAsia"/>
                <w:color w:themeColor="text1" w:val="000000"/>
                <w:sz w:val="24"/>
                <w:szCs w:val="24"/>
              </w:rPr>
              <w:lastRenderedPageBreak/>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lastRenderedPageBreak/>
              <w:t/>
            </w:r>
            <w:r w:rsidRPr="007B5F21">
              <w:rPr>
                <w:rFonts w:eastAsiaTheme="minorEastAsia"/>
                <w:color w:themeColor="text1" w:val="000000"/>
                <w:sz w:val="24"/>
                <w:szCs w:val="24"/>
              </w:rPr>
              <w:lastRenderedPageBreak/>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其中：买断式回购的买入返售金融资产</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7</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银行存款和结算备付金合计</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31,416,594.33</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7.47</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
            </w:r>
            <w:r w:rsidRPr="007B5F21">
              <w:rPr>
                <w:rFonts w:eastAsiaTheme="minorEastAsia" w:hint="eastAsia"/>
                <w:color w:themeColor="text1" w:val="000000"/>
                <w:sz w:val="24"/>
                <w:szCs w:val="24"/>
              </w:rPr>
              <w:t/>
            </w:r>
            <w:r w:rsidRPr="007B5F21">
              <w:rPr>
                <w:rFonts w:eastAsiaTheme="minorEastAsia"/>
                <w:color w:themeColor="text1" w:val="000000"/>
                <w:sz w:val="24"/>
                <w:szCs w:val="24"/>
              </w:rPr>
              <w:t>8</w:t>
            </w:r>
          </w:p>
        </w:tc>
        <w:tc>
          <w:tcPr>
            <w:tcW w:type="dxa" w:w="2682"/>
            <w:vAlign w:val="center"/>
          </w:tcPr>
          <w:p w:rsidP="002D2971" w:rsidR="00BF0019" w:rsidRDefault="00BF0019" w:rsidRPr="007B5F21">
            <w:pPr>
              <w:spacing w:line="360" w:lineRule="auto"/>
              <w:rPr>
                <w:rFonts w:eastAsiaTheme="minorEastAsia"/>
                <w:color w:themeColor="text1" w:val="000000"/>
                <w:sz w:val="24"/>
                <w:szCs w:val="24"/>
              </w:rPr>
            </w:pPr>
            <w:r w:rsidRPr="007B5F21">
              <w:rPr>
                <w:rFonts w:eastAsiaTheme="minorEastAsia"/>
                <w:color w:themeColor="text1" w:val="000000"/>
                <w:sz w:val="24"/>
                <w:szCs w:val="24"/>
              </w:rPr>
              <w:t>其他各项资产</w:t>
            </w:r>
          </w:p>
        </w:tc>
        <w:tc>
          <w:tcPr>
            <w:tcW w:type="dxa" w:w="2552"/>
            <w:vAlign w:val="center"/>
          </w:tcPr>
          <w:p w:rsidP="002D2971" w:rsidR="00BF0019" w:rsidRDefault="00BF0019" w:rsidRPr="007B5F21">
            <w:pPr>
              <w:spacing w:line="360" w:lineRule="auto"/>
              <w:jc w:val="right"/>
              <w:rPr>
                <w:rFonts w:eastAsiaTheme="minorEastAsia"/>
                <w:color w:themeColor="text1" w:val="000000"/>
                <w:sz w:val="24"/>
                <w:szCs w:val="24"/>
              </w:rPr>
            </w:pPr>
            <w:r w:rsidRPr="007B5F21">
              <w:rPr>
                <w:rFonts w:eastAsiaTheme="minorEastAsia"/>
                <w:color w:themeColor="text1" w:val="000000"/>
                <w:sz w:val="24"/>
                <w:szCs w:val="24"/>
              </w:rPr>
              <w:t>339,073.42</w:t>
            </w:r>
          </w:p>
        </w:tc>
        <w:tc>
          <w:tcPr>
            <w:tcW w:type="dxa" w:w="2943"/>
            <w:vAlign w:val="center"/>
          </w:tcPr>
          <w:p w:rsidP="002D2971" w:rsidR="00BF0019" w:rsidRDefault="00BF0019" w:rsidRPr="007B5F21">
            <w:pPr>
              <w:spacing w:line="360" w:lineRule="auto"/>
              <w:jc w:val="right"/>
              <w:rPr>
                <w:rFonts w:eastAsiaTheme="minorEastAsia"/>
                <w:color w:themeColor="text1" w:val="000000"/>
                <w:sz w:val="24"/>
                <w:szCs w:val="24"/>
              </w:rPr>
            </w:pPr>
            <w:r w:rsidRPr="007B5F21">
              <w:rPr>
                <w:rFonts w:eastAsiaTheme="minorEastAsia"/>
                <w:color w:themeColor="text1" w:val="000000"/>
                <w:sz w:val="24"/>
                <w:szCs w:val="24"/>
              </w:rPr>
              <w:t>0.08</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
            </w:r>
            <w:r w:rsidRPr="007B5F21">
              <w:rPr>
                <w:rFonts w:eastAsiaTheme="minorEastAsia" w:hint="eastAsia"/>
                <w:color w:themeColor="text1" w:val="000000"/>
                <w:sz w:val="24"/>
                <w:szCs w:val="24"/>
              </w:rPr>
              <w:t/>
            </w:r>
            <w:r w:rsidRPr="007B5F21">
              <w:rPr>
                <w:rFonts w:eastAsiaTheme="minorEastAsia"/>
                <w:color w:themeColor="text1" w:val="000000"/>
                <w:sz w:val="24"/>
                <w:szCs w:val="24"/>
              </w:rPr>
              <w:t>9</w:t>
            </w:r>
          </w:p>
        </w:tc>
        <w:tc>
          <w:tcPr>
            <w:tcW w:type="dxa" w:w="2682"/>
            <w:vAlign w:val="center"/>
          </w:tcPr>
          <w:p w:rsidP="002D2971" w:rsidR="00BF0019" w:rsidRDefault="00BF0019" w:rsidRPr="007B5F21">
            <w:pPr>
              <w:spacing w:line="360" w:lineRule="auto"/>
              <w:rPr>
                <w:rFonts w:eastAsiaTheme="minorEastAsia"/>
                <w:color w:themeColor="text1" w:val="000000"/>
                <w:sz w:val="24"/>
                <w:szCs w:val="24"/>
              </w:rPr>
            </w:pPr>
            <w:r w:rsidRPr="007B5F21">
              <w:rPr>
                <w:rFonts w:eastAsiaTheme="minorEastAsia"/>
                <w:color w:themeColor="text1" w:val="000000"/>
                <w:sz w:val="24"/>
                <w:szCs w:val="24"/>
              </w:rPr>
              <w:t>合计</w:t>
            </w:r>
          </w:p>
        </w:tc>
        <w:tc>
          <w:tcPr>
            <w:tcW w:type="dxa" w:w="2552"/>
            <w:vAlign w:val="center"/>
          </w:tcPr>
          <w:p w:rsidP="002D2971" w:rsidR="00BF0019" w:rsidRDefault="00BF0019" w:rsidRPr="007B5F21">
            <w:pPr>
              <w:spacing w:line="360" w:lineRule="auto"/>
              <w:jc w:val="right"/>
              <w:rPr>
                <w:rFonts w:eastAsiaTheme="minorEastAsia"/>
                <w:color w:themeColor="text1" w:val="000000"/>
                <w:sz w:val="24"/>
                <w:szCs w:val="24"/>
              </w:rPr>
            </w:pPr>
            <w:r w:rsidRPr="007B5F21">
              <w:rPr>
                <w:rFonts w:eastAsiaTheme="minorEastAsia"/>
                <w:color w:themeColor="text1" w:val="000000"/>
                <w:sz w:val="24"/>
                <w:szCs w:val="24"/>
              </w:rPr>
              <w:t>420,710,350.09</w:t>
            </w:r>
          </w:p>
        </w:tc>
        <w:tc>
          <w:tcPr>
            <w:tcW w:type="dxa" w:w="2943"/>
            <w:vAlign w:val="center"/>
          </w:tcPr>
          <w:p w:rsidP="002D2971" w:rsidR="00BF0019" w:rsidRDefault="00BF0019" w:rsidRPr="007B5F21">
            <w:pPr>
              <w:spacing w:line="360" w:lineRule="auto"/>
              <w:jc w:val="right"/>
              <w:rPr>
                <w:rFonts w:eastAsiaTheme="minorEastAsia"/>
                <w:color w:themeColor="text1" w:val="000000"/>
                <w:sz w:val="24"/>
                <w:szCs w:val="24"/>
              </w:rPr>
            </w:pPr>
            <w:r w:rsidRPr="007B5F21">
              <w:rPr>
                <w:rFonts w:eastAsiaTheme="minorEastAsia"/>
                <w:color w:themeColor="text1" w:val="000000"/>
                <w:sz w:val="24"/>
                <w:szCs w:val="24"/>
              </w:rPr>
              <w:t>100.00</w:t>
            </w:r>
          </w:p>
        </w:tc>
      </w:tr>
    </w:tbl>
    <w:p w:rsidP="00C15CAC" w:rsidR="004061AC" w:rsidRDefault="004061AC" w:rsidRPr="00414345">
      <w:pPr>
        <w:autoSpaceDE w:val="0"/>
        <w:autoSpaceDN w:val="0"/>
        <w:adjustRightInd w:val="0"/>
        <w:spacing w:before="29" w:line="288" w:lineRule="auto"/>
        <w:jc w:val="left"/>
        <w:rPr>
          <w:color w:val="000000"/>
          <w:sz w:val="24"/>
          <w:szCs w:val="24"/>
        </w:rPr>
      </w:pPr>
    </w:p>
    <w:p w:rsidP="00C15CAC" w:rsidR="004061AC" w:rsidRDefault="004061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5.2 </w:t>
      </w:r>
      <w:r w:rsidRPr="00414345">
        <w:rPr>
          <w:b/>
          <w:bCs/>
          <w:color w:val="000000"/>
          <w:kern w:val="0"/>
          <w:sz w:val="24"/>
          <w:szCs w:val="24"/>
        </w:rPr>
        <w:t>报告期末按行业分类的股票投资组合</w:t>
      </w:r>
    </w:p>
    <w:p w:rsidP="00F51C4E" w:rsidR="00F51C4E" w:rsidRDefault="00F51C4E">
      <w:pPr>
        <w:rPr>
          <w:rFonts w:eastAsiaTheme="minorEastAsia"/>
          <w:b/>
          <w:color w:themeColor="text1" w:val="000000"/>
          <w:kern w:val="0"/>
          <w:sz w:val="24"/>
        </w:rPr>
      </w:pPr>
      <w:r w:rsidRPr="004A3846">
        <w:rPr>
          <w:b/>
          <w:color w:themeColor="text1" w:val="000000"/>
          <w:sz w:val="24"/>
        </w:rPr>
        <w:t/>
      </w:r>
      <w:r w:rsidRPr="004A3846">
        <w:rPr>
          <w:rFonts w:eastAsiaTheme="minorEastAsia" w:hint="eastAsia"/>
          <w:b/>
          <w:color w:themeColor="text1" w:val="000000"/>
          <w:kern w:val="0"/>
          <w:sz w:val="24"/>
        </w:rPr>
        <w:t>5.2.1</w:t>
      </w:r>
      <w:r w:rsidRPr="004A3846">
        <w:rPr>
          <w:rFonts w:eastAsiaTheme="minorEastAsia" w:hint="eastAsia"/>
          <w:b/>
          <w:color w:themeColor="text1" w:val="000000"/>
          <w:kern w:val="0"/>
          <w:sz w:val="24"/>
        </w:rPr>
        <w:t>报告期末按行业分类的境内股票投资组合</w:t>
      </w:r>
    </w:p>
    <w:p w:rsidP="009C1009" w:rsidR="007B2639" w:rsidRDefault="009C1009" w:rsidRPr="007B2639">
      <w:pPr>
        <w:jc w:val="right"/>
        <w:rPr>
          <w:sz w:val="24"/>
        </w:rPr>
      </w:pPr>
      <w:r w:rsidRPr="009C1009">
        <w:rPr>
          <w:rFonts w:eastAsiaTheme="minorEastAsia" w:hint="eastAsia"/>
          <w:color w:themeColor="text1" w:val="000000"/>
          <w:kern w:val="0"/>
          <w:sz w:val="24"/>
        </w:rPr>
        <w:t/>
      </w:r>
      <w:r w:rsidRPr="009C1009">
        <w:rPr>
          <w:rFonts w:eastAsiaTheme="minorEastAsia" w:hint="eastAsia"/>
          <w:color w:themeColor="text1" w:val="000000"/>
          <w:kern w:val="0"/>
          <w:sz w:val="24"/>
        </w:rPr>
        <w:t>金额单位：人民币元</w:t>
      </w:r>
    </w:p>
    <w:tbl>
      <w:tblPr>
        <w:tblW w:type="dxa" w:w="8868"/>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1"/>
          <w:left w:type="dxa" w:w="0"/>
          <w:bottom w:type="dxa" w:w="-1"/>
          <w:right w:type="dxa" w:w="0"/>
        </w:tblCellMar>
        <w:tblLook w:firstColumn="0" w:firstRow="0" w:lastColumn="0" w:lastRow="0" w:noHBand="0" w:noVBand="0" w:val="0000"/>
      </w:tblPr>
      <w:tblGrid>
        <w:gridCol w:w="845"/>
        <w:gridCol w:w="3544"/>
        <w:gridCol w:w="2841"/>
        <w:gridCol w:w="1638"/>
      </w:tblGrid>
      <w:tr w:rsidR="00531F10" w:rsidRPr="00414345" w:rsidTr="006C2C1B">
        <w:trPr>
          <w:trHeight w:val="390"/>
          <w:jc w:val="center"/>
        </w:trPr>
        <w:tc>
          <w:tcPr>
            <w:tcW w:type="dxa" w:w="845"/>
            <w:tcBorders>
              <w:top w:color="000000" w:space="0" w:sz="4" w:val="single"/>
              <w:left w:color="000000"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代码</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行业类别</w:t>
            </w:r>
            <w:r w:rsidR="005E475E" w:rsidRPr="00414345">
              <w:rPr>
                <w:sz w:val="24"/>
                <w:szCs w:val="24"/>
              </w:rPr>
              <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B11F31" w:rsidRPr="00414345">
            <w:pPr>
              <w:adjustRightInd w:val="0"/>
              <w:snapToGrid w:val="0"/>
              <w:spacing w:before="29" w:line="288" w:lineRule="auto"/>
              <w:jc w:val="center"/>
              <w:rPr>
                <w:sz w:val="24"/>
                <w:szCs w:val="24"/>
              </w:rPr>
            </w:pPr>
            <w:r>
              <w:rPr>
                <w:sz w:val="24"/>
                <w:szCs w:val="24"/>
              </w:rPr>
              <w:t>公允价值</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占基金资产净值比例（％）</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lastRenderedPageBreak/>
              <w:t>A</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农、林、牧、渔业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autoSpaceDE w:val="0"/>
              <w:autoSpaceDN w:val="0"/>
              <w:adjustRightInd w:val="0"/>
              <w:spacing w:before="29" w:line="288" w:lineRule="auto"/>
              <w:ind w:left="15"/>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utoSpaceDE w:val="0"/>
              <w:autoSpaceDN w:val="0"/>
              <w:adjustRightInd w:val="0"/>
              <w:spacing w:before="29" w:line="288" w:lineRule="auto"/>
              <w:ind w:left="15"/>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B</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采矿业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1B4DD6"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1B4DD6"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C</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制造业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343,870,198.91</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82.87</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D</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电力、热力、燃气及水生产和供应业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E</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建筑业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F</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批发和零售业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19,147.31</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0.00</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G</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交通运输、仓储和邮政业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H</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住宿和餐饮业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
            </w:r>
            <w:r w:rsidRPr="00414345">
              <w:rPr>
                <w:sz w:val="24"/>
                <w:szCs w:val="24"/>
              </w:rPr>
              <w:lastRenderedPageBreak/>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lastRenderedPageBreak/>
              <w:t/>
            </w:r>
            <w:r w:rsidRPr="00414345">
              <w:rPr>
                <w:sz w:val="24"/>
                <w:szCs w:val="24"/>
              </w:rPr>
              <w:lastRenderedPageBreak/>
              <w:t>-</w:t>
            </w:r>
          </w:p>
        </w:tc>
      </w:tr>
      <w:tr w:rsidR="00531F10" w:rsidRPr="00414345" w:rsidTr="00DC28F1">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lastRenderedPageBreak/>
              <w:t>I</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DC28F1" w:rsidR="00531F10" w:rsidRDefault="00531F10" w:rsidRPr="00414345">
            <w:pPr>
              <w:adjustRightInd w:val="0"/>
              <w:snapToGrid w:val="0"/>
              <w:spacing w:before="29" w:line="288" w:lineRule="auto"/>
              <w:rPr>
                <w:sz w:val="24"/>
                <w:szCs w:val="24"/>
              </w:rPr>
            </w:pPr>
            <w:r w:rsidRPr="00414345">
              <w:rPr>
                <w:sz w:val="24"/>
                <w:szCs w:val="24"/>
              </w:rPr>
              <w:t>信息传输、软件和信息技术服务业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10,402,536.32</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2.51</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J</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金融业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K</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房地产业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6,786,772.50</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1.64</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L</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租赁和商务服务业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M</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科学研究和技术服务业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12,143,212.98</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2.93</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N</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水利、环境和公共设施管理业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545,772.32</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0.13</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lastRenderedPageBreak/>
              <w:t>O</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居民服务、修理和其他服务业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P</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教育</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Q</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卫生和社会工作</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15,187,042.00</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3.66</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R</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文化、体育和娱乐业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S</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综合</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合计</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388,954,682.34</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93.73</w:t>
            </w:r>
          </w:p>
        </w:tc>
      </w:tr>
    </w:tbl>
    <w:p w:rsidP="00F51C4E" w:rsidR="00F51C4E" w:rsidRDefault="00F51C4E" w:rsidRPr="008A409E">
      <w:pPr>
        <w:jc w:val="left"/>
        <w:rPr>
          <w:rFonts w:asciiTheme="minorEastAsia" w:eastAsiaTheme="minorEastAsia" w:hAnsiTheme="minorEastAsia"/>
          <w:b/>
          <w:bCs/>
          <w:color w:themeColor="text1" w:val="000000"/>
          <w:kern w:val="0"/>
          <w:sz w:val="24"/>
        </w:rPr>
      </w:pPr>
      <w:r w:rsidRPr="008A409E">
        <w:rPr>
          <w:rFonts w:asciiTheme="minorEastAsia" w:eastAsiaTheme="minorEastAsia" w:hAnsiTheme="minorEastAsia"/>
          <w:b/>
          <w:bCs/>
          <w:color w:themeColor="text1" w:val="000000"/>
          <w:kern w:val="0"/>
          <w:sz w:val="24"/>
        </w:rPr>
        <w:t/>
      </w:r>
      <w:r w:rsidRPr="008A409E">
        <w:rPr>
          <w:rFonts w:asciiTheme="minorEastAsia" w:eastAsiaTheme="minorEastAsia" w:hAnsiTheme="minorEastAsia" w:hint="eastAsia"/>
          <w:b/>
          <w:bCs/>
          <w:color w:themeColor="text1" w:val="000000"/>
          <w:kern w:val="0"/>
          <w:sz w:val="24"/>
        </w:rPr>
        <w:t>5.2.2报告期末按行业分类的</w:t>
      </w:r>
      <w:r w:rsidR="00EE49FE">
        <w:rPr>
          <w:rFonts w:asciiTheme="minorEastAsia" w:eastAsiaTheme="minorEastAsia" w:hAnsiTheme="minorEastAsia" w:hint="eastAsia"/>
          <w:b/>
          <w:bCs/>
          <w:color w:themeColor="text1" w:val="000000"/>
          <w:kern w:val="0"/>
          <w:sz w:val="24"/>
        </w:rPr>
        <w:t>港股通</w:t>
      </w:r>
      <w:r w:rsidRPr="008A409E">
        <w:rPr>
          <w:rFonts w:asciiTheme="minorEastAsia" w:eastAsiaTheme="minorEastAsia" w:hAnsiTheme="minorEastAsia" w:hint="eastAsia"/>
          <w:b/>
          <w:bCs/>
          <w:color w:themeColor="text1" w:val="000000"/>
          <w:kern w:val="0"/>
          <w:sz w:val="24"/>
        </w:rPr>
        <w:t>投资股票投资组合</w:t>
      </w:r>
    </w:p>
    <w:p w:rsidP="00F51C4E" w:rsidR="00F51C4E" w:rsidRDefault="00F51C4E">
      <w:pPr>
        <w:spacing w:before="29" w:line="360" w:lineRule="auto"/>
        <w:ind w:left="17"/>
        <w:rPr>
          <w:color w:val="000000"/>
          <w:sz w:val="24"/>
        </w:rPr>
      </w:pPr>
      <w:r w:rsidRPr="00FF0BBF">
        <w:rPr>
          <w:color w:val="000000"/>
          <w:sz w:val="24"/>
        </w:rPr>
        <w:t>本基金本报告期末未持有通过港股通投资的股票。</w:t>
      </w:r>
    </w:p>
    <w:p w:rsidP="00C15CAC" w:rsidR="004061AC" w:rsidRDefault="004061AC" w:rsidRPr="00F51C4E">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5.3 </w:t>
      </w:r>
      <w:r w:rsidRPr="00414345">
        <w:rPr>
          <w:b/>
          <w:bCs/>
          <w:color w:val="000000"/>
          <w:kern w:val="0"/>
          <w:sz w:val="24"/>
          <w:szCs w:val="24"/>
        </w:rPr>
        <w:t>报告期末按公允价值占基金资产净值比例大小排序的前十名股票投资明细</w:t>
      </w:r>
    </w:p>
    <w:tbl>
      <w:tblPr>
        <w:tblStyle w:val="af7"/>
        <w:tblW w:type="dxa" w:w="8868"/>
        <w:jc w:val="center"/>
        <w:tblLayout w:type="fixed"/>
        <w:tblCellMar>
          <w:top w:type="dxa" w:w="57"/>
          <w:bottom w:type="dxa" w:w="57"/>
        </w:tblCellMar>
        <w:tblLook w:firstColumn="1" w:firstRow="1" w:lastColumn="0" w:lastRow="0" w:noHBand="0" w:noVBand="1" w:val="04A0"/>
      </w:tblPr>
      <w:tblGrid>
        <w:gridCol w:w="855"/>
        <w:gridCol w:w="1334"/>
        <w:gridCol w:w="1777"/>
        <w:gridCol w:w="1334"/>
        <w:gridCol w:w="1924"/>
        <w:gridCol w:w="1644"/>
      </w:tblGrid>
      <w:tr w:rsidR="00AC592E" w:rsidRPr="00414345" w:rsidTr="00A324F4">
        <w:trPr>
          <w:jc w:val="center"/>
        </w:trPr>
        <w:tc>
          <w:tcPr>
            <w:tcW w:type="dxa" w:w="869"/>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序号</w:t>
            </w:r>
          </w:p>
        </w:tc>
        <w:tc>
          <w:tcPr>
            <w:tcW w:type="dxa" w:w="1357"/>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股票代码</w:t>
            </w:r>
          </w:p>
        </w:tc>
        <w:tc>
          <w:tcPr>
            <w:tcW w:type="dxa" w:w="1810"/>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股票名称</w:t>
            </w:r>
          </w:p>
        </w:tc>
        <w:tc>
          <w:tcPr>
            <w:tcW w:type="dxa" w:w="1357"/>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数量</w:t>
            </w:r>
            <w:r w:rsidR="00B47982" w:rsidRPr="00414345">
              <w:rPr>
                <w:color w:val="000000"/>
                <w:sz w:val="24"/>
              </w:rPr>
              <w:t>（股）</w:t>
            </w:r>
          </w:p>
        </w:tc>
        <w:tc>
          <w:tcPr>
            <w:tcW w:type="dxa" w:w="1960"/>
            <w:vAlign w:val="center"/>
          </w:tcPr>
          <w:p w:rsidP="00C15CAC" w:rsidR="00853140" w:rsidRDefault="00853140"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type="dxa" w:w="1674"/>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占基金资产净值比例</w:t>
            </w:r>
            <w:r w:rsidR="00B47982" w:rsidRPr="00414345">
              <w:rPr>
                <w:color w:val="000000"/>
                <w:sz w:val="24"/>
              </w:rPr>
              <w:t>（％）</w:t>
            </w:r>
          </w:p>
        </w:tc>
      </w:tr>
      <w:tr>
        <w:tc>
          <w:tcPr>
            <w:vAlign w:val="center"/>
          </w:tcPr>
          <w:p>
            <w:pPr>
              <w:jc w:val="center"/>
            </w:pPr>
            <w:r>
              <w:rPr>
                <w:color w:val="000000"/>
                <w:sz w:val="24"/>
                <w:szCs w:val="24"/>
              </w:rPr>
              <w:t>1</w:t>
            </w:r>
          </w:p>
        </w:tc>
        <w:tc>
          <w:tcPr>
            <w:vAlign w:val="center"/>
          </w:tcPr>
          <w:p>
            <w:pPr>
              <w:jc w:val="center"/>
            </w:pPr>
            <w:r>
              <w:rPr>
                <w:color w:val="000000"/>
                <w:sz w:val="24"/>
                <w:szCs w:val="24"/>
              </w:rPr>
              <w:t>600519</w:t>
            </w:r>
          </w:p>
        </w:tc>
        <w:tc>
          <w:tcPr>
            <w:vAlign w:val="center"/>
          </w:tcPr>
          <w:p>
            <w:pPr>
              <w:jc w:val="center"/>
            </w:pPr>
            <w:r>
              <w:rPr>
                <w:color w:val="000000"/>
                <w:sz w:val="24"/>
                <w:szCs w:val="24"/>
              </w:rPr>
              <w:t>贵州茅台</w:t>
            </w:r>
          </w:p>
        </w:tc>
        <w:tc>
          <w:tcPr>
            <w:vAlign w:val="center"/>
          </w:tcPr>
          <w:p>
            <w:pPr>
              <w:jc w:val="right"/>
            </w:pPr>
            <w:r>
              <w:rPr>
                <w:color w:val="000000"/>
                <w:sz w:val="24"/>
                <w:szCs w:val="24"/>
              </w:rPr>
              <w:t>37,031</w:t>
            </w:r>
          </w:p>
        </w:tc>
        <w:tc>
          <w:tcPr>
            <w:vAlign w:val="center"/>
          </w:tcPr>
          <w:p>
            <w:pPr>
              <w:jc w:val="right"/>
            </w:pPr>
            <w:r>
              <w:rPr>
                <w:color w:val="000000"/>
                <w:sz w:val="24"/>
                <w:szCs w:val="24"/>
              </w:rPr>
              <w:t>41,141,441.00</w:t>
            </w:r>
          </w:p>
        </w:tc>
        <w:tc>
          <w:tcPr>
            <w:vAlign w:val="center"/>
          </w:tcPr>
          <w:p>
            <w:pPr>
              <w:jc w:val="right"/>
            </w:pPr>
            <w:r>
              <w:rPr>
                <w:color w:val="000000"/>
                <w:sz w:val="24"/>
                <w:szCs w:val="24"/>
              </w:rPr>
              <w:t>9.91</w:t>
            </w:r>
          </w:p>
        </w:tc>
      </w:tr>
      <w:tr>
        <w:tc>
          <w:tcPr>
            <w:vAlign w:val="center"/>
          </w:tcPr>
          <w:p>
            <w:pPr>
              <w:jc w:val="center"/>
            </w:pPr>
            <w:r>
              <w:rPr>
                <w:color w:val="000000"/>
                <w:sz w:val="24"/>
                <w:szCs w:val="24"/>
              </w:rPr>
              <w:t>2</w:t>
            </w:r>
          </w:p>
        </w:tc>
        <w:tc>
          <w:tcPr>
            <w:vAlign w:val="center"/>
          </w:tcPr>
          <w:p>
            <w:pPr>
              <w:jc w:val="center"/>
            </w:pPr>
            <w:r>
              <w:rPr>
                <w:color w:val="000000"/>
                <w:sz w:val="24"/>
                <w:szCs w:val="24"/>
              </w:rPr>
              <w:t>000858</w:t>
            </w:r>
          </w:p>
        </w:tc>
        <w:tc>
          <w:tcPr>
            <w:vAlign w:val="center"/>
          </w:tcPr>
          <w:p>
            <w:pPr>
              <w:jc w:val="center"/>
            </w:pPr>
            <w:r>
              <w:rPr>
                <w:color w:val="000000"/>
                <w:sz w:val="24"/>
                <w:szCs w:val="24"/>
              </w:rPr>
              <w:t>五粮液</w:t>
            </w:r>
          </w:p>
        </w:tc>
        <w:tc>
          <w:tcPr>
            <w:vAlign w:val="center"/>
          </w:tcPr>
          <w:p>
            <w:pPr>
              <w:jc w:val="right"/>
            </w:pPr>
            <w:r>
              <w:rPr>
                <w:color w:val="000000"/>
                <w:sz w:val="24"/>
                <w:szCs w:val="24"/>
              </w:rPr>
              <w:t>348,089</w:t>
            </w:r>
          </w:p>
        </w:tc>
        <w:tc>
          <w:tcPr>
            <w:vAlign w:val="center"/>
          </w:tcPr>
          <w:p>
            <w:pPr>
              <w:jc w:val="right"/>
            </w:pPr>
            <w:r>
              <w:rPr>
                <w:color w:val="000000"/>
                <w:sz w:val="24"/>
                <w:szCs w:val="24"/>
              </w:rPr>
              <w:t>40,099,852.80</w:t>
            </w:r>
          </w:p>
        </w:tc>
        <w:tc>
          <w:tcPr>
            <w:vAlign w:val="center"/>
          </w:tcPr>
          <w:p>
            <w:pPr>
              <w:jc w:val="right"/>
            </w:pPr>
            <w:r>
              <w:rPr>
                <w:color w:val="000000"/>
                <w:sz w:val="24"/>
                <w:szCs w:val="24"/>
              </w:rPr>
              <w:t>9.66</w:t>
            </w:r>
          </w:p>
        </w:tc>
      </w:tr>
      <w:tr>
        <w:tc>
          <w:tcPr>
            <w:vAlign w:val="center"/>
          </w:tcPr>
          <w:p>
            <w:pPr>
              <w:jc w:val="center"/>
            </w:pPr>
            <w:r>
              <w:rPr>
                <w:color w:val="000000"/>
                <w:sz w:val="24"/>
                <w:szCs w:val="24"/>
              </w:rPr>
              <w:t>3</w:t>
            </w:r>
          </w:p>
        </w:tc>
        <w:tc>
          <w:tcPr>
            <w:vAlign w:val="center"/>
          </w:tcPr>
          <w:p>
            <w:pPr>
              <w:jc w:val="center"/>
            </w:pPr>
            <w:r>
              <w:rPr>
                <w:color w:val="000000"/>
                <w:sz w:val="24"/>
                <w:szCs w:val="24"/>
              </w:rPr>
              <w:t>603369</w:t>
            </w:r>
          </w:p>
        </w:tc>
        <w:tc>
          <w:tcPr>
            <w:vAlign w:val="center"/>
          </w:tcPr>
          <w:p>
            <w:pPr>
              <w:jc w:val="center"/>
            </w:pPr>
            <w:r>
              <w:rPr>
                <w:color w:val="000000"/>
                <w:sz w:val="24"/>
                <w:szCs w:val="24"/>
              </w:rPr>
              <w:t>今世缘</w:t>
            </w:r>
          </w:p>
        </w:tc>
        <w:tc>
          <w:tcPr>
            <w:vAlign w:val="center"/>
          </w:tcPr>
          <w:p>
            <w:pPr>
              <w:jc w:val="right"/>
            </w:pPr>
            <w:r>
              <w:rPr>
                <w:color w:val="000000"/>
                <w:sz w:val="24"/>
                <w:szCs w:val="24"/>
              </w:rPr>
              <w:t>1,325,782</w:t>
            </w:r>
          </w:p>
        </w:tc>
        <w:tc>
          <w:tcPr>
            <w:vAlign w:val="center"/>
          </w:tcPr>
          <w:p>
            <w:pPr>
              <w:jc w:val="right"/>
            </w:pPr>
            <w:r>
              <w:rPr>
                <w:color w:val="000000"/>
                <w:sz w:val="24"/>
                <w:szCs w:val="24"/>
              </w:rPr>
              <w:t>37,320,763.30</w:t>
            </w:r>
          </w:p>
        </w:tc>
        <w:tc>
          <w:tcPr>
            <w:vAlign w:val="center"/>
          </w:tcPr>
          <w:p>
            <w:pPr>
              <w:jc w:val="right"/>
            </w:pPr>
            <w:r>
              <w:rPr>
                <w:color w:val="000000"/>
                <w:sz w:val="24"/>
                <w:szCs w:val="24"/>
              </w:rPr>
              <w:t>8.99</w:t>
            </w:r>
          </w:p>
        </w:tc>
      </w:tr>
      <w:tr>
        <w:tc>
          <w:tcPr>
            <w:vAlign w:val="center"/>
          </w:tcPr>
          <w:p>
            <w:pPr>
              <w:jc w:val="center"/>
            </w:pPr>
            <w:r>
              <w:rPr>
                <w:color w:val="000000"/>
                <w:sz w:val="24"/>
                <w:szCs w:val="24"/>
              </w:rPr>
              <w:t>4</w:t>
            </w:r>
          </w:p>
        </w:tc>
        <w:tc>
          <w:tcPr>
            <w:vAlign w:val="center"/>
          </w:tcPr>
          <w:p>
            <w:pPr>
              <w:jc w:val="center"/>
            </w:pPr>
            <w:r>
              <w:rPr>
                <w:color w:val="000000"/>
                <w:sz w:val="24"/>
                <w:szCs w:val="24"/>
              </w:rPr>
              <w:t>300146</w:t>
            </w:r>
          </w:p>
        </w:tc>
        <w:tc>
          <w:tcPr>
            <w:vAlign w:val="center"/>
          </w:tcPr>
          <w:p>
            <w:pPr>
              <w:jc w:val="center"/>
            </w:pPr>
            <w:r>
              <w:rPr>
                <w:color w:val="000000"/>
                <w:sz w:val="24"/>
                <w:szCs w:val="24"/>
              </w:rPr>
              <w:t>汤臣倍健</w:t>
            </w:r>
          </w:p>
        </w:tc>
        <w:tc>
          <w:tcPr>
            <w:vAlign w:val="center"/>
          </w:tcPr>
          <w:p>
            <w:pPr>
              <w:jc w:val="right"/>
            </w:pPr>
            <w:r>
              <w:rPr>
                <w:color w:val="000000"/>
                <w:sz w:val="24"/>
                <w:szCs w:val="24"/>
              </w:rPr>
              <w:t>2,199,021</w:t>
            </w:r>
          </w:p>
        </w:tc>
        <w:tc>
          <w:tcPr>
            <w:vAlign w:val="center"/>
          </w:tcPr>
          <w:p>
            <w:pPr>
              <w:jc w:val="right"/>
            </w:pPr>
            <w:r>
              <w:rPr>
                <w:color w:val="000000"/>
                <w:sz w:val="24"/>
                <w:szCs w:val="24"/>
              </w:rPr>
              <w:t>36,921,562.59</w:t>
            </w:r>
          </w:p>
        </w:tc>
        <w:tc>
          <w:tcPr>
            <w:vAlign w:val="center"/>
          </w:tcPr>
          <w:p>
            <w:pPr>
              <w:jc w:val="right"/>
            </w:pPr>
            <w:r>
              <w:rPr>
                <w:color w:val="000000"/>
                <w:sz w:val="24"/>
                <w:szCs w:val="24"/>
              </w:rPr>
              <w:t>8.90</w:t>
            </w:r>
          </w:p>
        </w:tc>
      </w:tr>
      <w:tr>
        <w:tc>
          <w:tcPr>
            <w:vAlign w:val="center"/>
          </w:tcPr>
          <w:p>
            <w:pPr>
              <w:jc w:val="center"/>
            </w:pPr>
            <w:r>
              <w:rPr>
                <w:color w:val="000000"/>
                <w:sz w:val="24"/>
                <w:szCs w:val="24"/>
              </w:rPr>
              <w:t>5</w:t>
            </w:r>
          </w:p>
        </w:tc>
        <w:tc>
          <w:tcPr>
            <w:vAlign w:val="center"/>
          </w:tcPr>
          <w:p>
            <w:pPr>
              <w:jc w:val="center"/>
            </w:pPr>
            <w:r>
              <w:rPr>
                <w:color w:val="000000"/>
                <w:sz w:val="24"/>
                <w:szCs w:val="24"/>
              </w:rPr>
              <w:t>600132</w:t>
            </w:r>
          </w:p>
        </w:tc>
        <w:tc>
          <w:tcPr>
            <w:vAlign w:val="center"/>
          </w:tcPr>
          <w:p>
            <w:pPr>
              <w:jc w:val="center"/>
            </w:pPr>
            <w:r>
              <w:rPr>
                <w:color w:val="000000"/>
                <w:sz w:val="24"/>
                <w:szCs w:val="24"/>
              </w:rPr>
              <w:t>重庆啤酒</w:t>
            </w:r>
          </w:p>
        </w:tc>
        <w:tc>
          <w:tcPr>
            <w:vAlign w:val="center"/>
          </w:tcPr>
          <w:p>
            <w:pPr>
              <w:jc w:val="right"/>
            </w:pPr>
            <w:r>
              <w:rPr>
                <w:color w:val="000000"/>
                <w:sz w:val="24"/>
                <w:szCs w:val="24"/>
              </w:rPr>
              <w:t>810,139</w:t>
            </w:r>
          </w:p>
        </w:tc>
        <w:tc>
          <w:tcPr>
            <w:vAlign w:val="center"/>
          </w:tcPr>
          <w:p>
            <w:pPr>
              <w:jc w:val="right"/>
            </w:pPr>
            <w:r>
              <w:rPr>
                <w:color w:val="000000"/>
                <w:sz w:val="24"/>
                <w:szCs w:val="24"/>
              </w:rPr>
              <w:t>36,869,425.89</w:t>
            </w:r>
          </w:p>
        </w:tc>
        <w:tc>
          <w:tcPr>
            <w:vAlign w:val="center"/>
          </w:tcPr>
          <w:p>
            <w:pPr>
              <w:jc w:val="right"/>
            </w:pPr>
            <w:r>
              <w:rPr>
                <w:color w:val="000000"/>
                <w:sz w:val="24"/>
                <w:szCs w:val="24"/>
              </w:rPr>
              <w:t>8.89</w:t>
            </w:r>
          </w:p>
        </w:tc>
      </w:tr>
      <w:tr>
        <w:tc>
          <w:tcPr>
            <w:vAlign w:val="center"/>
          </w:tcPr>
          <w:p>
            <w:pPr>
              <w:jc w:val="center"/>
            </w:pPr>
            <w:r>
              <w:rPr>
                <w:color w:val="000000"/>
                <w:sz w:val="24"/>
                <w:szCs w:val="24"/>
              </w:rPr>
              <w:t>6</w:t>
            </w:r>
          </w:p>
        </w:tc>
        <w:tc>
          <w:tcPr>
            <w:vAlign w:val="center"/>
          </w:tcPr>
          <w:p>
            <w:pPr>
              <w:jc w:val="center"/>
            </w:pPr>
            <w:r>
              <w:rPr>
                <w:color w:val="000000"/>
                <w:sz w:val="24"/>
                <w:szCs w:val="24"/>
              </w:rPr>
              <w:t>002461</w:t>
            </w:r>
          </w:p>
        </w:tc>
        <w:tc>
          <w:tcPr>
            <w:vAlign w:val="center"/>
          </w:tcPr>
          <w:p>
            <w:pPr>
              <w:jc w:val="center"/>
            </w:pPr>
            <w:r>
              <w:rPr>
                <w:color w:val="000000"/>
                <w:sz w:val="24"/>
                <w:szCs w:val="24"/>
              </w:rPr>
              <w:t>珠江啤酒</w:t>
            </w:r>
          </w:p>
        </w:tc>
        <w:tc>
          <w:tcPr>
            <w:vAlign w:val="center"/>
          </w:tcPr>
          <w:p>
            <w:pPr>
              <w:jc w:val="right"/>
            </w:pPr>
            <w:r>
              <w:rPr>
                <w:color w:val="000000"/>
                <w:sz w:val="24"/>
                <w:szCs w:val="24"/>
              </w:rPr>
              <w:t>4,606,687</w:t>
            </w:r>
          </w:p>
        </w:tc>
        <w:tc>
          <w:tcPr>
            <w:vAlign w:val="center"/>
          </w:tcPr>
          <w:p>
            <w:pPr>
              <w:jc w:val="right"/>
            </w:pPr>
            <w:r>
              <w:rPr>
                <w:color w:val="000000"/>
                <w:sz w:val="24"/>
                <w:szCs w:val="24"/>
              </w:rPr>
              <w:t>31,970,407.78</w:t>
            </w:r>
          </w:p>
        </w:tc>
        <w:tc>
          <w:tcPr>
            <w:vAlign w:val="center"/>
          </w:tcPr>
          <w:p>
            <w:pPr>
              <w:jc w:val="right"/>
            </w:pPr>
            <w:r>
              <w:rPr>
                <w:color w:val="000000"/>
                <w:sz w:val="24"/>
                <w:szCs w:val="24"/>
              </w:rPr>
              <w:t>7.70</w:t>
            </w:r>
          </w:p>
        </w:tc>
      </w:tr>
      <w:tr>
        <w:tc>
          <w:tcPr>
            <w:vAlign w:val="center"/>
          </w:tcPr>
          <w:p>
            <w:pPr>
              <w:jc w:val="center"/>
            </w:pPr>
            <w:r>
              <w:rPr>
                <w:color w:val="000000"/>
                <w:sz w:val="24"/>
                <w:szCs w:val="24"/>
              </w:rPr>
              <w:t>7</w:t>
            </w:r>
          </w:p>
        </w:tc>
        <w:tc>
          <w:tcPr>
            <w:vAlign w:val="center"/>
          </w:tcPr>
          <w:p>
            <w:pPr>
              <w:jc w:val="center"/>
            </w:pPr>
            <w:r>
              <w:rPr>
                <w:color w:val="000000"/>
                <w:sz w:val="24"/>
                <w:szCs w:val="24"/>
              </w:rPr>
              <w:t>600529</w:t>
            </w:r>
          </w:p>
        </w:tc>
        <w:tc>
          <w:tcPr>
            <w:vAlign w:val="center"/>
          </w:tcPr>
          <w:p>
            <w:pPr>
              <w:jc w:val="center"/>
            </w:pPr>
            <w:r>
              <w:rPr>
                <w:color w:val="000000"/>
                <w:sz w:val="24"/>
                <w:szCs w:val="24"/>
              </w:rPr>
              <w:t>山东药玻</w:t>
            </w:r>
          </w:p>
        </w:tc>
        <w:tc>
          <w:tcPr>
            <w:vAlign w:val="center"/>
          </w:tcPr>
          <w:p>
            <w:pPr>
              <w:jc w:val="right"/>
            </w:pPr>
            <w:r>
              <w:rPr>
                <w:color w:val="000000"/>
                <w:sz w:val="24"/>
                <w:szCs w:val="24"/>
              </w:rPr>
              <w:t>625,800</w:t>
            </w:r>
          </w:p>
        </w:tc>
        <w:tc>
          <w:tcPr>
            <w:vAlign w:val="center"/>
          </w:tcPr>
          <w:p>
            <w:pPr>
              <w:jc w:val="right"/>
            </w:pPr>
            <w:r>
              <w:rPr>
                <w:color w:val="000000"/>
                <w:sz w:val="24"/>
                <w:szCs w:val="24"/>
              </w:rPr>
              <w:t>21,014,364.00</w:t>
            </w:r>
          </w:p>
        </w:tc>
        <w:tc>
          <w:tcPr>
            <w:vAlign w:val="center"/>
          </w:tcPr>
          <w:p>
            <w:pPr>
              <w:jc w:val="right"/>
            </w:pPr>
            <w:r>
              <w:rPr>
                <w:color w:val="000000"/>
                <w:sz w:val="24"/>
                <w:szCs w:val="24"/>
              </w:rPr>
              <w:t>5.06</w:t>
            </w:r>
          </w:p>
        </w:tc>
      </w:tr>
      <w:tr>
        <w:tc>
          <w:tcPr>
            <w:vAlign w:val="center"/>
          </w:tcPr>
          <w:p>
            <w:pPr>
              <w:jc w:val="center"/>
            </w:pPr>
            <w:r>
              <w:rPr>
                <w:color w:val="000000"/>
                <w:sz w:val="24"/>
                <w:szCs w:val="24"/>
              </w:rPr>
              <w:t>8</w:t>
            </w:r>
          </w:p>
        </w:tc>
        <w:tc>
          <w:tcPr>
            <w:vAlign w:val="center"/>
          </w:tcPr>
          <w:p>
            <w:pPr>
              <w:jc w:val="center"/>
            </w:pPr>
            <w:r>
              <w:rPr>
                <w:color w:val="000000"/>
                <w:sz w:val="24"/>
                <w:szCs w:val="24"/>
              </w:rPr>
              <w:t>600887</w:t>
            </w:r>
          </w:p>
        </w:tc>
        <w:tc>
          <w:tcPr>
            <w:vAlign w:val="center"/>
          </w:tcPr>
          <w:p>
            <w:pPr>
              <w:jc w:val="center"/>
            </w:pPr>
            <w:r>
              <w:rPr>
                <w:color w:val="000000"/>
                <w:sz w:val="24"/>
                <w:szCs w:val="24"/>
              </w:rPr>
              <w:t>伊利股份</w:t>
            </w:r>
          </w:p>
        </w:tc>
        <w:tc>
          <w:tcPr>
            <w:vAlign w:val="center"/>
          </w:tcPr>
          <w:p>
            <w:pPr>
              <w:jc w:val="right"/>
            </w:pPr>
            <w:r>
              <w:rPr>
                <w:color w:val="000000"/>
                <w:sz w:val="24"/>
                <w:szCs w:val="24"/>
              </w:rPr>
              <w:t>702,895</w:t>
            </w:r>
          </w:p>
        </w:tc>
        <w:tc>
          <w:tcPr>
            <w:vAlign w:val="center"/>
          </w:tcPr>
          <w:p>
            <w:pPr>
              <w:jc w:val="right"/>
            </w:pPr>
            <w:r>
              <w:rPr>
                <w:color w:val="000000"/>
                <w:sz w:val="24"/>
                <w:szCs w:val="24"/>
              </w:rPr>
              <w:t>20,988,444.70</w:t>
            </w:r>
          </w:p>
        </w:tc>
        <w:tc>
          <w:tcPr>
            <w:vAlign w:val="center"/>
          </w:tcPr>
          <w:p>
            <w:pPr>
              <w:jc w:val="right"/>
            </w:pPr>
            <w:r>
              <w:rPr>
                <w:color w:val="000000"/>
                <w:sz w:val="24"/>
                <w:szCs w:val="24"/>
              </w:rPr>
              <w:t>5.06</w:t>
            </w:r>
          </w:p>
        </w:tc>
      </w:tr>
      <w:tr>
        <w:tc>
          <w:tcPr>
            <w:vAlign w:val="center"/>
          </w:tcPr>
          <w:p>
            <w:pPr>
              <w:jc w:val="center"/>
            </w:pPr>
            <w:r>
              <w:rPr>
                <w:color w:val="000000"/>
                <w:sz w:val="24"/>
                <w:szCs w:val="24"/>
              </w:rPr>
              <w:t>9</w:t>
            </w:r>
          </w:p>
        </w:tc>
        <w:tc>
          <w:tcPr>
            <w:vAlign w:val="center"/>
          </w:tcPr>
          <w:p>
            <w:pPr>
              <w:jc w:val="center"/>
            </w:pPr>
            <w:r>
              <w:rPr>
                <w:color w:val="000000"/>
                <w:sz w:val="24"/>
                <w:szCs w:val="24"/>
              </w:rPr>
              <w:t>000651</w:t>
            </w:r>
          </w:p>
        </w:tc>
        <w:tc>
          <w:tcPr>
            <w:vAlign w:val="center"/>
          </w:tcPr>
          <w:p>
            <w:pPr>
              <w:jc w:val="center"/>
            </w:pPr>
            <w:r>
              <w:rPr>
                <w:color w:val="000000"/>
                <w:sz w:val="24"/>
                <w:szCs w:val="24"/>
              </w:rPr>
              <w:t>格力电器</w:t>
            </w:r>
          </w:p>
        </w:tc>
        <w:tc>
          <w:tcPr>
            <w:vAlign w:val="center"/>
          </w:tcPr>
          <w:p>
            <w:pPr>
              <w:jc w:val="right"/>
            </w:pPr>
            <w:r>
              <w:rPr>
                <w:color w:val="000000"/>
                <w:sz w:val="24"/>
                <w:szCs w:val="24"/>
              </w:rPr>
              <w:t>388,427</w:t>
            </w:r>
          </w:p>
        </w:tc>
        <w:tc>
          <w:tcPr>
            <w:vAlign w:val="center"/>
          </w:tcPr>
          <w:p>
            <w:pPr>
              <w:jc w:val="right"/>
            </w:pPr>
            <w:r>
              <w:rPr>
                <w:color w:val="000000"/>
                <w:sz w:val="24"/>
                <w:szCs w:val="24"/>
              </w:rPr>
              <w:t>20,275,889.40</w:t>
            </w:r>
          </w:p>
        </w:tc>
        <w:tc>
          <w:tcPr>
            <w:vAlign w:val="center"/>
          </w:tcPr>
          <w:p>
            <w:pPr>
              <w:jc w:val="right"/>
            </w:pPr>
            <w:r>
              <w:rPr>
                <w:color w:val="000000"/>
                <w:sz w:val="24"/>
                <w:szCs w:val="24"/>
              </w:rPr>
              <w:t>4.89</w:t>
            </w:r>
          </w:p>
        </w:tc>
      </w:tr>
      <w:tr>
        <w:tc>
          <w:tcPr>
            <w:vAlign w:val="center"/>
          </w:tcPr>
          <w:p>
            <w:pPr>
              <w:jc w:val="center"/>
            </w:pPr>
            <w:r>
              <w:rPr>
                <w:color w:val="000000"/>
                <w:sz w:val="24"/>
                <w:szCs w:val="24"/>
              </w:rPr>
              <w:t>10</w:t>
            </w:r>
          </w:p>
        </w:tc>
        <w:tc>
          <w:tcPr>
            <w:vAlign w:val="center"/>
          </w:tcPr>
          <w:p>
            <w:pPr>
              <w:jc w:val="center"/>
            </w:pPr>
            <w:r>
              <w:rPr>
                <w:color w:val="000000"/>
                <w:sz w:val="24"/>
                <w:szCs w:val="24"/>
              </w:rPr>
              <w:t>603882</w:t>
            </w:r>
          </w:p>
        </w:tc>
        <w:tc>
          <w:tcPr>
            <w:vAlign w:val="center"/>
          </w:tcPr>
          <w:p>
            <w:pPr>
              <w:jc w:val="center"/>
            </w:pPr>
            <w:r>
              <w:rPr>
                <w:color w:val="000000"/>
                <w:sz w:val="24"/>
                <w:szCs w:val="24"/>
              </w:rPr>
              <w:t>金域医学</w:t>
            </w:r>
          </w:p>
        </w:tc>
        <w:tc>
          <w:tcPr>
            <w:vAlign w:val="center"/>
          </w:tcPr>
          <w:p>
            <w:pPr>
              <w:jc w:val="right"/>
            </w:pPr>
            <w:r>
              <w:rPr>
                <w:color w:val="000000"/>
                <w:sz w:val="24"/>
                <w:szCs w:val="24"/>
              </w:rPr>
              <w:t>269,800</w:t>
            </w:r>
          </w:p>
        </w:tc>
        <w:tc>
          <w:tcPr>
            <w:vAlign w:val="center"/>
          </w:tcPr>
          <w:p>
            <w:pPr>
              <w:jc w:val="right"/>
            </w:pPr>
            <w:r>
              <w:rPr>
                <w:color w:val="000000"/>
                <w:sz w:val="24"/>
                <w:szCs w:val="24"/>
              </w:rPr>
              <w:t>15,187,042.00</w:t>
            </w:r>
          </w:p>
        </w:tc>
        <w:tc>
          <w:tcPr>
            <w:vAlign w:val="center"/>
          </w:tcPr>
          <w:p>
            <w:pPr>
              <w:jc w:val="right"/>
            </w:pPr>
            <w:r>
              <w:rPr>
                <w:color w:val="000000"/>
                <w:sz w:val="24"/>
                <w:szCs w:val="24"/>
              </w:rPr>
              <w:t>3.66</w:t>
            </w:r>
          </w:p>
        </w:tc>
      </w:tr>
    </w:tbl>
    <w:p w:rsidP="00C15CAC" w:rsidR="004061AC" w:rsidRDefault="004061AC" w:rsidRPr="00414345">
      <w:pPr>
        <w:autoSpaceDE w:val="0"/>
        <w:autoSpaceDN w:val="0"/>
        <w:adjustRightInd w:val="0"/>
        <w:spacing w:before="29" w:line="288" w:lineRule="auto"/>
        <w:jc w:val="left"/>
        <w:rPr>
          <w:b/>
          <w:bCs/>
          <w:color w:val="000000"/>
          <w:kern w:val="0"/>
          <w:sz w:val="24"/>
          <w:szCs w:val="24"/>
        </w:rPr>
      </w:pPr>
    </w:p>
    <w:p w:rsidP="00C15CAC" w:rsidR="004061AC" w:rsidRDefault="004061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5.4 </w:t>
      </w:r>
      <w:r w:rsidRPr="00414345">
        <w:rPr>
          <w:b/>
          <w:bCs/>
          <w:color w:val="000000"/>
          <w:kern w:val="0"/>
          <w:sz w:val="24"/>
          <w:szCs w:val="24"/>
        </w:rPr>
        <w:t>报告期末按债券品种分类的债券投资组合</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本基金本报告期末未持有债券。</w:t>
      </w:r>
    </w:p>
    <w:p w:rsidP="00C15CAC" w:rsidR="004061AC" w:rsidRDefault="004061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5.5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的前五名债券投资明细</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本基金本报告期末未持有债券。</w:t>
      </w:r>
    </w:p>
    <w:p w:rsidP="00C15CAC" w:rsidR="004061AC" w:rsidRDefault="004061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5.6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的前十名资产支持证券投资明细</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本基金本报告期末未持有资产支持证券。</w:t>
      </w:r>
    </w:p>
    <w:p w:rsidP="00C15CAC" w:rsidR="00A54C7D" w:rsidRDefault="00A54C7D" w:rsidRPr="00414345">
      <w:pPr>
        <w:autoSpaceDE w:val="0"/>
        <w:autoSpaceDN w:val="0"/>
        <w:adjustRightInd w:val="0"/>
        <w:spacing w:before="29" w:line="288" w:lineRule="auto"/>
        <w:jc w:val="left"/>
        <w:rPr>
          <w:color w:val="000000"/>
          <w:kern w:val="0"/>
          <w:sz w:val="24"/>
          <w:szCs w:val="24"/>
        </w:rPr>
      </w:pPr>
      <w:r w:rsidRPr="00414345">
        <w:rPr>
          <w:b/>
          <w:bCs/>
          <w:color w:val="000000"/>
          <w:kern w:val="0"/>
          <w:sz w:val="24"/>
          <w:szCs w:val="24"/>
        </w:rPr>
        <w:t>5.7</w:t>
      </w:r>
      <w:r w:rsidRPr="00414345">
        <w:rPr>
          <w:rFonts w:hAnsi="宋体"/>
          <w:b/>
          <w:bCs/>
          <w:color w:val="000000"/>
          <w:kern w:val="0"/>
          <w:sz w:val="24"/>
          <w:szCs w:val="24"/>
        </w:rPr>
        <w:t>报告期末按公允价值占基金资产净值比例大小排序的前五名贵金属投资明细</w:t>
      </w:r>
    </w:p>
    <w:p w:rsidP="00C15CAC" w:rsidR="00632B0F" w:rsidRDefault="00632B0F" w:rsidRPr="00414345">
      <w:pPr>
        <w:widowControl/>
        <w:spacing w:line="288" w:lineRule="auto"/>
        <w:jc w:val="left"/>
        <w:rPr>
          <w:sz w:val="24"/>
          <w:szCs w:val="24"/>
        </w:rPr>
      </w:pPr>
      <w:r w:rsidRPr="00414345">
        <w:rPr>
          <w:sz w:val="24"/>
          <w:szCs w:val="24"/>
        </w:rPr>
        <w:t>本基金本报告期末未持有贵金属。</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A917BF"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336EAF" w:rsidRPr="00414345">
        <w:rPr>
          <w:b/>
          <w:bCs/>
          <w:color w:val="000000"/>
          <w:kern w:val="0"/>
          <w:sz w:val="24"/>
          <w:szCs w:val="24"/>
        </w:rPr>
        <w:t/>
      </w:r>
      <w:r w:rsidRPr="00414345">
        <w:rPr>
          <w:b/>
          <w:bCs/>
          <w:color w:val="000000"/>
          <w:kern w:val="0"/>
          <w:sz w:val="24"/>
          <w:szCs w:val="24"/>
        </w:rPr>
        <w:t>8</w:t>
      </w:r>
      <w:r w:rsidR="004061AC"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004061AC" w:rsidRPr="00414345">
        <w:rPr>
          <w:b/>
          <w:bCs/>
          <w:color w:val="000000"/>
          <w:kern w:val="0"/>
          <w:sz w:val="24"/>
          <w:szCs w:val="24"/>
        </w:rPr>
        <w:t>的前五名权证投资明细</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
      </w:r>
      <w:r w:rsidR="00315D5D" w:rsidRPr="00414345">
        <w:rPr>
          <w:color w:val="000000"/>
          <w:sz w:val="24"/>
          <w:szCs w:val="24"/>
        </w:rPr>
        <w:t/>
      </w:r>
      <w:r w:rsidR="004061AC" w:rsidRPr="00414345">
        <w:rPr>
          <w:color w:val="000000"/>
          <w:sz w:val="24"/>
          <w:szCs w:val="24"/>
        </w:rPr>
        <w:t>本基金本报告期末未持有权证。</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275745" w:rsidRDefault="00CD5707"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r w:rsidR="00A83500" w:rsidRPr="00414345">
        <w:rPr>
          <w:b/>
          <w:bCs/>
          <w:color w:val="000000"/>
          <w:kern w:val="0"/>
          <w:sz w:val="24"/>
          <w:szCs w:val="24"/>
        </w:rPr>
        <w:t/>
      </w:r>
      <w:r w:rsidR="003259C8" w:rsidRPr="00414345">
        <w:rPr>
          <w:b/>
          <w:bCs/>
          <w:color w:val="000000"/>
          <w:kern w:val="0"/>
          <w:sz w:val="24"/>
          <w:szCs w:val="24"/>
        </w:rPr>
        <w:t>5</w:t>
      </w:r>
      <w:r w:rsidR="00A917BF" w:rsidRPr="00414345">
        <w:rPr>
          <w:b/>
          <w:bCs/>
          <w:color w:val="000000"/>
          <w:kern w:val="0"/>
          <w:sz w:val="24"/>
          <w:szCs w:val="24"/>
        </w:rPr>
        <w:t>.</w:t>
      </w:r>
      <w:r w:rsidR="0059076B" w:rsidRPr="00414345">
        <w:rPr>
          <w:b/>
          <w:bCs/>
          <w:color w:val="000000"/>
          <w:kern w:val="0"/>
          <w:sz w:val="24"/>
          <w:szCs w:val="24"/>
        </w:rPr>
        <w:t>9</w:t>
      </w:r>
      <w:r w:rsidR="00275745" w:rsidRPr="00414345">
        <w:rPr>
          <w:b/>
          <w:bCs/>
          <w:color w:val="000000"/>
          <w:kern w:val="0"/>
          <w:sz w:val="24"/>
          <w:szCs w:val="24"/>
        </w:rPr>
        <w:t>报告期末本基金投资的股指期货交易情况说明</w:t>
      </w:r>
    </w:p>
    <w:p w:rsidP="00C15CAC" w:rsidR="00275745" w:rsidRDefault="00AA3A38" w:rsidRPr="00414345">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本基金本报告期末未持有股指期货。</w:t>
      </w:r>
    </w:p>
    <w:p w:rsidP="00C15CAC" w:rsidR="00AA3A38" w:rsidRDefault="00AA3A38" w:rsidRPr="00414345">
      <w:pPr>
        <w:adjustRightInd w:val="0"/>
        <w:snapToGrid w:val="0"/>
        <w:spacing w:before="29" w:line="288" w:lineRule="auto"/>
        <w:rPr>
          <w:sz w:val="24"/>
          <w:szCs w:val="24"/>
        </w:rPr>
      </w:pPr>
    </w:p>
    <w:p w:rsidP="00C15CAC" w:rsidR="00A669FC" w:rsidRDefault="00312A9F"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5.10</w:t>
      </w:r>
      <w:r w:rsidRPr="00414345">
        <w:rPr>
          <w:b/>
          <w:bCs/>
          <w:color w:val="000000"/>
          <w:kern w:val="0"/>
          <w:sz w:val="24"/>
          <w:szCs w:val="24"/>
        </w:rPr>
        <w:t>报告期末本基金投资的国债期货交易情况说明</w:t>
      </w:r>
    </w:p>
    <w:p w:rsidP="00C15CAC" w:rsidR="00312A9F" w:rsidRDefault="00312A9F" w:rsidRPr="00414345">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本基金本报告期末未持有国债期货。</w:t>
      </w:r>
    </w:p>
    <w:p w:rsidP="00C15CAC" w:rsidR="00426096" w:rsidRDefault="00426096" w:rsidRPr="00414345">
      <w:pPr>
        <w:autoSpaceDE w:val="0"/>
        <w:autoSpaceDN w:val="0"/>
        <w:adjustRightInd w:val="0"/>
        <w:spacing w:before="29" w:line="288" w:lineRule="auto"/>
        <w:jc w:val="left"/>
        <w:rPr>
          <w:color w:val="000000"/>
          <w:sz w:val="24"/>
          <w:szCs w:val="24"/>
        </w:rPr>
      </w:pPr>
    </w:p>
    <w:p w:rsidP="00C15CAC" w:rsidR="004061AC" w:rsidRDefault="003259C8"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275745" w:rsidRPr="00414345">
        <w:rPr>
          <w:b/>
          <w:bCs/>
          <w:color w:val="000000"/>
          <w:kern w:val="0"/>
          <w:sz w:val="24"/>
          <w:szCs w:val="24"/>
        </w:rPr>
        <w:t>.</w:t>
      </w:r>
      <w:r w:rsidR="0059076B" w:rsidRPr="00414345">
        <w:rPr>
          <w:b/>
          <w:bCs/>
          <w:color w:val="000000"/>
          <w:kern w:val="0"/>
          <w:sz w:val="24"/>
          <w:szCs w:val="24"/>
        </w:rPr>
        <w:t>11</w:t>
      </w:r>
      <w:r w:rsidR="004061AC" w:rsidRPr="00414345">
        <w:rPr>
          <w:b/>
          <w:bCs/>
          <w:color w:val="000000"/>
          <w:kern w:val="0"/>
          <w:sz w:val="24"/>
          <w:szCs w:val="24"/>
        </w:rPr>
        <w:t>投资组合报告附注</w:t>
      </w:r>
    </w:p>
    <w:p w:rsidP="00E40D31" w:rsidR="00BE5388" w:rsidRDefault="00BE5388" w:rsidRPr="00B34FB5">
      <w:pPr>
        <w:autoSpaceDE w:val="0"/>
        <w:autoSpaceDN w:val="0"/>
        <w:adjustRightInd w:val="0"/>
        <w:spacing w:before="29" w:line="288" w:lineRule="auto"/>
        <w:jc w:val="left"/>
        <w:rPr>
          <w:b/>
          <w:bCs/>
          <w:color w:val="000000"/>
          <w:kern w:val="0"/>
          <w:sz w:val="24"/>
          <w:szCs w:val="24"/>
        </w:rPr>
      </w:pPr>
      <w:r w:rsidRPr="00B34FB5">
        <w:rPr>
          <w:b/>
          <w:bCs/>
          <w:color w:val="000000"/>
          <w:kern w:val="0"/>
          <w:sz w:val="24"/>
          <w:szCs w:val="24"/>
        </w:rPr>
        <w:t>5.11.1</w:t>
      </w:r>
      <w:r w:rsidRPr="00AA3969">
        <w:rPr>
          <w:bCs/>
          <w:color w:val="000000"/>
          <w:kern w:val="0"/>
          <w:sz w:val="24"/>
          <w:szCs w:val="24"/>
        </w:rPr>
        <w:t>报告期内本基金投资的前十名证券的发行主体未被监管部门立案调查，在本报告编制日前一年内本基金投资的前十名证券的发行主体未受到公开谴责和处罚。</w:t>
      </w:r>
    </w:p>
    <w:p w:rsidP="00E40D31" w:rsidR="00BE5388" w:rsidRDefault="00BE5388" w:rsidRPr="00AA3969">
      <w:pPr>
        <w:autoSpaceDE w:val="0"/>
        <w:autoSpaceDN w:val="0"/>
        <w:adjustRightInd w:val="0"/>
        <w:spacing w:before="29" w:line="288" w:lineRule="auto"/>
        <w:jc w:val="left"/>
        <w:rPr>
          <w:bCs/>
          <w:color w:val="000000"/>
          <w:kern w:val="0"/>
          <w:sz w:val="24"/>
          <w:szCs w:val="24"/>
        </w:rPr>
      </w:pPr>
      <w:r w:rsidRPr="00B34FB5">
        <w:rPr>
          <w:b/>
          <w:bCs/>
          <w:color w:val="000000"/>
          <w:kern w:val="0"/>
          <w:sz w:val="24"/>
          <w:szCs w:val="24"/>
        </w:rPr>
        <w:t>5.11.2</w:t>
      </w:r>
      <w:bookmarkStart w:id="2" w:name="_GoBack"/>
      <w:r w:rsidRPr="00AA3969">
        <w:rPr>
          <w:bCs/>
          <w:color w:val="000000"/>
          <w:kern w:val="0"/>
          <w:sz w:val="24"/>
          <w:szCs w:val="24"/>
        </w:rPr>
        <w:t>本基金投资的前十名股票中，没有超出基金合同规定的备选股票库之外的股票。</w:t>
      </w:r>
    </w:p>
    <w:bookmarkEnd w:id="2"/>
    <w:p w:rsidP="00C15CAC" w:rsidR="004061AC" w:rsidRDefault="003259C8" w:rsidRPr="006B0D08">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275745" w:rsidRPr="006B0D08">
        <w:rPr>
          <w:b/>
          <w:bCs/>
          <w:color w:val="000000"/>
          <w:kern w:val="0"/>
          <w:sz w:val="24"/>
          <w:szCs w:val="24"/>
        </w:rPr>
        <w:t>.</w:t>
      </w:r>
      <w:r w:rsidR="0059076B" w:rsidRPr="006B0D08">
        <w:rPr>
          <w:b/>
          <w:bCs/>
          <w:color w:val="000000"/>
          <w:kern w:val="0"/>
          <w:sz w:val="24"/>
          <w:szCs w:val="24"/>
        </w:rPr>
        <w:t>11.3</w:t>
      </w:r>
      <w:r w:rsidR="0035383E" w:rsidRPr="006B0D08">
        <w:rPr>
          <w:b/>
          <w:bCs/>
          <w:color w:val="000000"/>
          <w:kern w:val="0"/>
          <w:sz w:val="24"/>
          <w:szCs w:val="24"/>
        </w:rPr>
        <w:t>其他</w:t>
      </w:r>
      <w:r w:rsidR="004061AC" w:rsidRPr="006B0D08">
        <w:rPr>
          <w:b/>
          <w:bCs/>
          <w:color w:val="000000"/>
          <w:kern w:val="0"/>
          <w:sz w:val="24"/>
          <w:szCs w:val="24"/>
        </w:rPr>
        <w:t>资产构成</w:t>
      </w:r>
    </w:p>
    <w:p w:rsidP="00DD7A00" w:rsidR="00DD7A00" w:rsidRDefault="004A0AA9" w:rsidRPr="00414345">
      <w:pPr>
        <w:autoSpaceDE w:val="0"/>
        <w:autoSpaceDN w:val="0"/>
        <w:adjustRightInd w:val="0"/>
        <w:spacing w:before="29" w:line="288" w:lineRule="auto"/>
        <w:jc w:val="right"/>
        <w:rPr>
          <w:bCs/>
          <w:color w:val="000000"/>
          <w:kern w:val="0"/>
          <w:sz w:val="24"/>
          <w:szCs w:val="24"/>
        </w:rPr>
      </w:pPr>
      <w:r w:rsidRPr="004A0AA9">
        <w:rPr>
          <w:rFonts w:hint="eastAsia"/>
          <w:bCs/>
          <w:color w:val="000000"/>
          <w:kern w:val="0"/>
          <w:sz w:val="24"/>
          <w:szCs w:val="24"/>
        </w:rPr>
        <w:t/>
      </w:r>
      <w:r w:rsidRPr="004A0AA9">
        <w:rPr>
          <w:rFonts w:hint="eastAsia"/>
          <w:bCs/>
          <w:color w:val="000000"/>
          <w:kern w:val="0"/>
          <w:sz w:val="24"/>
          <w:szCs w:val="24"/>
        </w:rPr>
        <w:t>金额单位：人民币元</w:t>
      </w:r>
    </w:p>
    <w:tbl>
      <w:tblPr>
        <w:tblStyle w:val="af7"/>
        <w:tblpPr w:horzAnchor="margin" w:leftFromText="180" w:rightFromText="180" w:tblpXSpec="center" w:tblpY="265" w:vertAnchor="text"/>
        <w:tblW w:type="dxa" w:w="8868"/>
        <w:jc w:val="center"/>
        <w:tblLayout w:type="fixed"/>
        <w:tblCellMar>
          <w:top w:type="dxa" w:w="-1"/>
          <w:bottom w:type="dxa" w:w="-1"/>
        </w:tblCellMar>
        <w:tblLook w:firstColumn="1" w:firstRow="1" w:lastColumn="0" w:lastRow="0" w:noHBand="0" w:noVBand="1" w:val="04A0"/>
      </w:tblPr>
      <w:tblGrid>
        <w:gridCol w:w="1287"/>
        <w:gridCol w:w="2573"/>
        <w:gridCol w:w="5008"/>
      </w:tblGrid>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序号</w:t>
            </w:r>
          </w:p>
        </w:tc>
        <w:tc>
          <w:tcPr>
            <w:tcW w:type="dxa" w:w="2470"/>
            <w:vAlign w:val="center"/>
          </w:tcPr>
          <w:p w:rsidP="00C15CAC" w:rsidR="004C0914" w:rsidRDefault="004C0914"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名称</w:t>
            </w:r>
          </w:p>
        </w:tc>
        <w:tc>
          <w:tcPr>
            <w:tcW w:type="dxa" w:w="4808"/>
            <w:vAlign w:val="center"/>
          </w:tcPr>
          <w:p w:rsidP="00C15CAC" w:rsidR="004C0914" w:rsidRDefault="004C0914"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金额</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1</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存出保证金</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259,258.03</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lastRenderedPageBreak/>
              <w:t>2</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应收证券清算款</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3</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应收股利</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4</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应收利息</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5,845.62</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5</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应收申购款</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73,969.77</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6</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其他应收款</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7</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待摊费用</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8</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其他</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9</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合计</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339,073.42</w:t>
            </w:r>
          </w:p>
        </w:tc>
      </w:tr>
    </w:tbl>
    <w:p w:rsidP="00C15CAC" w:rsidR="002918E3" w:rsidRDefault="002918E3" w:rsidRPr="00414345">
      <w:pPr>
        <w:autoSpaceDE w:val="0"/>
        <w:autoSpaceDN w:val="0"/>
        <w:adjustRightInd w:val="0"/>
        <w:spacing w:before="29" w:line="288" w:lineRule="auto"/>
        <w:rPr>
          <w:color w:val="000000"/>
          <w:sz w:val="24"/>
          <w:szCs w:val="24"/>
        </w:rPr>
      </w:pPr>
    </w:p>
    <w:p w:rsidP="00C15CAC" w:rsidR="004061AC" w:rsidRDefault="003259C8" w:rsidRPr="006B0D08">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275745" w:rsidRPr="006B0D08">
        <w:rPr>
          <w:b/>
          <w:bCs/>
          <w:color w:val="000000"/>
          <w:kern w:val="0"/>
          <w:sz w:val="24"/>
          <w:szCs w:val="24"/>
        </w:rPr>
        <w:t>.</w:t>
      </w:r>
      <w:r w:rsidR="0059076B" w:rsidRPr="006B0D08">
        <w:rPr>
          <w:b/>
          <w:bCs/>
          <w:color w:val="000000"/>
          <w:kern w:val="0"/>
          <w:sz w:val="24"/>
          <w:szCs w:val="24"/>
        </w:rPr>
        <w:t>11.4</w:t>
      </w:r>
      <w:r w:rsidR="004061AC" w:rsidRPr="006B0D08">
        <w:rPr>
          <w:b/>
          <w:bCs/>
          <w:color w:val="000000"/>
          <w:kern w:val="0"/>
          <w:sz w:val="24"/>
          <w:szCs w:val="24"/>
        </w:rPr>
        <w:t>报告期末持有的处于转股期的可转换债券明细</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本基金本报告期末未持有处于转股期的可转换债券。</w:t>
      </w:r>
    </w:p>
    <w:p w:rsidP="00C15CAC" w:rsidR="004061AC" w:rsidRDefault="003259C8" w:rsidRPr="006B0D08">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4061AC" w:rsidRPr="006B0D08">
        <w:rPr>
          <w:b/>
          <w:bCs/>
          <w:color w:val="000000"/>
          <w:kern w:val="0"/>
          <w:sz w:val="24"/>
          <w:szCs w:val="24"/>
        </w:rPr>
        <w:t>.</w:t>
      </w:r>
      <w:r w:rsidR="0059076B" w:rsidRPr="006B0D08">
        <w:rPr>
          <w:b/>
          <w:bCs/>
          <w:color w:val="000000"/>
          <w:kern w:val="0"/>
          <w:sz w:val="24"/>
          <w:szCs w:val="24"/>
        </w:rPr>
        <w:t>11.5</w:t>
      </w:r>
      <w:r w:rsidR="004061AC" w:rsidRPr="006B0D08">
        <w:rPr>
          <w:b/>
          <w:bCs/>
          <w:color w:val="000000"/>
          <w:kern w:val="0"/>
          <w:sz w:val="24"/>
          <w:szCs w:val="24"/>
        </w:rPr>
        <w:t>报告期末前十名股票中存在流通受限情况的说明</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lastRenderedPageBreak/>
        <w:t/>
      </w:r>
      <w:r w:rsidR="004061AC" w:rsidRPr="00414345">
        <w:rPr>
          <w:color w:val="000000"/>
          <w:sz w:val="24"/>
          <w:szCs w:val="24"/>
        </w:rPr>
        <w:t/>
      </w:r>
      <w:r w:rsidR="008E326D" w:rsidRPr="00414345">
        <w:rPr>
          <w:color w:val="000000"/>
          <w:sz w:val="24"/>
          <w:szCs w:val="24"/>
        </w:rPr>
        <w:t/>
      </w:r>
      <w:r w:rsidR="004061AC" w:rsidRPr="00414345">
        <w:rPr>
          <w:color w:val="000000"/>
          <w:sz w:val="24"/>
          <w:szCs w:val="24"/>
        </w:rPr>
        <w:t>本基金本报告期末前十名股票中不存在流通受限情况。</w:t>
      </w:r>
    </w:p>
    <w:p w:rsidP="00C15CAC" w:rsidR="004061AC" w:rsidRDefault="00D02347" w:rsidRPr="006B0D08">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
      </w:r>
      <w:r w:rsidR="003259C8" w:rsidRPr="006B0D08">
        <w:rPr>
          <w:b/>
          <w:bCs/>
          <w:color w:val="000000"/>
          <w:kern w:val="0"/>
          <w:sz w:val="24"/>
          <w:szCs w:val="24"/>
        </w:rPr>
        <w:t>5</w:t>
      </w:r>
      <w:r w:rsidR="004061AC" w:rsidRPr="006B0D08">
        <w:rPr>
          <w:b/>
          <w:bCs/>
          <w:color w:val="000000"/>
          <w:kern w:val="0"/>
          <w:sz w:val="24"/>
          <w:szCs w:val="24"/>
        </w:rPr>
        <w:t>.</w:t>
      </w:r>
      <w:r w:rsidR="0059076B" w:rsidRPr="006B0D08">
        <w:rPr>
          <w:b/>
          <w:bCs/>
          <w:color w:val="000000"/>
          <w:kern w:val="0"/>
          <w:sz w:val="24"/>
          <w:szCs w:val="24"/>
        </w:rPr>
        <w:t>11.6</w:t>
      </w:r>
      <w:r w:rsidR="001675CD" w:rsidRPr="006B0D08">
        <w:rPr>
          <w:b/>
          <w:bCs/>
          <w:color w:val="000000"/>
          <w:kern w:val="0"/>
          <w:sz w:val="24"/>
          <w:szCs w:val="24"/>
        </w:rPr>
        <w:t>投资组合报告附注的其他文字描述部分</w:t>
      </w:r>
    </w:p>
    <w:p w:rsidP="00E40D31" w:rsidR="006B2FF6" w:rsidRDefault="004061AC" w:rsidRPr="00414345">
      <w:pPr>
        <w:spacing w:before="29" w:line="288" w:lineRule="auto"/>
        <w:rPr>
          <w:color w:val="000000"/>
          <w:sz w:val="24"/>
          <w:szCs w:val="24"/>
        </w:rPr>
      </w:pPr>
      <w:r w:rsidRPr="00414345">
        <w:rPr>
          <w:color w:val="000000"/>
          <w:sz w:val="24"/>
          <w:szCs w:val="24"/>
        </w:rPr>
        <w:t/>
      </w:r>
      <w:r w:rsidR="001675CD" w:rsidRPr="00414345">
        <w:rPr>
          <w:color w:val="000000"/>
          <w:sz w:val="24"/>
          <w:szCs w:val="24"/>
        </w:rPr>
        <w:t/>
      </w:r>
      <w:r w:rsidRPr="00414345">
        <w:rPr>
          <w:color w:val="000000"/>
          <w:sz w:val="24"/>
          <w:szCs w:val="24"/>
        </w:rPr>
        <w:t>由于四舍五入的原因，分项之和与合计项之间可能存在尾差。</w:t>
      </w:r>
    </w:p>
    <w:p w:rsidP="00C15CAC" w:rsidR="006B2FF6" w:rsidRDefault="006B2FF6">
      <w:pPr>
        <w:spacing w:before="29" w:line="288" w:lineRule="auto"/>
        <w:ind w:firstLine="480" w:firstLineChars="200"/>
        <w:rPr>
          <w:color w:val="000000"/>
          <w:sz w:val="24"/>
          <w:szCs w:val="24"/>
        </w:rPr>
      </w:pPr>
    </w:p>
    <w:p w:rsidP="00C15CAC" w:rsidR="001F3E2A" w:rsidRDefault="001F3E2A">
      <w:pPr>
        <w:spacing w:before="29" w:line="288" w:lineRule="auto"/>
        <w:ind w:firstLine="480" w:firstLineChars="200"/>
        <w:rPr>
          <w:color w:val="000000"/>
          <w:sz w:val="24"/>
          <w:szCs w:val="24"/>
        </w:rPr>
      </w:pPr>
    </w:p>
    <w:p w:rsidP="00C15CAC" w:rsidR="001F3E2A" w:rsidRDefault="001F3E2A" w:rsidRPr="00414345">
      <w:pPr>
        <w:spacing w:before="29" w:line="288" w:lineRule="auto"/>
        <w:ind w:firstLine="480" w:firstLineChars="200"/>
        <w:rPr>
          <w:color w:val="000000"/>
          <w:sz w:val="24"/>
          <w:szCs w:val="24"/>
        </w:rPr>
      </w:pPr>
    </w:p>
    <w:p w:rsidP="0011537B" w:rsidR="004061AC" w:rsidRDefault="0072794E" w:rsidRPr="005A3D62">
      <w:pPr>
        <w:pStyle w:val="1"/>
        <w:spacing w:after="312" w:afterLines="100" w:before="312" w:beforeLines="100" w:line="360" w:lineRule="auto"/>
        <w:jc w:val="center"/>
        <w:rPr>
          <w:rFonts w:eastAsiaTheme="minorEastAsia"/>
          <w:color w:themeColor="text1" w:val="000000"/>
          <w:kern w:val="0"/>
          <w:sz w:val="24"/>
          <w:szCs w:val="24"/>
        </w:rPr>
      </w:pPr>
      <w:r w:rsidRPr="005A3D62">
        <w:rPr>
          <w:rFonts w:eastAsiaTheme="minorEastAsia"/>
          <w:color w:themeColor="text1" w:val="000000"/>
          <w:kern w:val="0"/>
          <w:sz w:val="24"/>
          <w:szCs w:val="24"/>
        </w:rPr>
        <w:t/>
      </w:r>
      <w:r w:rsidR="004061AC" w:rsidRPr="005A3D62">
        <w:rPr>
          <w:rFonts w:eastAsiaTheme="minorEastAsia"/>
          <w:color w:themeColor="text1" w:val="000000"/>
          <w:kern w:val="0"/>
          <w:sz w:val="24"/>
          <w:szCs w:val="24"/>
        </w:rPr>
        <w:t>§</w:t>
      </w:r>
      <w:r w:rsidRPr="005A3D62">
        <w:rPr>
          <w:rFonts w:eastAsiaTheme="minorEastAsia"/>
          <w:color w:themeColor="text1" w:val="000000"/>
          <w:kern w:val="0"/>
          <w:sz w:val="24"/>
          <w:szCs w:val="24"/>
        </w:rPr>
        <w:t>6</w:t>
      </w:r>
      <w:r w:rsidR="004061AC" w:rsidRPr="005A3D62">
        <w:rPr>
          <w:rFonts w:eastAsiaTheme="minorEastAsia"/>
          <w:color w:themeColor="text1" w:val="000000"/>
          <w:kern w:val="0"/>
          <w:sz w:val="24"/>
          <w:szCs w:val="24"/>
        </w:rPr>
        <w:t xml:space="preserve">  </w:t>
      </w:r>
      <w:r w:rsidR="004061AC" w:rsidRPr="005A3D62">
        <w:rPr>
          <w:rFonts w:eastAsiaTheme="minorEastAsia"/>
          <w:color w:themeColor="text1" w:val="000000"/>
          <w:kern w:val="0"/>
          <w:sz w:val="24"/>
          <w:szCs w:val="24"/>
        </w:rPr>
        <w:t>开放式基金份额变动</w:t>
      </w:r>
    </w:p>
    <w:p w:rsidP="00C15CAC" w:rsidR="004061AC" w:rsidRDefault="004061AC" w:rsidRPr="00414345">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单位：份</w:t>
      </w:r>
    </w:p>
    <w:tbl>
      <w:tblPr>
        <w:tblW w:type="dxa" w:w="8868"/>
        <w:jc w:val="center"/>
        <w:tblLayout w:type="fixed"/>
        <w:tblCellMar>
          <w:top w:type="dxa" w:w="-1"/>
          <w:bottom w:type="dxa" w:w="-1"/>
        </w:tblCellMar>
        <w:tblLook w:firstColumn="0" w:firstRow="0" w:lastColumn="0" w:lastRow="0" w:noHBand="0" w:noVBand="0" w:val="0000"/>
      </w:tblPr>
      <w:tblGrid>
        <w:gridCol w:w="4734"/>
        <w:gridCol w:w="4134"/>
      </w:tblGrid>
      <w:tr w:rsidR="004061AC"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报告期期初基金份额总额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4061AC" w:rsidRDefault="008F60F2"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
            </w:r>
            <w:r w:rsidR="006D7FF8" w:rsidRPr="00414345">
              <w:rPr>
                <w:color w:val="000000"/>
                <w:sz w:val="24"/>
                <w:szCs w:val="24"/>
              </w:rPr>
              <w:t/>
            </w:r>
            <w:r w:rsidR="00355364" w:rsidRPr="00414345">
              <w:rPr>
                <w:color w:val="000000"/>
                <w:sz w:val="24"/>
                <w:szCs w:val="24"/>
              </w:rPr>
              <w:t/>
            </w:r>
            <w:r w:rsidR="006D7FF8" w:rsidRPr="00414345">
              <w:rPr>
                <w:color w:val="000000"/>
                <w:sz w:val="24"/>
                <w:szCs w:val="24"/>
              </w:rPr>
              <w:t>733,085,078.34</w:t>
            </w:r>
          </w:p>
        </w:tc>
      </w:tr>
      <w:tr w:rsidR="004061AC"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C15CAC" w:rsidR="004061AC" w:rsidRDefault="00FE179F"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基金总申购份额</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9,334,181.41</w:t>
            </w:r>
          </w:p>
        </w:tc>
      </w:tr>
      <w:tr w:rsidR="004061AC"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减：</w:t>
            </w:r>
            <w:r w:rsidR="00FE179F" w:rsidRPr="00414345">
              <w:rPr>
                <w:color w:val="000000"/>
                <w:kern w:val="0"/>
                <w:sz w:val="24"/>
                <w:szCs w:val="24"/>
              </w:rPr>
              <w:t>本报告期</w:t>
            </w:r>
            <w:r w:rsidR="00F31B0C">
              <w:rPr>
                <w:rFonts w:hint="eastAsia"/>
                <w:color w:val="000000"/>
                <w:kern w:val="0"/>
                <w:sz w:val="24"/>
                <w:szCs w:val="24"/>
              </w:rPr>
              <w:t>期间</w:t>
            </w:r>
            <w:r w:rsidRPr="00414345">
              <w:rPr>
                <w:color w:val="000000"/>
                <w:kern w:val="0"/>
                <w:sz w:val="24"/>
                <w:szCs w:val="24"/>
              </w:rPr>
              <w:t>基金总赎回份额</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332,322,364.11</w:t>
            </w:r>
          </w:p>
        </w:tc>
      </w:tr>
      <w:tr w:rsidR="004061AC"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35076C" w:rsidR="004061AC" w:rsidRDefault="00FE179F"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基金拆分变动份额</w:t>
            </w:r>
            <w:r w:rsidR="00F31B0C" w:rsidRPr="006664D2">
              <w:rPr>
                <w:rFonts w:hint="eastAsia"/>
                <w:color w:val="000000"/>
                <w:kern w:val="0"/>
                <w:sz w:val="24"/>
              </w:rPr>
              <w:t>（份额减少以</w:t>
            </w:r>
            <w:r w:rsidR="00F31B0C" w:rsidRPr="004D5D71">
              <w:rPr>
                <w:color w:val="000000"/>
              </w:rPr>
              <w:t>“-”</w:t>
            </w:r>
            <w:r w:rsidR="00F31B0C" w:rsidRPr="006664D2">
              <w:rPr>
                <w:rFonts w:hint="eastAsia"/>
                <w:color w:val="000000"/>
                <w:kern w:val="0"/>
                <w:sz w:val="24"/>
              </w:rPr>
              <w:t>填列）</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6D7FF8"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C15CAC" w:rsidR="006D7FF8" w:rsidRDefault="006D7FF8"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报告期期末基金份额总额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6D7FF8" w:rsidRDefault="006D7FF8"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
            </w:r>
            <w:r w:rsidR="00355364" w:rsidRPr="00414345">
              <w:rPr>
                <w:color w:val="000000"/>
                <w:sz w:val="24"/>
                <w:szCs w:val="24"/>
              </w:rPr>
              <w:t/>
            </w:r>
            <w:r w:rsidRPr="00414345">
              <w:rPr>
                <w:color w:val="000000"/>
                <w:sz w:val="24"/>
                <w:szCs w:val="24"/>
              </w:rPr>
              <w:t>410,096,895.64</w:t>
            </w:r>
          </w:p>
        </w:tc>
      </w:tr>
    </w:tbl>
    <w:p>
      <w:pPr>
        <w:autoSpaceDE w:val="0"/>
        <w:autoSpaceDN w:val="0"/>
        <w:adjustRightInd w:val="0"/>
        <w:spacing w:before="29" w:line="288" w:lineRule="auto"/>
        <w:jc w:val="left"/>
        <w:rPr>
          <w:color w:val="000000"/>
          <w:sz w:val="24"/>
          <w:szCs w:val="24"/>
        </w:rPr>
      </w:pPr>
      <w:r>
        <w:rPr>
          <w:color w:val="000000"/>
          <w:sz w:val="24"/>
          <w:szCs w:val="24"/>
        </w:rPr>
        <w:t xml:space="preserve">注：1、如果本报告期间发生转换入、红利再投业务，则总申购份额中包含该业务；     </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2、如果本报告期间发生转换出业务，则总赎回份额中包含该业务。</w:t>
      </w:r>
    </w:p>
    <w:p w:rsidP="00C15CAC" w:rsidR="00320E90" w:rsidRDefault="00320E90">
      <w:pPr>
        <w:autoSpaceDE w:val="0"/>
        <w:autoSpaceDN w:val="0"/>
        <w:adjustRightInd w:val="0"/>
        <w:spacing w:before="29" w:line="288" w:lineRule="auto"/>
        <w:jc w:val="left"/>
        <w:rPr>
          <w:color w:val="000000"/>
          <w:sz w:val="24"/>
          <w:szCs w:val="24"/>
        </w:rPr>
      </w:pPr>
    </w:p>
    <w:p w:rsidP="0011537B" w:rsidR="00ED2620" w:rsidRDefault="00ED2620" w:rsidRPr="00ED2620">
      <w:pPr>
        <w:pStyle w:val="1"/>
        <w:tabs>
          <w:tab w:pos="4156" w:val="center"/>
          <w:tab w:pos="8312" w:val="right"/>
        </w:tabs>
        <w:spacing w:after="312" w:afterLines="100" w:before="312" w:beforeLines="100" w:line="288" w:lineRule="auto"/>
        <w:jc w:val="center"/>
        <w:rPr>
          <w:sz w:val="24"/>
          <w:szCs w:val="24"/>
        </w:rPr>
      </w:pPr>
      <w:r w:rsidRPr="00ED2620">
        <w:rPr>
          <w:rFonts w:eastAsiaTheme="minorEastAsia"/>
          <w:color w:val="000000"/>
          <w:kern w:val="0"/>
          <w:sz w:val="24"/>
          <w:szCs w:val="24"/>
        </w:rPr>
        <w:t/>
      </w:r>
      <w:r w:rsidR="000A2FC0" w:rsidRPr="00414345">
        <w:rPr>
          <w:color w:val="000000"/>
          <w:kern w:val="0"/>
          <w:sz w:val="24"/>
          <w:szCs w:val="24"/>
        </w:rPr>
        <w:t>§</w:t>
      </w:r>
      <w:r w:rsidR="00406DA6">
        <w:rPr>
          <w:rFonts w:eastAsiaTheme="minorEastAsia"/>
          <w:color w:val="000000"/>
          <w:kern w:val="0"/>
          <w:sz w:val="24"/>
          <w:szCs w:val="24"/>
        </w:rPr>
        <w:t/>
      </w:r>
      <w:r w:rsidR="00406DA6">
        <w:rPr>
          <w:rFonts w:eastAsiaTheme="minorEastAsia" w:hint="eastAsia"/>
          <w:color w:val="000000"/>
          <w:kern w:val="0"/>
          <w:sz w:val="24"/>
          <w:szCs w:val="24"/>
        </w:rPr>
        <w:t/>
      </w:r>
      <w:r w:rsidRPr="00ED2620">
        <w:rPr>
          <w:rFonts w:eastAsiaTheme="minorEastAsia"/>
          <w:color w:val="000000"/>
          <w:kern w:val="0"/>
          <w:sz w:val="24"/>
          <w:szCs w:val="24"/>
        </w:rPr>
        <w:t xml:space="preserve">7  </w:t>
      </w:r>
      <w:r w:rsidRPr="00ED2620">
        <w:rPr>
          <w:sz w:val="24"/>
          <w:szCs w:val="24"/>
        </w:rPr>
        <w:t>基金管理人运用固有资金投资本基金情况</w:t>
      </w:r>
    </w:p>
    <w:p w:rsidP="00C15CAC" w:rsidR="00ED2620" w:rsidRDefault="00ED2620" w:rsidRPr="00ED2620">
      <w:pPr>
        <w:spacing w:line="288" w:lineRule="auto"/>
        <w:jc w:val="left"/>
        <w:rPr>
          <w:sz w:val="24"/>
          <w:szCs w:val="24"/>
        </w:rPr>
      </w:pPr>
      <w:r w:rsidRPr="00ED2620">
        <w:rPr>
          <w:b/>
          <w:sz w:val="24"/>
        </w:rPr>
        <w:t xml:space="preserve">7.1 </w:t>
      </w:r>
      <w:r w:rsidRPr="00ED2620">
        <w:rPr>
          <w:b/>
          <w:sz w:val="24"/>
        </w:rPr>
        <w:t>基金管理人持有本基金份额变动情况</w:t>
      </w:r>
    </w:p>
    <w:p w:rsidP="00C15CAC" w:rsidR="00410630" w:rsidRDefault="00ED2620">
      <w:pPr>
        <w:autoSpaceDE w:val="0"/>
        <w:autoSpaceDN w:val="0"/>
        <w:adjustRightInd w:val="0"/>
        <w:spacing w:before="29" w:line="288" w:lineRule="auto"/>
        <w:jc w:val="left"/>
        <w:rPr>
          <w:rFonts w:eastAsiaTheme="minorEastAsia"/>
          <w:color w:val="000000"/>
          <w:sz w:val="24"/>
        </w:rPr>
      </w:pPr>
      <w:r w:rsidRPr="00ED2620">
        <w:rPr>
          <w:rFonts w:eastAsiaTheme="minorEastAsia"/>
          <w:color w:val="000000"/>
          <w:sz w:val="24"/>
        </w:rPr>
        <w:t/>
      </w:r>
      <w:r w:rsidR="006075E6">
        <w:rPr>
          <w:rFonts w:eastAsiaTheme="minorEastAsia" w:hint="eastAsia"/>
          <w:color w:val="000000"/>
          <w:sz w:val="24"/>
        </w:rPr>
        <w:t/>
      </w:r>
      <w:r w:rsidRPr="00ED2620">
        <w:rPr>
          <w:rFonts w:eastAsiaTheme="minorEastAsia"/>
          <w:color w:val="000000"/>
          <w:sz w:val="24"/>
        </w:rPr>
        <w:t>本报告期内未发生基金管理人运用固有资金投资本基金的情况。</w:t>
      </w:r>
    </w:p>
    <w:p w:rsidP="00C15CAC" w:rsidR="00410630" w:rsidRDefault="00410630">
      <w:pPr>
        <w:autoSpaceDE w:val="0"/>
        <w:autoSpaceDN w:val="0"/>
        <w:adjustRightInd w:val="0"/>
        <w:spacing w:before="29" w:line="288" w:lineRule="auto"/>
        <w:jc w:val="left"/>
        <w:rPr>
          <w:rFonts w:eastAsiaTheme="minorEastAsia"/>
          <w:color w:val="000000"/>
          <w:sz w:val="24"/>
        </w:rPr>
      </w:pPr>
    </w:p>
    <w:p w:rsidP="00BB5E0E" w:rsidR="00410630" w:rsidRDefault="00410630" w:rsidRPr="00BB5E0E">
      <w:pPr>
        <w:spacing w:line="288" w:lineRule="auto"/>
        <w:jc w:val="left"/>
        <w:rPr>
          <w:b/>
          <w:sz w:val="24"/>
        </w:rPr>
      </w:pPr>
      <w:r w:rsidRPr="00410630">
        <w:rPr>
          <w:b/>
          <w:sz w:val="24"/>
        </w:rPr>
        <w:t>7.2</w:t>
      </w:r>
      <w:r w:rsidRPr="00410630">
        <w:rPr>
          <w:rFonts w:hint="eastAsia"/>
          <w:b/>
          <w:sz w:val="24"/>
        </w:rPr>
        <w:t>基金管理人运用固有资金投资本基金交易明细</w:t>
      </w:r>
    </w:p>
    <w:p w:rsidP="00C15CAC" w:rsidR="00320300" w:rsidRDefault="00320300" w:rsidRPr="00414345">
      <w:pPr>
        <w:autoSpaceDE w:val="0"/>
        <w:autoSpaceDN w:val="0"/>
        <w:adjustRightInd w:val="0"/>
        <w:spacing w:before="29" w:line="288" w:lineRule="auto"/>
        <w:jc w:val="left"/>
        <w:rPr>
          <w:color w:val="000000"/>
          <w:sz w:val="24"/>
        </w:rPr>
      </w:pPr>
      <w:r w:rsidRPr="00414345">
        <w:rPr>
          <w:color w:val="000000"/>
          <w:sz w:val="24"/>
        </w:rPr>
        <w:t>本基金管理人本报告期内未进行本基金的申购、赎回、红利再投等。</w:t>
      </w:r>
    </w:p>
    <w:p w:rsidP="00C15CAC" w:rsidR="00480B35" w:rsidRDefault="00480B35" w:rsidRPr="00414345">
      <w:pPr>
        <w:autoSpaceDE w:val="0"/>
        <w:autoSpaceDN w:val="0"/>
        <w:adjustRightInd w:val="0"/>
        <w:spacing w:before="29" w:line="288" w:lineRule="auto"/>
        <w:jc w:val="left"/>
        <w:rPr>
          <w:color w:val="000000"/>
          <w:sz w:val="24"/>
        </w:rPr>
      </w:pPr>
    </w:p>
    <w:p w:rsidP="0011537B" w:rsidR="003C50AD" w:rsidRDefault="003C50AD" w:rsidRPr="00220C32">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sidRPr="00220C32">
        <w:rPr>
          <w:rFonts w:asciiTheme="minorEastAsia" w:eastAsiaTheme="minorEastAsia" w:hAnsiTheme="minorEastAsia" w:hint="eastAsia"/>
          <w:color w:themeColor="text1" w:val="000000"/>
          <w:kern w:val="0"/>
          <w:sz w:val="24"/>
          <w:szCs w:val="24"/>
        </w:rPr>
        <w:t>§8</w:t>
      </w:r>
      <w:r w:rsidRPr="00220C32">
        <w:rPr>
          <w:rFonts w:asciiTheme="minorEastAsia" w:eastAsiaTheme="minorEastAsia" w:hAnsiTheme="minorEastAsia"/>
          <w:color w:themeColor="text1" w:val="000000"/>
          <w:kern w:val="0"/>
          <w:sz w:val="24"/>
          <w:szCs w:val="24"/>
        </w:rPr>
        <w:t xml:space="preserve">  </w:t>
      </w:r>
      <w:r w:rsidRPr="00220C32">
        <w:rPr>
          <w:rFonts w:asciiTheme="minorEastAsia" w:eastAsiaTheme="minorEastAsia" w:hAnsiTheme="minorEastAsia" w:hint="eastAsia"/>
          <w:color w:themeColor="text1" w:val="000000"/>
          <w:kern w:val="0"/>
          <w:sz w:val="24"/>
          <w:szCs w:val="24"/>
        </w:rPr>
        <w:t>影响投资者决策的其他重要信息</w:t>
      </w:r>
    </w:p>
    <w:p w:rsidP="003C50AD" w:rsidR="003C50AD" w:rsidRDefault="003C50AD" w:rsidRPr="009A5C99">
      <w:pPr>
        <w:autoSpaceDE w:val="0"/>
        <w:autoSpaceDN w:val="0"/>
        <w:adjustRightInd w:val="0"/>
        <w:spacing w:line="360" w:lineRule="auto"/>
        <w:jc w:val="left"/>
        <w:rPr>
          <w:rFonts w:ascii="宋体" w:hAnsi="宋体"/>
          <w:b/>
          <w:bCs/>
          <w:color w:val="000000"/>
          <w:kern w:val="0"/>
          <w:sz w:val="24"/>
          <w:szCs w:val="24"/>
        </w:rPr>
      </w:pPr>
      <w:r w:rsidRPr="009A5C99">
        <w:rPr>
          <w:rFonts w:ascii="宋体" w:hAnsi="宋体"/>
          <w:b/>
          <w:color w:val="000000"/>
          <w:kern w:val="0"/>
          <w:sz w:val="24"/>
          <w:szCs w:val="24"/>
        </w:rPr>
        <w:t/>
      </w:r>
      <w:r w:rsidRPr="009A5C99">
        <w:rPr>
          <w:rFonts w:ascii="宋体" w:hAnsi="宋体"/>
          <w:b/>
          <w:bCs/>
          <w:color w:val="000000"/>
          <w:kern w:val="0"/>
          <w:sz w:val="24"/>
          <w:szCs w:val="24"/>
        </w:rPr>
        <w:t>8.</w:t>
      </w:r>
      <w:r w:rsidRPr="009A5C99">
        <w:rPr>
          <w:rFonts w:ascii="宋体" w:hAnsi="宋体" w:hint="eastAsia"/>
          <w:b/>
          <w:bCs/>
          <w:color w:val="000000"/>
          <w:kern w:val="0"/>
          <w:sz w:val="24"/>
          <w:szCs w:val="24"/>
        </w:rPr>
        <w:t>1 报告期内单一投资者持有基金份额比例达到或超过20%的情况</w:t>
      </w:r>
    </w:p>
    <w:tbl>
      <w:tblPr>
        <w:tblW w:type="dxa" w:w="9212"/>
        <w:tblInd w:type="dxa" w:w="-176"/>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993"/>
        <w:gridCol w:w="992"/>
        <w:gridCol w:w="1843"/>
        <w:gridCol w:w="851"/>
        <w:gridCol w:w="850"/>
        <w:gridCol w:w="1134"/>
        <w:gridCol w:w="1419"/>
        <w:gridCol w:w="1130"/>
      </w:tblGrid>
      <w:tr w:rsidR="003C50AD" w:rsidRPr="004F4D27" w:rsidTr="00424D30">
        <w:tc>
          <w:tcPr>
            <w:tcW w:type="dxa" w:w="993"/>
            <w:vMerge w:val="restart"/>
            <w:vAlign w:val="center"/>
          </w:tcPr>
          <w:p w:rsidP="00424D30" w:rsidR="003C50AD" w:rsidRDefault="003C50AD" w:rsidRPr="004F4D27">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投资者类别</w:t>
            </w:r>
            <w:r w:rsidRPr="004F4D27">
              <w:rPr>
                <w:rFonts w:ascii="宋体" w:hAnsi="宋体"/>
                <w:color w:val="000000"/>
                <w:kern w:val="0"/>
              </w:rPr>
              <w:t/>
            </w:r>
            <w:r w:rsidRPr="004F4D27">
              <w:rPr>
                <w:rFonts w:ascii="宋体" w:hAnsi="宋体"/>
                <w:color w:val="000000"/>
                <w:kern w:val="0"/>
              </w:rPr>
              <w:lastRenderedPageBreak/>
              <w:t xml:space="preserve">  </w:t>
            </w:r>
          </w:p>
        </w:tc>
        <w:tc>
          <w:tcPr>
            <w:tcW w:type="dxa" w:w="5670"/>
            <w:gridSpan w:val="5"/>
            <w:vAlign w:val="center"/>
          </w:tcPr>
          <w:p w:rsidP="00424D30" w:rsidR="003C50AD" w:rsidRDefault="003C50AD" w:rsidRPr="004F4D27">
            <w:pPr>
              <w:autoSpaceDE w:val="0"/>
              <w:autoSpaceDN w:val="0"/>
              <w:adjustRightInd w:val="0"/>
              <w:jc w:val="center"/>
              <w:rPr>
                <w:rFonts w:ascii="宋体" w:hAnsi="宋体"/>
                <w:b/>
                <w:bCs/>
                <w:color w:val="000000"/>
                <w:kern w:val="0"/>
              </w:rPr>
            </w:pPr>
            <w:r w:rsidRPr="004F4D27">
              <w:rPr>
                <w:rFonts w:ascii="宋体" w:hAnsi="宋体" w:hint="eastAsia"/>
                <w:color w:val="000000"/>
                <w:kern w:val="0"/>
              </w:rPr>
              <w:lastRenderedPageBreak/>
              <w:t>报告期内持有基金份额变化情况</w:t>
            </w:r>
          </w:p>
        </w:tc>
        <w:tc>
          <w:tcPr>
            <w:tcW w:type="dxa" w:w="2549"/>
            <w:gridSpan w:val="2"/>
            <w:vAlign w:val="center"/>
          </w:tcPr>
          <w:p w:rsidP="00424D30" w:rsidR="003C50AD" w:rsidRDefault="003C50AD" w:rsidRPr="004F4D27">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报告期末持有基金情况</w:t>
            </w:r>
          </w:p>
        </w:tc>
      </w:tr>
      <w:tr w:rsidR="003C50AD" w:rsidRPr="004F4D27" w:rsidTr="00424D30">
        <w:tc>
          <w:tcPr>
            <w:tcW w:type="dxa" w:w="993"/>
            <w:vMerge/>
            <w:vAlign w:val="center"/>
          </w:tcPr>
          <w:p w:rsidP="00424D30" w:rsidR="003C50AD" w:rsidRDefault="003C50AD" w:rsidRPr="004F4D27">
            <w:pPr>
              <w:autoSpaceDE w:val="0"/>
              <w:autoSpaceDN w:val="0"/>
              <w:adjustRightInd w:val="0"/>
              <w:jc w:val="center"/>
              <w:rPr>
                <w:rFonts w:ascii="宋体" w:hAnsi="宋体"/>
                <w:b/>
                <w:bCs/>
                <w:color w:val="000000"/>
                <w:kern w:val="0"/>
              </w:rPr>
            </w:pPr>
          </w:p>
        </w:tc>
        <w:tc>
          <w:tcPr>
            <w:tcW w:type="dxa" w:w="992"/>
            <w:vAlign w:val="center"/>
          </w:tcPr>
          <w:p w:rsidP="00424D30" w:rsidR="003C50AD" w:rsidRDefault="003C50AD" w:rsidRPr="004F4D27">
            <w:pPr>
              <w:autoSpaceDE w:val="0"/>
              <w:autoSpaceDN w:val="0"/>
              <w:adjustRightInd w:val="0"/>
              <w:jc w:val="center"/>
              <w:rPr>
                <w:rFonts w:ascii="宋体" w:hAnsi="宋体"/>
                <w:b/>
                <w:bCs/>
                <w:color w:val="000000"/>
                <w:kern w:val="0"/>
              </w:rPr>
            </w:pPr>
            <w:r w:rsidRPr="004F4D27">
              <w:rPr>
                <w:rFonts w:ascii="宋体" w:hAnsi="宋体" w:hint="eastAsia"/>
                <w:color w:val="000000"/>
                <w:kern w:val="0"/>
              </w:rPr>
              <w:t>序号</w:t>
            </w:r>
          </w:p>
        </w:tc>
        <w:tc>
          <w:tcPr>
            <w:tcW w:type="dxa" w:w="1843"/>
            <w:vAlign w:val="center"/>
          </w:tcPr>
          <w:p w:rsidP="00424D30" w:rsidR="003C50AD" w:rsidRDefault="003C50AD" w:rsidRPr="004F4D27">
            <w:pPr>
              <w:autoSpaceDE w:val="0"/>
              <w:autoSpaceDN w:val="0"/>
              <w:adjustRightInd w:val="0"/>
              <w:jc w:val="center"/>
              <w:rPr>
                <w:rFonts w:ascii="宋体" w:hAnsi="宋体"/>
                <w:b/>
                <w:bCs/>
                <w:color w:val="000000"/>
                <w:kern w:val="0"/>
              </w:rPr>
            </w:pPr>
            <w:r w:rsidRPr="004F4D27">
              <w:rPr>
                <w:rFonts w:ascii="宋体" w:hAnsi="宋体" w:hint="eastAsia"/>
                <w:color w:val="000000"/>
                <w:kern w:val="0"/>
              </w:rPr>
              <w:t>持有基金份额比例达到或者超过20%的时间区间</w:t>
            </w:r>
          </w:p>
        </w:tc>
        <w:tc>
          <w:tcPr>
            <w:tcW w:type="dxa" w:w="851"/>
            <w:vAlign w:val="center"/>
          </w:tcPr>
          <w:p w:rsidP="00424D30" w:rsidR="003C50AD" w:rsidRDefault="003C50AD" w:rsidRPr="004F4D27">
            <w:pPr>
              <w:widowControl/>
              <w:jc w:val="center"/>
              <w:rPr>
                <w:rFonts w:ascii="宋体" w:hAnsi="宋体"/>
                <w:b/>
                <w:bCs/>
                <w:color w:val="000000"/>
                <w:kern w:val="0"/>
              </w:rPr>
            </w:pPr>
            <w:r w:rsidRPr="004F4D27">
              <w:rPr>
                <w:rFonts w:ascii="宋体" w:hAnsi="宋体" w:hint="eastAsia"/>
                <w:color w:val="000000"/>
                <w:kern w:val="0"/>
              </w:rPr>
              <w:t>期初份额</w:t>
            </w:r>
          </w:p>
        </w:tc>
        <w:tc>
          <w:tcPr>
            <w:tcW w:type="dxa" w:w="850"/>
            <w:vAlign w:val="center"/>
          </w:tcPr>
          <w:p w:rsidP="00424D30" w:rsidR="003C50AD" w:rsidRDefault="003C50AD" w:rsidRPr="004F4D27">
            <w:pPr>
              <w:widowControl/>
              <w:jc w:val="center"/>
              <w:rPr>
                <w:rFonts w:ascii="宋体" w:hAnsi="宋体"/>
                <w:b/>
                <w:bCs/>
                <w:color w:val="000000"/>
                <w:kern w:val="0"/>
              </w:rPr>
            </w:pPr>
            <w:r w:rsidRPr="004F4D27">
              <w:rPr>
                <w:rFonts w:ascii="宋体" w:hAnsi="宋体" w:hint="eastAsia"/>
                <w:color w:val="000000"/>
                <w:kern w:val="0"/>
              </w:rPr>
              <w:t>申购份额</w:t>
            </w:r>
          </w:p>
        </w:tc>
        <w:tc>
          <w:tcPr>
            <w:tcW w:type="dxa" w:w="1134"/>
            <w:vAlign w:val="center"/>
          </w:tcPr>
          <w:p w:rsidP="00424D30" w:rsidR="003C50AD" w:rsidRDefault="003C50AD" w:rsidRPr="004F4D27">
            <w:pPr>
              <w:widowControl/>
              <w:jc w:val="center"/>
              <w:rPr>
                <w:rFonts w:ascii="宋体" w:hAnsi="宋体"/>
                <w:b/>
                <w:bCs/>
                <w:color w:val="000000"/>
                <w:kern w:val="0"/>
              </w:rPr>
            </w:pPr>
            <w:r w:rsidRPr="004F4D27">
              <w:rPr>
                <w:rFonts w:ascii="宋体" w:hAnsi="宋体" w:hint="eastAsia"/>
                <w:color w:val="000000"/>
                <w:kern w:val="0"/>
              </w:rPr>
              <w:t>赎回份额</w:t>
            </w:r>
          </w:p>
        </w:tc>
        <w:tc>
          <w:tcPr>
            <w:tcW w:type="dxa" w:w="1419"/>
            <w:vAlign w:val="center"/>
          </w:tcPr>
          <w:p w:rsidP="00424D30" w:rsidR="003C50AD" w:rsidRDefault="003C50AD" w:rsidRPr="004F4D27">
            <w:pPr>
              <w:autoSpaceDE w:val="0"/>
              <w:autoSpaceDN w:val="0"/>
              <w:adjustRightInd w:val="0"/>
              <w:jc w:val="center"/>
              <w:rPr>
                <w:rFonts w:ascii="宋体" w:hAnsi="宋体"/>
                <w:b/>
                <w:bCs/>
                <w:color w:val="000000"/>
                <w:kern w:val="0"/>
              </w:rPr>
            </w:pPr>
            <w:r w:rsidRPr="004F4D27">
              <w:rPr>
                <w:rFonts w:ascii="宋体" w:hAnsi="宋体" w:hint="eastAsia"/>
                <w:color w:val="000000"/>
                <w:kern w:val="0"/>
              </w:rPr>
              <w:t>持有份额</w:t>
            </w:r>
          </w:p>
        </w:tc>
        <w:tc>
          <w:tcPr>
            <w:tcW w:type="dxa" w:w="1130"/>
            <w:vAlign w:val="center"/>
          </w:tcPr>
          <w:p w:rsidP="00424D30" w:rsidR="003C50AD" w:rsidRDefault="003C50AD" w:rsidRPr="004F4D27">
            <w:pPr>
              <w:autoSpaceDE w:val="0"/>
              <w:autoSpaceDN w:val="0"/>
              <w:adjustRightInd w:val="0"/>
              <w:jc w:val="center"/>
              <w:rPr>
                <w:rFonts w:ascii="宋体" w:hAnsi="宋体"/>
                <w:b/>
                <w:bCs/>
                <w:color w:val="000000"/>
                <w:kern w:val="0"/>
              </w:rPr>
            </w:pPr>
            <w:r w:rsidRPr="004F4D27">
              <w:rPr>
                <w:rFonts w:ascii="宋体" w:hAnsi="宋体" w:hint="eastAsia"/>
                <w:color w:val="000000"/>
                <w:kern w:val="0"/>
              </w:rPr>
              <w:t>份额占比</w:t>
            </w:r>
          </w:p>
        </w:tc>
      </w:tr>
      <w:tr>
        <w:tc>
          <w:tcPr>
            <w:vMerge w:val="restart"/>
          </w:tcPr>
          <w:p/>
          <w:p>
            <w:r>
              <w:rPr>
                <w:rFonts w:ascii="宋体" w:hAnsi="宋体" w:hint="eastAsia"/>
                <w:bCs/>
                <w:color w:val="000000"/>
                <w:kern w:val="0"/>
              </w:rPr>
              <w:t>机构</w:t>
            </w:r>
          </w:p>
        </w:tc>
        <w:tc>
          <w:tcPr>
            <w:vAlign w:val="center"/>
          </w:tcPr>
          <w:p>
            <w:pPr>
              <w:jc w:val="center"/>
            </w:pPr>
            <w:r>
              <w:rPr>
                <w:rFonts w:ascii="宋体" w:hAnsi="宋体"/>
                <w:color w:val="000000"/>
                <w:kern w:val="0"/>
              </w:rPr>
              <w:t>1</w:t>
            </w:r>
          </w:p>
        </w:tc>
        <w:tc>
          <w:tcPr>
            <w:vAlign w:val="center"/>
          </w:tcPr>
          <w:p>
            <w:pPr>
              <w:jc w:val="center"/>
            </w:pPr>
            <w:r>
              <w:rPr>
                <w:rFonts w:ascii="宋体" w:hAnsi="宋体"/>
                <w:color w:val="000000"/>
                <w:kern w:val="0"/>
              </w:rPr>
              <w:t>2020/1/1-2020/3/31</w:t>
            </w:r>
          </w:p>
        </w:tc>
        <w:tc>
          <w:tcPr>
            <w:vAlign w:val="center"/>
          </w:tcPr>
          <w:p>
            <w:pPr>
              <w:jc w:val="center"/>
            </w:pPr>
            <w:r>
              <w:rPr>
                <w:rFonts w:ascii="宋体" w:hAnsi="宋体"/>
                <w:color w:val="000000"/>
                <w:kern w:val="0"/>
              </w:rPr>
              <w:t>96,115,916.96</w:t>
            </w:r>
          </w:p>
        </w:tc>
        <w:tc>
          <w:tcPr>
            <w:vAlign w:val="center"/>
          </w:tcPr>
          <w:p>
            <w:pPr>
              <w:jc w:val="center"/>
            </w:pPr>
            <w:r>
              <w:rPr>
                <w:rFonts w:ascii="宋体" w:hAnsi="宋体"/>
                <w:color w:val="000000"/>
                <w:kern w:val="0"/>
              </w:rPr>
              <w:t>-</w:t>
            </w:r>
          </w:p>
        </w:tc>
        <w:tc>
          <w:tcPr>
            <w:vAlign w:val="center"/>
          </w:tcPr>
          <w:p>
            <w:pPr>
              <w:jc w:val="center"/>
            </w:pPr>
            <w:r>
              <w:rPr>
                <w:rFonts w:ascii="宋体" w:hAnsi="宋体"/>
                <w:color w:val="000000"/>
                <w:kern w:val="0"/>
              </w:rPr>
              <w:t>50,000,000.00</w:t>
            </w:r>
          </w:p>
        </w:tc>
        <w:tc>
          <w:tcPr>
            <w:vAlign w:val="center"/>
          </w:tcPr>
          <w:p>
            <w:pPr>
              <w:jc w:val="center"/>
            </w:pPr>
            <w:r>
              <w:rPr>
                <w:rFonts w:ascii="宋体" w:hAnsi="宋体"/>
                <w:color w:val="000000"/>
                <w:kern w:val="0"/>
              </w:rPr>
              <w:t>46,115,916.96</w:t>
            </w:r>
          </w:p>
        </w:tc>
        <w:tc>
          <w:tcPr>
            <w:vAlign w:val="center"/>
          </w:tcPr>
          <w:p>
            <w:pPr>
              <w:jc w:val="center"/>
            </w:pPr>
            <w:r>
              <w:rPr>
                <w:rFonts w:ascii="宋体" w:hAnsi="宋体"/>
                <w:color w:val="000000"/>
                <w:kern w:val="0"/>
              </w:rPr>
              <w:t>11.25%</w:t>
            </w:r>
          </w:p>
        </w:tc>
      </w:tr>
    </w:tbl>
    <w:tbl>
      <w:tblPr>
        <w:tblW w:type="dxa" w:w="9212"/>
        <w:tblInd w:type="dxa" w:w="-176"/>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9212"/>
      </w:tblGrid>
      <w:tr w:rsidR="003C50AD" w:rsidRPr="004F4D27" w:rsidTr="00424D30">
        <w:tc>
          <w:tcPr>
            <w:tcW w:type="dxa" w:w="9212"/>
            <w:vAlign w:val="center"/>
          </w:tcPr>
          <w:p w:rsidP="00424D30" w:rsidR="003C50AD" w:rsidRDefault="003C50AD" w:rsidRPr="004F4D27">
            <w:pPr>
              <w:autoSpaceDE w:val="0"/>
              <w:autoSpaceDN w:val="0"/>
              <w:adjustRightInd w:val="0"/>
              <w:jc w:val="center"/>
              <w:rPr>
                <w:rFonts w:ascii="宋体" w:hAnsi="宋体"/>
                <w:kern w:val="0"/>
              </w:rPr>
            </w:pPr>
            <w:r w:rsidRPr="004F4D27">
              <w:rPr>
                <w:rFonts w:ascii="宋体" w:hAnsi="宋体"/>
                <w:color w:val="000000"/>
                <w:kern w:val="0"/>
              </w:rPr>
              <w:t>产品特有风险</w:t>
            </w:r>
            <w:r w:rsidRPr="004F4D27">
              <w:rPr>
                <w:rFonts w:ascii="宋体" w:hAnsi="宋体"/>
                <w:kern w:val="0"/>
              </w:rPr>
              <w:t/>
            </w:r>
            <w:r w:rsidRPr="004F4D27">
              <w:rPr>
                <w:rFonts w:ascii="宋体" w:hAnsi="宋体" w:hint="eastAsia"/>
                <w:kern w:val="0"/>
              </w:rPr>
              <w:t/>
            </w:r>
            <w:r w:rsidRPr="004F4D27">
              <w:rPr>
                <w:rFonts w:ascii="宋体" w:hAnsi="宋体"/>
                <w:kern w:val="0"/>
              </w:rPr>
              <w:t/>
            </w:r>
          </w:p>
        </w:tc>
      </w:tr>
      <w:tr w:rsidR="003C50AD" w:rsidRPr="004F4D27" w:rsidTr="00424D30">
        <w:tc>
          <w:tcPr>
            <w:tcW w:type="dxa" w:w="9212"/>
            <w:vAlign w:val="center"/>
          </w:tcPr>
          <w:p w:rsidP="00424D30" w:rsidR="003C50AD" w:rsidRDefault="003C50AD" w:rsidRPr="004F4D27">
            <w:pPr>
              <w:autoSpaceDE w:val="0"/>
              <w:autoSpaceDN w:val="0"/>
              <w:adjustRightInd w:val="0"/>
              <w:jc w:val="left"/>
              <w:rPr>
                <w:rFonts w:ascii="宋体" w:hAnsi="宋体"/>
                <w:kern w:val="0"/>
              </w:rPr>
            </w:pPr>
            <w:r w:rsidRPr="004F4D27">
              <w:rPr>
                <w:rFonts w:ascii="宋体" w:hAnsi="宋体" w:hint="eastAsia"/>
                <w:kern w:val="0"/>
              </w:rPr>
              <w:t/>
            </w:r>
            <w:r w:rsidRPr="004F4D27">
              <w:rPr>
                <w:rFonts w:ascii="宋体" w:hAnsi="宋体"/>
                <w:kern w:val="0"/>
              </w:rPr>
              <w:t/>
            </w:r>
            <w:r w:rsidRPr="004F4D27">
              <w:rPr>
                <w:rFonts w:ascii="宋体" w:hAnsi="宋体" w:hint="eastAsia"/>
                <w:kern w:val="0"/>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r w:rsidRPr="004F4D27">
              <w:rPr>
                <w:rFonts w:ascii="宋体" w:hAnsi="宋体"/>
                <w:kern w:val="0"/>
              </w:rPr>
              <w:t/>
            </w:r>
          </w:p>
        </w:tc>
      </w:tr>
    </w:tbl>
    <w:p w:rsidP="0011537B" w:rsidR="00B22DEE" w:rsidRDefault="004061AC" w:rsidRPr="00E02660">
      <w:pPr>
        <w:pStyle w:val="1"/>
        <w:spacing w:after="312" w:afterLines="100" w:before="312" w:beforeLines="100" w:line="288" w:lineRule="auto"/>
        <w:jc w:val="center"/>
        <w:rPr>
          <w:color w:val="000000"/>
          <w:kern w:val="0"/>
          <w:sz w:val="24"/>
          <w:szCs w:val="24"/>
        </w:rPr>
      </w:pPr>
      <w:r w:rsidRPr="00414345">
        <w:rPr>
          <w:color w:val="000000"/>
          <w:kern w:val="0"/>
          <w:sz w:val="24"/>
          <w:szCs w:val="24"/>
        </w:rPr>
        <w:t>§</w:t>
      </w:r>
      <w:r w:rsidR="00D02347" w:rsidRPr="00414345">
        <w:rPr>
          <w:color w:val="000000"/>
          <w:kern w:val="0"/>
          <w:sz w:val="24"/>
          <w:szCs w:val="24"/>
        </w:rPr>
        <w:t/>
      </w:r>
      <w:r w:rsidR="00676095" w:rsidRPr="00414345">
        <w:rPr>
          <w:color w:val="000000"/>
          <w:kern w:val="0"/>
          <w:sz w:val="24"/>
          <w:szCs w:val="24"/>
        </w:rPr>
        <w:t/>
      </w:r>
      <w:r w:rsidR="00D02347" w:rsidRPr="00414345">
        <w:rPr>
          <w:color w:val="000000"/>
          <w:kern w:val="0"/>
          <w:sz w:val="24"/>
          <w:szCs w:val="24"/>
        </w:rPr>
        <w:t>9</w:t>
      </w:r>
      <w:r w:rsidR="00834E74">
        <w:rPr>
          <w:color w:val="000000"/>
          <w:kern w:val="0"/>
          <w:sz w:val="24"/>
          <w:szCs w:val="24"/>
        </w:rPr>
        <w:t xml:space="preserve">  </w:t>
      </w:r>
      <w:r w:rsidRPr="00414345">
        <w:rPr>
          <w:color w:val="000000"/>
          <w:kern w:val="0"/>
          <w:sz w:val="24"/>
          <w:szCs w:val="24"/>
        </w:rPr>
        <w:t>备查文件目录</w:t>
      </w:r>
    </w:p>
    <w:p w:rsidP="00C15CAC" w:rsidR="004061AC" w:rsidRDefault="00D02347"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r w:rsidR="00676095" w:rsidRPr="00414345">
        <w:rPr>
          <w:b/>
          <w:bCs/>
          <w:color w:val="000000"/>
          <w:kern w:val="0"/>
          <w:sz w:val="24"/>
          <w:szCs w:val="24"/>
        </w:rPr>
        <w:t/>
      </w: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1</w:t>
      </w:r>
      <w:r w:rsidR="004061AC" w:rsidRPr="00414345">
        <w:rPr>
          <w:b/>
          <w:bCs/>
          <w:color w:val="000000"/>
          <w:kern w:val="0"/>
          <w:sz w:val="24"/>
          <w:szCs w:val="24"/>
        </w:rPr>
        <w:t>备查文件目录</w:t>
      </w:r>
    </w:p>
    <w:p>
      <w:pPr>
        <w:spacing w:before="29" w:line="288" w:lineRule="auto"/>
        <w:ind w:firstLine="480" w:firstLineChars="200"/>
        <w:rPr>
          <w:color w:val="000000"/>
          <w:sz w:val="24"/>
          <w:szCs w:val="24"/>
        </w:rPr>
      </w:pPr>
      <w:r>
        <w:rPr>
          <w:color w:val="000000"/>
          <w:sz w:val="24"/>
          <w:szCs w:val="24"/>
        </w:rPr>
        <w:t xml:space="preserve">1、中国证监会准予交银施罗德品质升级混合型证券投资基金募集注册的文件； </w:t>
      </w:r>
    </w:p>
    <w:p>
      <w:pPr>
        <w:spacing w:before="29" w:line="288" w:lineRule="auto"/>
        <w:ind w:firstLine="480" w:firstLineChars="200"/>
        <w:rPr>
          <w:color w:val="000000"/>
          <w:sz w:val="24"/>
          <w:szCs w:val="24"/>
        </w:rPr>
      </w:pPr>
      <w:r>
        <w:rPr>
          <w:color w:val="000000"/>
          <w:sz w:val="24"/>
          <w:szCs w:val="24"/>
        </w:rPr>
        <w:t xml:space="preserve">2、《交银施罗德品质升级混合型证券投资基金基金合同》； </w:t>
      </w:r>
    </w:p>
    <w:p>
      <w:pPr>
        <w:spacing w:before="29" w:line="288" w:lineRule="auto"/>
        <w:ind w:firstLine="480" w:firstLineChars="200"/>
        <w:rPr>
          <w:color w:val="000000"/>
          <w:sz w:val="24"/>
          <w:szCs w:val="24"/>
        </w:rPr>
      </w:pPr>
      <w:r>
        <w:rPr>
          <w:color w:val="000000"/>
          <w:sz w:val="24"/>
          <w:szCs w:val="24"/>
        </w:rPr>
        <w:t xml:space="preserve">3、《交银施罗德品质升级混合型证券投资基金招募说明书》； </w:t>
      </w:r>
    </w:p>
    <w:p>
      <w:pPr>
        <w:spacing w:before="29" w:line="288" w:lineRule="auto"/>
        <w:ind w:firstLine="480" w:firstLineChars="200"/>
        <w:rPr>
          <w:color w:val="000000"/>
          <w:sz w:val="24"/>
          <w:szCs w:val="24"/>
        </w:rPr>
      </w:pPr>
      <w:r>
        <w:rPr>
          <w:color w:val="000000"/>
          <w:sz w:val="24"/>
          <w:szCs w:val="24"/>
        </w:rPr>
        <w:t xml:space="preserve">4、《交银施罗德品质升级混合型证券投资基金托管协议》； </w:t>
      </w:r>
    </w:p>
    <w:p>
      <w:pPr>
        <w:spacing w:before="29" w:line="288" w:lineRule="auto"/>
        <w:ind w:firstLine="480" w:firstLineChars="200"/>
        <w:rPr>
          <w:color w:val="000000"/>
          <w:sz w:val="24"/>
          <w:szCs w:val="24"/>
        </w:rPr>
      </w:pPr>
      <w:r>
        <w:rPr>
          <w:color w:val="000000"/>
          <w:sz w:val="24"/>
          <w:szCs w:val="24"/>
        </w:rPr>
        <w:t xml:space="preserve">5、关于申请募集注册交银施罗德品质升级混合型证券投资基金的法律意见书； </w:t>
      </w:r>
    </w:p>
    <w:p>
      <w:pPr>
        <w:spacing w:before="29" w:line="288" w:lineRule="auto"/>
        <w:ind w:firstLine="480" w:firstLineChars="200"/>
        <w:rPr>
          <w:color w:val="000000"/>
          <w:sz w:val="24"/>
          <w:szCs w:val="24"/>
        </w:rPr>
      </w:pPr>
      <w:r>
        <w:rPr>
          <w:color w:val="000000"/>
          <w:sz w:val="24"/>
          <w:szCs w:val="24"/>
        </w:rPr>
        <w:t xml:space="preserve">6、基金管理人业务资格批件、营业执照； </w:t>
      </w:r>
    </w:p>
    <w:p>
      <w:pPr>
        <w:spacing w:before="29" w:line="288" w:lineRule="auto"/>
        <w:ind w:firstLine="480" w:firstLineChars="200"/>
        <w:rPr>
          <w:color w:val="000000"/>
          <w:sz w:val="24"/>
          <w:szCs w:val="24"/>
        </w:rPr>
      </w:pPr>
      <w:r>
        <w:rPr>
          <w:color w:val="000000"/>
          <w:sz w:val="24"/>
          <w:szCs w:val="24"/>
        </w:rPr>
        <w:t xml:space="preserve">7、基金托管人业务资格批件、营业执照； </w:t>
      </w:r>
    </w:p>
    <w:p w:rsidP="00C15CAC" w:rsidR="004061AC" w:rsidRDefault="006D7FF8" w:rsidRPr="00414345">
      <w:pPr>
        <w:spacing w:before="29" w:line="288" w:lineRule="auto"/>
        <w:ind w:firstLine="480" w:firstLineChars="200"/>
        <w:rPr>
          <w:color w:val="000000"/>
          <w:sz w:val="24"/>
          <w:szCs w:val="24"/>
        </w:rPr>
      </w:pPr>
      <w:r w:rsidRPr="00414345">
        <w:rPr>
          <w:color w:val="000000"/>
          <w:sz w:val="24"/>
          <w:szCs w:val="24"/>
        </w:rPr>
        <w:t>8、报告期内交银施罗德品质升级混合型证券投资基金在指定报刊上各项公告的原稿。</w:t>
      </w:r>
    </w:p>
    <w:p w:rsidP="00C15CAC" w:rsidR="006A48FD" w:rsidRDefault="006A48FD" w:rsidRPr="00414345">
      <w:pPr>
        <w:spacing w:before="29" w:line="288" w:lineRule="auto"/>
        <w:ind w:firstLine="480" w:firstLineChars="200"/>
        <w:rPr>
          <w:color w:val="000000"/>
          <w:sz w:val="24"/>
          <w:szCs w:val="24"/>
        </w:rPr>
      </w:pPr>
    </w:p>
    <w:p w:rsidP="00C15CAC" w:rsidR="004061AC" w:rsidRDefault="00D02347"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r w:rsidR="00676095" w:rsidRPr="00414345">
        <w:rPr>
          <w:b/>
          <w:bCs/>
          <w:color w:val="000000"/>
          <w:kern w:val="0"/>
          <w:sz w:val="24"/>
          <w:szCs w:val="24"/>
        </w:rPr>
        <w:t/>
      </w: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2</w:t>
      </w:r>
      <w:r w:rsidR="004061AC" w:rsidRPr="00414345">
        <w:rPr>
          <w:b/>
          <w:bCs/>
          <w:color w:val="000000"/>
          <w:kern w:val="0"/>
          <w:sz w:val="24"/>
          <w:szCs w:val="24"/>
        </w:rPr>
        <w:t>存放地点</w:t>
      </w:r>
    </w:p>
    <w:p w:rsidP="00C15CAC" w:rsidR="004061AC" w:rsidRDefault="006D7FF8" w:rsidRPr="00414345">
      <w:pPr>
        <w:spacing w:before="29" w:line="288" w:lineRule="auto"/>
        <w:ind w:firstLine="480" w:firstLineChars="200"/>
        <w:rPr>
          <w:color w:val="000000"/>
          <w:sz w:val="24"/>
          <w:szCs w:val="24"/>
        </w:rPr>
      </w:pPr>
      <w:r w:rsidRPr="00414345">
        <w:rPr>
          <w:color w:val="000000"/>
          <w:sz w:val="24"/>
          <w:szCs w:val="24"/>
        </w:rPr>
        <w:t>备查文件存放于基金管理人的办公场所</w:t>
      </w:r>
    </w:p>
    <w:p w:rsidP="00C15CAC" w:rsidR="006A48FD" w:rsidRDefault="006A48FD" w:rsidRPr="00414345">
      <w:pPr>
        <w:spacing w:before="29" w:line="288" w:lineRule="auto"/>
        <w:ind w:firstLine="480" w:firstLineChars="200"/>
        <w:rPr>
          <w:color w:val="000000"/>
          <w:sz w:val="24"/>
          <w:szCs w:val="24"/>
        </w:rPr>
      </w:pPr>
    </w:p>
    <w:p w:rsidP="00C15CAC" w:rsidR="004061AC" w:rsidRDefault="00D02347"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r w:rsidR="00676095" w:rsidRPr="00414345">
        <w:rPr>
          <w:b/>
          <w:bCs/>
          <w:color w:val="000000"/>
          <w:kern w:val="0"/>
          <w:sz w:val="24"/>
          <w:szCs w:val="24"/>
        </w:rPr>
        <w:t/>
      </w: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3</w:t>
      </w:r>
      <w:r w:rsidR="004061AC" w:rsidRPr="00414345">
        <w:rPr>
          <w:b/>
          <w:bCs/>
          <w:color w:val="000000"/>
          <w:kern w:val="0"/>
          <w:sz w:val="24"/>
          <w:szCs w:val="24"/>
        </w:rPr>
        <w:t>查阅方式</w:t>
      </w:r>
    </w:p>
    <w:p>
      <w:pPr>
        <w:spacing w:before="29" w:line="288" w:lineRule="auto"/>
        <w:ind w:firstLine="480" w:firstLineChars="200"/>
        <w:rPr>
          <w:color w:val="000000"/>
          <w:sz w:val="24"/>
          <w:szCs w:val="24"/>
        </w:rPr>
      </w:pPr>
      <w:r>
        <w:rPr>
          <w:color w:val="000000"/>
          <w:sz w:val="24"/>
          <w:szCs w:val="24"/>
        </w:rPr>
        <w:t xml:space="preserve">投资者可在办公时间内至基金管理人的办公场所免费查阅备查文件，或者登录基金管理人的网站(www.fund001.com)查阅。在支付工本费后，投资者可在合理时间内取得上述文件的复制件或复印件。 </w:t>
      </w:r>
    </w:p>
    <w:p w:rsidP="00C15CAC" w:rsidR="00A90049" w:rsidRDefault="006D7FF8" w:rsidRPr="00414345">
      <w:pPr>
        <w:spacing w:before="29" w:line="288" w:lineRule="auto"/>
        <w:ind w:firstLine="480" w:firstLineChars="200"/>
        <w:rPr>
          <w:color w:val="000000"/>
          <w:sz w:val="24"/>
          <w:szCs w:val="24"/>
        </w:rPr>
      </w:pPr>
      <w:r w:rsidRPr="00414345">
        <w:rPr>
          <w:color w:val="000000"/>
          <w:sz w:val="24"/>
          <w:szCs w:val="24"/>
        </w:rPr>
        <w:t>投资者对本报告书如有疑问，可咨询本基金管理人交银施罗德基金管理有限公司。本公司客户服务中心电话：400-700-5000（免长途话费），021-61055000，电子邮件：services@jysld.com。</w:t>
      </w:r>
    </w:p>
    <w:p w:rsidP="00C15CAC" w:rsidR="002C3C7A" w:rsidRDefault="002C3C7A" w:rsidRPr="00414345">
      <w:pPr>
        <w:spacing w:before="29" w:line="288" w:lineRule="auto"/>
        <w:ind w:firstLine="480" w:firstLineChars="200"/>
        <w:rPr>
          <w:color w:val="000000"/>
          <w:sz w:val="24"/>
          <w:szCs w:val="24"/>
        </w:rPr>
      </w:pPr>
    </w:p>
    <w:sectPr w:rsidR="002C3C7A" w:rsidRPr="00414345" w:rsidSect="00000678">
      <w:pgSz w:code="9" w:h="16838" w:w="11906"/>
      <w:pgMar w:bottom="1440" w:footer="992" w:gutter="0" w:header="851" w:left="1440" w:right="1440" w:top="1440"/>
      <w:cols w:space="425"/>
      <w:docGrid w:linePitch="312" w:type="line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AA1" w:rsidRDefault="00C11AA1" w:rsidP="00876D65">
      <w:r>
        <w:separator/>
      </w:r>
    </w:p>
  </w:endnote>
  <w:endnote w:type="continuationSeparator" w:id="0">
    <w:p w:rsidR="00C11AA1" w:rsidRDefault="00C11AA1" w:rsidP="008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angSong">
    <w:altName w:val="黑体"/>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80E0000" w:usb2="00000000" w:usb3="00000000" w:csb0="00040000"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D9393A" w:rsidRDefault="00D9393A">
    <w:pPr>
      <w:pStyle w:val="a6"/>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P="004D340C" w:rsidR="004D340C" w:rsidRDefault="004D340C" w:rsidRPr="001D0DB0">
    <w:pPr>
      <w:pStyle w:val="a6"/>
      <w:jc w:val="center"/>
    </w:pPr>
    <w:r>
      <w:rPr>
        <w:rFonts w:hint="eastAsia"/>
        <w:kern w:val="0"/>
        <w:szCs w:val="21"/>
      </w:rPr>
      <w:t>第</w:t>
    </w:r>
    <w:r w:rsidR="00381EE8">
      <w:rPr>
        <w:kern w:val="0"/>
        <w:szCs w:val="21"/>
      </w:rPr>
      <w:fldChar w:fldCharType="begin"/>
    </w:r>
    <w:r>
      <w:rPr>
        <w:kern w:val="0"/>
        <w:szCs w:val="21"/>
      </w:rPr>
      <w:instrText xml:space="preserve"> PAGE </w:instrText>
    </w:r>
    <w:r w:rsidR="00381EE8">
      <w:rPr>
        <w:kern w:val="0"/>
        <w:szCs w:val="21"/>
      </w:rPr>
      <w:fldChar w:fldCharType="separate"/>
    </w:r>
    <w:r w:rsidR="00AA3969">
      <w:rPr>
        <w:noProof/>
        <w:kern w:val="0"/>
        <w:szCs w:val="21"/>
      </w:rPr>
      <w:t>17</w:t>
    </w:r>
    <w:r w:rsidR="00381EE8">
      <w:rPr>
        <w:kern w:val="0"/>
        <w:szCs w:val="21"/>
      </w:rPr>
      <w:fldChar w:fldCharType="end"/>
    </w:r>
    <w:r>
      <w:rPr>
        <w:rFonts w:hint="eastAsia"/>
        <w:kern w:val="0"/>
        <w:szCs w:val="21"/>
      </w:rPr>
      <w:t>页共</w:t>
    </w:r>
    <w:r w:rsidR="00381EE8">
      <w:rPr>
        <w:kern w:val="0"/>
        <w:szCs w:val="21"/>
      </w:rPr>
      <w:fldChar w:fldCharType="begin"/>
    </w:r>
    <w:r>
      <w:rPr>
        <w:kern w:val="0"/>
        <w:szCs w:val="21"/>
      </w:rPr>
      <w:instrText xml:space="preserve"> NUMPAGES </w:instrText>
    </w:r>
    <w:r w:rsidR="00381EE8">
      <w:rPr>
        <w:kern w:val="0"/>
        <w:szCs w:val="21"/>
      </w:rPr>
      <w:fldChar w:fldCharType="separate"/>
    </w:r>
    <w:r w:rsidR="00AA3969">
      <w:rPr>
        <w:noProof/>
        <w:kern w:val="0"/>
        <w:szCs w:val="21"/>
      </w:rPr>
      <w:t>24</w:t>
    </w:r>
    <w:r w:rsidR="00381EE8">
      <w:rPr>
        <w:kern w:val="0"/>
        <w:szCs w:val="21"/>
      </w:rPr>
      <w:fldChar w:fldCharType="end"/>
    </w:r>
    <w:r>
      <w:rPr>
        <w:rFonts w:hint="eastAsia"/>
        <w:kern w:val="0"/>
        <w:szCs w:val="21"/>
      </w:rPr>
      <w:t>页</w:t>
    </w: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D9393A" w:rsidRDefault="00D9393A">
    <w:pPr>
      <w:pStyle w:val="a6"/>
    </w:pP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rsidP="00876D65" w:rsidR="00C11AA1" w:rsidRDefault="00C11AA1">
      <w:r>
        <w:separator/>
      </w:r>
    </w:p>
  </w:footnote>
  <w:footnote w:id="0" w:type="continuationSeparator">
    <w:p w:rsidP="00876D65" w:rsidR="00C11AA1" w:rsidRDefault="00C11AA1">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D9393A" w:rsidRDefault="00D9393A">
    <w:pPr>
      <w:pStyle w:val="a9"/>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P="00090A26" w:rsidR="00171EF0" w:rsidRDefault="00DC456F" w:rsidRPr="00DC456F">
    <w:pPr>
      <w:pStyle w:val="a9"/>
      <w:pBdr>
        <w:bottom w:color="auto" w:space="0" w:sz="6" w:val="single"/>
      </w:pBdr>
      <w:jc w:val="right"/>
      <w:rPr>
        <w:sz w:val="24"/>
        <w:szCs w:val="24"/>
      </w:rPr>
    </w:pPr>
    <w:r w:rsidRPr="003E676C">
      <w:rPr>
        <w:sz w:val="24"/>
        <w:szCs w:val="24"/>
      </w:rPr>
      <w:t>交银施罗德品质升级混合型证券投资基金2020年第1季度报告</w:t>
    </w: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D9393A" w:rsidRDefault="00D9393A">
    <w:pPr>
      <w:pStyle w:val="a9"/>
    </w:pP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15:restartNumberingAfterBreak="0" w:abstractNumId="0">
    <w:nsid w:val="17055987"/>
    <w:multiLevelType w:val="hybridMultilevel"/>
    <w:tmpl w:val="6DACDB38"/>
    <w:lvl w:ilvl="0" w:tplc="307C87E8">
      <w:start w:val="2006"/>
      <w:numFmt w:val="bullet"/>
      <w:lvlText w:val="●"/>
      <w:lvlJc w:val="left"/>
      <w:pPr>
        <w:tabs>
          <w:tab w:pos="780" w:val="num"/>
        </w:tabs>
        <w:ind w:hanging="360" w:left="780"/>
      </w:pPr>
      <w:rPr>
        <w:rFonts w:ascii="Times New Roman" w:eastAsia="宋体" w:hAnsi="Times New Roman" w:hint="default"/>
      </w:rPr>
    </w:lvl>
    <w:lvl w:ilvl="1" w:tplc="04090003">
      <w:start w:val="1"/>
      <w:numFmt w:val="bullet"/>
      <w:lvlText w:val=""/>
      <w:lvlJc w:val="left"/>
      <w:pPr>
        <w:tabs>
          <w:tab w:pos="1260" w:val="num"/>
        </w:tabs>
        <w:ind w:hanging="420" w:left="1260"/>
      </w:pPr>
      <w:rPr>
        <w:rFonts w:ascii="Wingdings" w:cs="Wingdings" w:hAnsi="Wingdings" w:hint="default"/>
      </w:rPr>
    </w:lvl>
    <w:lvl w:ilvl="2" w:tplc="04090005">
      <w:start w:val="1"/>
      <w:numFmt w:val="bullet"/>
      <w:lvlText w:val=""/>
      <w:lvlJc w:val="left"/>
      <w:pPr>
        <w:tabs>
          <w:tab w:pos="1680" w:val="num"/>
        </w:tabs>
        <w:ind w:hanging="420" w:left="1680"/>
      </w:pPr>
      <w:rPr>
        <w:rFonts w:ascii="Wingdings" w:cs="Wingdings" w:hAnsi="Wingdings" w:hint="default"/>
      </w:rPr>
    </w:lvl>
    <w:lvl w:ilvl="3" w:tplc="04090001">
      <w:start w:val="1"/>
      <w:numFmt w:val="bullet"/>
      <w:lvlText w:val=""/>
      <w:lvlJc w:val="left"/>
      <w:pPr>
        <w:tabs>
          <w:tab w:pos="2100" w:val="num"/>
        </w:tabs>
        <w:ind w:hanging="420" w:left="2100"/>
      </w:pPr>
      <w:rPr>
        <w:rFonts w:ascii="Wingdings" w:cs="Wingdings" w:hAnsi="Wingdings" w:hint="default"/>
      </w:rPr>
    </w:lvl>
    <w:lvl w:ilvl="4" w:tplc="04090003">
      <w:start w:val="1"/>
      <w:numFmt w:val="bullet"/>
      <w:lvlText w:val=""/>
      <w:lvlJc w:val="left"/>
      <w:pPr>
        <w:tabs>
          <w:tab w:pos="2520" w:val="num"/>
        </w:tabs>
        <w:ind w:hanging="420" w:left="2520"/>
      </w:pPr>
      <w:rPr>
        <w:rFonts w:ascii="Wingdings" w:cs="Wingdings" w:hAnsi="Wingdings" w:hint="default"/>
      </w:rPr>
    </w:lvl>
    <w:lvl w:ilvl="5" w:tplc="04090005">
      <w:start w:val="1"/>
      <w:numFmt w:val="bullet"/>
      <w:lvlText w:val=""/>
      <w:lvlJc w:val="left"/>
      <w:pPr>
        <w:tabs>
          <w:tab w:pos="2940" w:val="num"/>
        </w:tabs>
        <w:ind w:hanging="420" w:left="2940"/>
      </w:pPr>
      <w:rPr>
        <w:rFonts w:ascii="Wingdings" w:cs="Wingdings" w:hAnsi="Wingdings" w:hint="default"/>
      </w:rPr>
    </w:lvl>
    <w:lvl w:ilvl="6" w:tplc="04090001">
      <w:start w:val="1"/>
      <w:numFmt w:val="bullet"/>
      <w:lvlText w:val=""/>
      <w:lvlJc w:val="left"/>
      <w:pPr>
        <w:tabs>
          <w:tab w:pos="3360" w:val="num"/>
        </w:tabs>
        <w:ind w:hanging="420" w:left="3360"/>
      </w:pPr>
      <w:rPr>
        <w:rFonts w:ascii="Wingdings" w:cs="Wingdings" w:hAnsi="Wingdings" w:hint="default"/>
      </w:rPr>
    </w:lvl>
    <w:lvl w:ilvl="7" w:tplc="04090003">
      <w:start w:val="1"/>
      <w:numFmt w:val="bullet"/>
      <w:lvlText w:val=""/>
      <w:lvlJc w:val="left"/>
      <w:pPr>
        <w:tabs>
          <w:tab w:pos="3780" w:val="num"/>
        </w:tabs>
        <w:ind w:hanging="420" w:left="3780"/>
      </w:pPr>
      <w:rPr>
        <w:rFonts w:ascii="Wingdings" w:cs="Wingdings" w:hAnsi="Wingdings" w:hint="default"/>
      </w:rPr>
    </w:lvl>
    <w:lvl w:ilvl="8" w:tplc="04090005">
      <w:start w:val="1"/>
      <w:numFmt w:val="bullet"/>
      <w:lvlText w:val=""/>
      <w:lvlJc w:val="left"/>
      <w:pPr>
        <w:tabs>
          <w:tab w:pos="4200" w:val="num"/>
        </w:tabs>
        <w:ind w:hanging="420" w:left="4200"/>
      </w:pPr>
      <w:rPr>
        <w:rFonts w:ascii="Wingdings" w:cs="Wingdings" w:hAnsi="Wingdings" w:hint="default"/>
      </w:rPr>
    </w:lvl>
  </w:abstractNum>
  <w:abstractNum w15:restartNumberingAfterBreak="0" w:abstractNumId="1">
    <w:nsid w:val="57E8240C"/>
    <w:multiLevelType w:val="hybridMultilevel"/>
    <w:tmpl w:val="300A7112"/>
    <w:lvl w:ilvl="0" w:tplc="3782FDB8">
      <w:start w:val="1"/>
      <w:numFmt w:val="decimal"/>
      <w:lvlText w:val="（%1）"/>
      <w:lvlJc w:val="left"/>
      <w:pPr>
        <w:tabs>
          <w:tab w:pos="1200" w:val="num"/>
        </w:tabs>
        <w:ind w:hanging="720" w:left="1200"/>
      </w:pPr>
      <w:rPr>
        <w:rFonts w:hint="eastAsia"/>
        <w:sz w:val="24"/>
        <w:szCs w:val="24"/>
      </w:rPr>
    </w:lvl>
    <w:lvl w:ilvl="1" w:tplc="04090019">
      <w:start w:val="1"/>
      <w:numFmt w:val="lowerLetter"/>
      <w:lvlText w:val="%2)"/>
      <w:lvlJc w:val="left"/>
      <w:pPr>
        <w:tabs>
          <w:tab w:pos="1320" w:val="num"/>
        </w:tabs>
        <w:ind w:hanging="420" w:left="1320"/>
      </w:pPr>
    </w:lvl>
    <w:lvl w:ilvl="2" w:tplc="0409001B">
      <w:start w:val="1"/>
      <w:numFmt w:val="lowerRoman"/>
      <w:lvlText w:val="%3."/>
      <w:lvlJc w:val="right"/>
      <w:pPr>
        <w:tabs>
          <w:tab w:pos="1740" w:val="num"/>
        </w:tabs>
        <w:ind w:hanging="420" w:left="1740"/>
      </w:pPr>
    </w:lvl>
    <w:lvl w:ilvl="3" w:tplc="0409000F">
      <w:start w:val="1"/>
      <w:numFmt w:val="decimal"/>
      <w:lvlText w:val="%4."/>
      <w:lvlJc w:val="left"/>
      <w:pPr>
        <w:tabs>
          <w:tab w:pos="2160" w:val="num"/>
        </w:tabs>
        <w:ind w:hanging="420" w:left="2160"/>
      </w:pPr>
    </w:lvl>
    <w:lvl w:ilvl="4" w:tplc="04090019">
      <w:start w:val="1"/>
      <w:numFmt w:val="lowerLetter"/>
      <w:lvlText w:val="%5)"/>
      <w:lvlJc w:val="left"/>
      <w:pPr>
        <w:tabs>
          <w:tab w:pos="2580" w:val="num"/>
        </w:tabs>
        <w:ind w:hanging="420" w:left="2580"/>
      </w:pPr>
    </w:lvl>
    <w:lvl w:ilvl="5" w:tplc="0409001B">
      <w:start w:val="1"/>
      <w:numFmt w:val="lowerRoman"/>
      <w:lvlText w:val="%6."/>
      <w:lvlJc w:val="right"/>
      <w:pPr>
        <w:tabs>
          <w:tab w:pos="3000" w:val="num"/>
        </w:tabs>
        <w:ind w:hanging="420" w:left="3000"/>
      </w:pPr>
    </w:lvl>
    <w:lvl w:ilvl="6" w:tplc="0409000F">
      <w:start w:val="1"/>
      <w:numFmt w:val="decimal"/>
      <w:lvlText w:val="%7."/>
      <w:lvlJc w:val="left"/>
      <w:pPr>
        <w:tabs>
          <w:tab w:pos="3420" w:val="num"/>
        </w:tabs>
        <w:ind w:hanging="420" w:left="3420"/>
      </w:pPr>
    </w:lvl>
    <w:lvl w:ilvl="7" w:tplc="04090019">
      <w:start w:val="1"/>
      <w:numFmt w:val="lowerLetter"/>
      <w:lvlText w:val="%8)"/>
      <w:lvlJc w:val="left"/>
      <w:pPr>
        <w:tabs>
          <w:tab w:pos="3840" w:val="num"/>
        </w:tabs>
        <w:ind w:hanging="420" w:left="3840"/>
      </w:pPr>
    </w:lvl>
    <w:lvl w:ilvl="8" w:tplc="0409001B">
      <w:start w:val="1"/>
      <w:numFmt w:val="lowerRoman"/>
      <w:lvlText w:val="%9."/>
      <w:lvlJc w:val="right"/>
      <w:pPr>
        <w:tabs>
          <w:tab w:pos="4260" w:val="num"/>
        </w:tabs>
        <w:ind w:hanging="420" w:left="4260"/>
      </w:pPr>
    </w:lvl>
  </w:abstractNum>
  <w:abstractNum w15:restartNumberingAfterBreak="0" w:abstractNumId="2">
    <w:nsid w:val="7EC34207"/>
    <w:multiLevelType w:val="hybridMultilevel"/>
    <w:tmpl w:val="58FC50DE"/>
    <w:lvl w:ilvl="0" w:tplc="788C0680">
      <w:start w:val="1"/>
      <w:numFmt w:val="japaneseCounting"/>
      <w:lvlText w:val="%1、"/>
      <w:lvlJc w:val="left"/>
      <w:pPr>
        <w:tabs>
          <w:tab w:pos="480" w:val="num"/>
        </w:tabs>
        <w:ind w:hanging="480" w:left="480"/>
      </w:pPr>
      <w:rPr>
        <w:rFonts w:eastAsia="宋体" w:hint="eastAsia"/>
        <w:color w:val="auto"/>
      </w:rPr>
    </w:lvl>
    <w:lvl w:ilvl="1" w:tplc="D5ACC954">
      <w:start w:val="1"/>
      <w:numFmt w:val="japaneseCounting"/>
      <w:lvlText w:val="(%2)"/>
      <w:lvlJc w:val="left"/>
      <w:pPr>
        <w:tabs>
          <w:tab w:pos="810" w:val="num"/>
        </w:tabs>
        <w:ind w:hanging="390" w:left="810"/>
      </w:pPr>
      <w:rPr>
        <w:rFonts w:hint="eastAsia"/>
      </w:rPr>
    </w:lvl>
    <w:lvl w:ilvl="2" w:tplc="E2F6B948">
      <w:start w:val="1"/>
      <w:numFmt w:val="decimal"/>
      <w:lvlText w:val="%3、"/>
      <w:lvlJc w:val="left"/>
      <w:pPr>
        <w:tabs>
          <w:tab w:pos="1200" w:val="num"/>
        </w:tabs>
        <w:ind w:hanging="360" w:left="1200"/>
      </w:pPr>
      <w:rPr>
        <w:rFonts w:hint="eastAsia"/>
      </w:rPr>
    </w:lvl>
    <w:lvl w:ilvl="3" w:tplc="0409000F">
      <w:start w:val="1"/>
      <w:numFmt w:val="decimal"/>
      <w:lvlText w:val="%4."/>
      <w:lvlJc w:val="left"/>
      <w:pPr>
        <w:tabs>
          <w:tab w:pos="1680" w:val="num"/>
        </w:tabs>
        <w:ind w:hanging="420" w:left="1680"/>
      </w:pPr>
    </w:lvl>
    <w:lvl w:ilvl="4" w:tplc="04090019">
      <w:start w:val="1"/>
      <w:numFmt w:val="lowerLetter"/>
      <w:lvlText w:val="%5)"/>
      <w:lvlJc w:val="left"/>
      <w:pPr>
        <w:tabs>
          <w:tab w:pos="2100" w:val="num"/>
        </w:tabs>
        <w:ind w:hanging="420" w:left="2100"/>
      </w:pPr>
    </w:lvl>
    <w:lvl w:ilvl="5" w:tplc="0409001B">
      <w:start w:val="1"/>
      <w:numFmt w:val="lowerRoman"/>
      <w:lvlText w:val="%6."/>
      <w:lvlJc w:val="right"/>
      <w:pPr>
        <w:tabs>
          <w:tab w:pos="2520" w:val="num"/>
        </w:tabs>
        <w:ind w:hanging="420" w:left="2520"/>
      </w:pPr>
    </w:lvl>
    <w:lvl w:ilvl="6" w:tplc="0409000F">
      <w:start w:val="1"/>
      <w:numFmt w:val="decimal"/>
      <w:lvlText w:val="%7."/>
      <w:lvlJc w:val="left"/>
      <w:pPr>
        <w:tabs>
          <w:tab w:pos="2940" w:val="num"/>
        </w:tabs>
        <w:ind w:hanging="420" w:left="2940"/>
      </w:pPr>
    </w:lvl>
    <w:lvl w:ilvl="7" w:tplc="04090019">
      <w:start w:val="1"/>
      <w:numFmt w:val="lowerLetter"/>
      <w:lvlText w:val="%8)"/>
      <w:lvlJc w:val="left"/>
      <w:pPr>
        <w:tabs>
          <w:tab w:pos="3360" w:val="num"/>
        </w:tabs>
        <w:ind w:hanging="420" w:left="3360"/>
      </w:pPr>
    </w:lvl>
    <w:lvl w:ilvl="8" w:tplc="0409001B">
      <w:start w:val="1"/>
      <w:numFmt w:val="lowerRoman"/>
      <w:lvlText w:val="%9."/>
      <w:lvlJc w:val="right"/>
      <w:pPr>
        <w:tabs>
          <w:tab w:pos="3780" w:val="num"/>
        </w:tabs>
        <w:ind w:hanging="420" w:left="378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spidmax="2049" v:ext="edi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00678"/>
    <w:rsid w:val="00006A28"/>
    <w:rsid w:val="00014099"/>
    <w:rsid w:val="000160C5"/>
    <w:rsid w:val="000210E7"/>
    <w:rsid w:val="000243BD"/>
    <w:rsid w:val="00024F7F"/>
    <w:rsid w:val="00031EBB"/>
    <w:rsid w:val="00033B8D"/>
    <w:rsid w:val="0004308C"/>
    <w:rsid w:val="00043852"/>
    <w:rsid w:val="000450DD"/>
    <w:rsid w:val="000463DE"/>
    <w:rsid w:val="0006147E"/>
    <w:rsid w:val="000625ED"/>
    <w:rsid w:val="00064D40"/>
    <w:rsid w:val="00066A97"/>
    <w:rsid w:val="000815C0"/>
    <w:rsid w:val="000824E7"/>
    <w:rsid w:val="0008313A"/>
    <w:rsid w:val="00085E78"/>
    <w:rsid w:val="0008689B"/>
    <w:rsid w:val="00086D4E"/>
    <w:rsid w:val="000907D2"/>
    <w:rsid w:val="00090A26"/>
    <w:rsid w:val="000A2B53"/>
    <w:rsid w:val="000A2FC0"/>
    <w:rsid w:val="000A4173"/>
    <w:rsid w:val="000B1D21"/>
    <w:rsid w:val="000B1EB7"/>
    <w:rsid w:val="000B5C78"/>
    <w:rsid w:val="000B624F"/>
    <w:rsid w:val="000B73C6"/>
    <w:rsid w:val="000C190B"/>
    <w:rsid w:val="000C1E17"/>
    <w:rsid w:val="000C5216"/>
    <w:rsid w:val="000D0E6C"/>
    <w:rsid w:val="000D11DE"/>
    <w:rsid w:val="000D3ED4"/>
    <w:rsid w:val="000E5DA5"/>
    <w:rsid w:val="000E7E5E"/>
    <w:rsid w:val="000F6CC8"/>
    <w:rsid w:val="00111261"/>
    <w:rsid w:val="0011537B"/>
    <w:rsid w:val="00133015"/>
    <w:rsid w:val="00137452"/>
    <w:rsid w:val="00137B31"/>
    <w:rsid w:val="00144F93"/>
    <w:rsid w:val="00147376"/>
    <w:rsid w:val="0015450B"/>
    <w:rsid w:val="00154BE1"/>
    <w:rsid w:val="0015710B"/>
    <w:rsid w:val="00160EDC"/>
    <w:rsid w:val="00162D61"/>
    <w:rsid w:val="001675CD"/>
    <w:rsid w:val="0017126E"/>
    <w:rsid w:val="001717D5"/>
    <w:rsid w:val="00171EF0"/>
    <w:rsid w:val="00173B44"/>
    <w:rsid w:val="001761D2"/>
    <w:rsid w:val="00176C21"/>
    <w:rsid w:val="0018138B"/>
    <w:rsid w:val="001830D7"/>
    <w:rsid w:val="00185A34"/>
    <w:rsid w:val="001934F6"/>
    <w:rsid w:val="00196E6C"/>
    <w:rsid w:val="001A280A"/>
    <w:rsid w:val="001A73E8"/>
    <w:rsid w:val="001B0A62"/>
    <w:rsid w:val="001B2F35"/>
    <w:rsid w:val="001B4DD6"/>
    <w:rsid w:val="001B5607"/>
    <w:rsid w:val="001C0993"/>
    <w:rsid w:val="001C79F2"/>
    <w:rsid w:val="001D6A4B"/>
    <w:rsid w:val="001E4630"/>
    <w:rsid w:val="001F0964"/>
    <w:rsid w:val="001F30DA"/>
    <w:rsid w:val="001F3E2A"/>
    <w:rsid w:val="001F5DC5"/>
    <w:rsid w:val="00200FAB"/>
    <w:rsid w:val="00213821"/>
    <w:rsid w:val="00213DFB"/>
    <w:rsid w:val="00217B92"/>
    <w:rsid w:val="0022309F"/>
    <w:rsid w:val="00224294"/>
    <w:rsid w:val="002279D3"/>
    <w:rsid w:val="00240248"/>
    <w:rsid w:val="0024363B"/>
    <w:rsid w:val="00246049"/>
    <w:rsid w:val="00247332"/>
    <w:rsid w:val="00253578"/>
    <w:rsid w:val="00261111"/>
    <w:rsid w:val="00264E55"/>
    <w:rsid w:val="00270744"/>
    <w:rsid w:val="002731EC"/>
    <w:rsid w:val="00275745"/>
    <w:rsid w:val="0027688F"/>
    <w:rsid w:val="00276E44"/>
    <w:rsid w:val="00285DB3"/>
    <w:rsid w:val="00285F38"/>
    <w:rsid w:val="00286BEF"/>
    <w:rsid w:val="00286FA2"/>
    <w:rsid w:val="002902E9"/>
    <w:rsid w:val="002918E3"/>
    <w:rsid w:val="00295CD0"/>
    <w:rsid w:val="002973A9"/>
    <w:rsid w:val="002B1D1A"/>
    <w:rsid w:val="002C2834"/>
    <w:rsid w:val="002C3C7A"/>
    <w:rsid w:val="002C5F95"/>
    <w:rsid w:val="002C657A"/>
    <w:rsid w:val="002D48DF"/>
    <w:rsid w:val="002D6872"/>
    <w:rsid w:val="002D6FB6"/>
    <w:rsid w:val="002E3B09"/>
    <w:rsid w:val="002E52B3"/>
    <w:rsid w:val="00301559"/>
    <w:rsid w:val="00302816"/>
    <w:rsid w:val="00304A12"/>
    <w:rsid w:val="00305636"/>
    <w:rsid w:val="00311662"/>
    <w:rsid w:val="00312A9F"/>
    <w:rsid w:val="00315D5D"/>
    <w:rsid w:val="00316484"/>
    <w:rsid w:val="00316E01"/>
    <w:rsid w:val="00320300"/>
    <w:rsid w:val="00320E90"/>
    <w:rsid w:val="00324508"/>
    <w:rsid w:val="003259C8"/>
    <w:rsid w:val="003307FE"/>
    <w:rsid w:val="00333AD0"/>
    <w:rsid w:val="00336EAF"/>
    <w:rsid w:val="00345A47"/>
    <w:rsid w:val="003470E2"/>
    <w:rsid w:val="0035076C"/>
    <w:rsid w:val="00352719"/>
    <w:rsid w:val="0035383E"/>
    <w:rsid w:val="00355364"/>
    <w:rsid w:val="00364CCB"/>
    <w:rsid w:val="00365798"/>
    <w:rsid w:val="00372F16"/>
    <w:rsid w:val="00381EE8"/>
    <w:rsid w:val="0039085F"/>
    <w:rsid w:val="00394069"/>
    <w:rsid w:val="00396809"/>
    <w:rsid w:val="003A58DC"/>
    <w:rsid w:val="003A6061"/>
    <w:rsid w:val="003B3494"/>
    <w:rsid w:val="003B5E08"/>
    <w:rsid w:val="003B6FBC"/>
    <w:rsid w:val="003C32C0"/>
    <w:rsid w:val="003C50AD"/>
    <w:rsid w:val="003D2269"/>
    <w:rsid w:val="003D742E"/>
    <w:rsid w:val="003E62FB"/>
    <w:rsid w:val="003E6867"/>
    <w:rsid w:val="003F0956"/>
    <w:rsid w:val="003F09B5"/>
    <w:rsid w:val="003F1ECB"/>
    <w:rsid w:val="003F39DF"/>
    <w:rsid w:val="003F63BE"/>
    <w:rsid w:val="004003F8"/>
    <w:rsid w:val="004033ED"/>
    <w:rsid w:val="004061AC"/>
    <w:rsid w:val="00406DA6"/>
    <w:rsid w:val="00410630"/>
    <w:rsid w:val="00414345"/>
    <w:rsid w:val="004149AC"/>
    <w:rsid w:val="0042009D"/>
    <w:rsid w:val="004216D2"/>
    <w:rsid w:val="00421CD2"/>
    <w:rsid w:val="00426096"/>
    <w:rsid w:val="00426A8F"/>
    <w:rsid w:val="00427F58"/>
    <w:rsid w:val="00433805"/>
    <w:rsid w:val="00442F8D"/>
    <w:rsid w:val="00443869"/>
    <w:rsid w:val="00443ABF"/>
    <w:rsid w:val="00460575"/>
    <w:rsid w:val="00463EC0"/>
    <w:rsid w:val="00464787"/>
    <w:rsid w:val="00471408"/>
    <w:rsid w:val="00480B35"/>
    <w:rsid w:val="004858E0"/>
    <w:rsid w:val="00487A40"/>
    <w:rsid w:val="004917C3"/>
    <w:rsid w:val="00491C81"/>
    <w:rsid w:val="004934E9"/>
    <w:rsid w:val="004943C2"/>
    <w:rsid w:val="004949F3"/>
    <w:rsid w:val="004A0AA9"/>
    <w:rsid w:val="004A11A7"/>
    <w:rsid w:val="004A459C"/>
    <w:rsid w:val="004A6731"/>
    <w:rsid w:val="004A7B1D"/>
    <w:rsid w:val="004B2AF4"/>
    <w:rsid w:val="004C0914"/>
    <w:rsid w:val="004C20CA"/>
    <w:rsid w:val="004C702F"/>
    <w:rsid w:val="004D340C"/>
    <w:rsid w:val="004D495A"/>
    <w:rsid w:val="004E5975"/>
    <w:rsid w:val="004E790A"/>
    <w:rsid w:val="004F1A4E"/>
    <w:rsid w:val="004F50FD"/>
    <w:rsid w:val="00500A03"/>
    <w:rsid w:val="00512200"/>
    <w:rsid w:val="005143CD"/>
    <w:rsid w:val="005144F2"/>
    <w:rsid w:val="00516618"/>
    <w:rsid w:val="00517989"/>
    <w:rsid w:val="005242A5"/>
    <w:rsid w:val="0052479B"/>
    <w:rsid w:val="005249DD"/>
    <w:rsid w:val="00524D96"/>
    <w:rsid w:val="00530ABE"/>
    <w:rsid w:val="00531BA5"/>
    <w:rsid w:val="00531F10"/>
    <w:rsid w:val="00532E86"/>
    <w:rsid w:val="00536432"/>
    <w:rsid w:val="005401DB"/>
    <w:rsid w:val="00540818"/>
    <w:rsid w:val="00542434"/>
    <w:rsid w:val="00542470"/>
    <w:rsid w:val="00542546"/>
    <w:rsid w:val="005454FB"/>
    <w:rsid w:val="005608EF"/>
    <w:rsid w:val="005659E4"/>
    <w:rsid w:val="00570842"/>
    <w:rsid w:val="00572784"/>
    <w:rsid w:val="00572D9F"/>
    <w:rsid w:val="00573097"/>
    <w:rsid w:val="00575270"/>
    <w:rsid w:val="005761EE"/>
    <w:rsid w:val="00582D99"/>
    <w:rsid w:val="00585263"/>
    <w:rsid w:val="005866D3"/>
    <w:rsid w:val="0059076B"/>
    <w:rsid w:val="005910BF"/>
    <w:rsid w:val="005A0A33"/>
    <w:rsid w:val="005A0F1F"/>
    <w:rsid w:val="005A3D62"/>
    <w:rsid w:val="005A6675"/>
    <w:rsid w:val="005B04A5"/>
    <w:rsid w:val="005B09FA"/>
    <w:rsid w:val="005B2E9C"/>
    <w:rsid w:val="005B3CC0"/>
    <w:rsid w:val="005B4C8F"/>
    <w:rsid w:val="005B4F93"/>
    <w:rsid w:val="005B73D2"/>
    <w:rsid w:val="005D2B36"/>
    <w:rsid w:val="005E475E"/>
    <w:rsid w:val="005F118D"/>
    <w:rsid w:val="005F1F22"/>
    <w:rsid w:val="005F3996"/>
    <w:rsid w:val="005F3B86"/>
    <w:rsid w:val="005F6AF6"/>
    <w:rsid w:val="00604E50"/>
    <w:rsid w:val="006054CF"/>
    <w:rsid w:val="006066D2"/>
    <w:rsid w:val="006075E6"/>
    <w:rsid w:val="0061286A"/>
    <w:rsid w:val="00613BB8"/>
    <w:rsid w:val="00614CC4"/>
    <w:rsid w:val="0062025E"/>
    <w:rsid w:val="00625BFC"/>
    <w:rsid w:val="00626998"/>
    <w:rsid w:val="006269FB"/>
    <w:rsid w:val="00627E2D"/>
    <w:rsid w:val="00627EDE"/>
    <w:rsid w:val="00631ED8"/>
    <w:rsid w:val="006326E3"/>
    <w:rsid w:val="00632B0F"/>
    <w:rsid w:val="00636DB7"/>
    <w:rsid w:val="0063783A"/>
    <w:rsid w:val="00641048"/>
    <w:rsid w:val="006423B9"/>
    <w:rsid w:val="00642FA0"/>
    <w:rsid w:val="00653458"/>
    <w:rsid w:val="00654B0D"/>
    <w:rsid w:val="0065599B"/>
    <w:rsid w:val="00655CD8"/>
    <w:rsid w:val="00655E1C"/>
    <w:rsid w:val="006571DC"/>
    <w:rsid w:val="00660D4B"/>
    <w:rsid w:val="00664ECC"/>
    <w:rsid w:val="00670547"/>
    <w:rsid w:val="00670989"/>
    <w:rsid w:val="00672A26"/>
    <w:rsid w:val="006742DC"/>
    <w:rsid w:val="006757DC"/>
    <w:rsid w:val="00676095"/>
    <w:rsid w:val="006823C3"/>
    <w:rsid w:val="006928F1"/>
    <w:rsid w:val="00693843"/>
    <w:rsid w:val="0069426C"/>
    <w:rsid w:val="00694DFB"/>
    <w:rsid w:val="006A0893"/>
    <w:rsid w:val="006A10AB"/>
    <w:rsid w:val="006A1C62"/>
    <w:rsid w:val="006A48FD"/>
    <w:rsid w:val="006A5EA9"/>
    <w:rsid w:val="006A61EE"/>
    <w:rsid w:val="006A67F8"/>
    <w:rsid w:val="006A7AF1"/>
    <w:rsid w:val="006B0D08"/>
    <w:rsid w:val="006B11BB"/>
    <w:rsid w:val="006B2FF6"/>
    <w:rsid w:val="006B5457"/>
    <w:rsid w:val="006B5F69"/>
    <w:rsid w:val="006C12B8"/>
    <w:rsid w:val="006C2C1B"/>
    <w:rsid w:val="006C37FC"/>
    <w:rsid w:val="006C7EA3"/>
    <w:rsid w:val="006D2F96"/>
    <w:rsid w:val="006D39E9"/>
    <w:rsid w:val="006D3BE3"/>
    <w:rsid w:val="006D7004"/>
    <w:rsid w:val="006D789D"/>
    <w:rsid w:val="006D7FF8"/>
    <w:rsid w:val="006E042A"/>
    <w:rsid w:val="006E6726"/>
    <w:rsid w:val="006F5E68"/>
    <w:rsid w:val="00706D60"/>
    <w:rsid w:val="007075E3"/>
    <w:rsid w:val="00707F66"/>
    <w:rsid w:val="00710AE0"/>
    <w:rsid w:val="00713A1A"/>
    <w:rsid w:val="00713B5F"/>
    <w:rsid w:val="00720D28"/>
    <w:rsid w:val="00722509"/>
    <w:rsid w:val="00723CB2"/>
    <w:rsid w:val="0072794E"/>
    <w:rsid w:val="00727DD8"/>
    <w:rsid w:val="00727FCD"/>
    <w:rsid w:val="007311DB"/>
    <w:rsid w:val="00733DDD"/>
    <w:rsid w:val="00750CDF"/>
    <w:rsid w:val="00752BA5"/>
    <w:rsid w:val="00755D86"/>
    <w:rsid w:val="007570FE"/>
    <w:rsid w:val="00767C98"/>
    <w:rsid w:val="00770971"/>
    <w:rsid w:val="00772547"/>
    <w:rsid w:val="00775B61"/>
    <w:rsid w:val="007815D8"/>
    <w:rsid w:val="00794090"/>
    <w:rsid w:val="00796CA8"/>
    <w:rsid w:val="007972F5"/>
    <w:rsid w:val="00797305"/>
    <w:rsid w:val="007A0693"/>
    <w:rsid w:val="007A093F"/>
    <w:rsid w:val="007B035B"/>
    <w:rsid w:val="007B2639"/>
    <w:rsid w:val="007B4C04"/>
    <w:rsid w:val="007B5AFB"/>
    <w:rsid w:val="007B5F21"/>
    <w:rsid w:val="007C395A"/>
    <w:rsid w:val="007C5862"/>
    <w:rsid w:val="007D0922"/>
    <w:rsid w:val="007D100C"/>
    <w:rsid w:val="007E2686"/>
    <w:rsid w:val="007E57C0"/>
    <w:rsid w:val="007F29B1"/>
    <w:rsid w:val="007F6DD1"/>
    <w:rsid w:val="007F7F0B"/>
    <w:rsid w:val="008014F9"/>
    <w:rsid w:val="0080358B"/>
    <w:rsid w:val="008059BD"/>
    <w:rsid w:val="0081286B"/>
    <w:rsid w:val="00812D46"/>
    <w:rsid w:val="008148E0"/>
    <w:rsid w:val="00815769"/>
    <w:rsid w:val="00815A38"/>
    <w:rsid w:val="0082103F"/>
    <w:rsid w:val="00821235"/>
    <w:rsid w:val="00824239"/>
    <w:rsid w:val="008279FE"/>
    <w:rsid w:val="00831259"/>
    <w:rsid w:val="0083208A"/>
    <w:rsid w:val="0083218A"/>
    <w:rsid w:val="00832A00"/>
    <w:rsid w:val="00834E74"/>
    <w:rsid w:val="00837845"/>
    <w:rsid w:val="00843513"/>
    <w:rsid w:val="008442C4"/>
    <w:rsid w:val="00844DB2"/>
    <w:rsid w:val="00846739"/>
    <w:rsid w:val="00853140"/>
    <w:rsid w:val="00854537"/>
    <w:rsid w:val="00855F31"/>
    <w:rsid w:val="008606B6"/>
    <w:rsid w:val="00861E6D"/>
    <w:rsid w:val="008700EC"/>
    <w:rsid w:val="008749A7"/>
    <w:rsid w:val="00875DAC"/>
    <w:rsid w:val="00876D65"/>
    <w:rsid w:val="008837D3"/>
    <w:rsid w:val="00883B3C"/>
    <w:rsid w:val="00883D7C"/>
    <w:rsid w:val="008868F3"/>
    <w:rsid w:val="00891261"/>
    <w:rsid w:val="008A21B2"/>
    <w:rsid w:val="008A3DAA"/>
    <w:rsid w:val="008A5B20"/>
    <w:rsid w:val="008B2FDD"/>
    <w:rsid w:val="008B3C7E"/>
    <w:rsid w:val="008B4A75"/>
    <w:rsid w:val="008C15BF"/>
    <w:rsid w:val="008C75E7"/>
    <w:rsid w:val="008C7CA8"/>
    <w:rsid w:val="008C7FFA"/>
    <w:rsid w:val="008D09EC"/>
    <w:rsid w:val="008D7CBF"/>
    <w:rsid w:val="008E07EB"/>
    <w:rsid w:val="008E1D74"/>
    <w:rsid w:val="008E2DCB"/>
    <w:rsid w:val="008E326D"/>
    <w:rsid w:val="008E35F0"/>
    <w:rsid w:val="008F3B64"/>
    <w:rsid w:val="008F5F67"/>
    <w:rsid w:val="008F60F2"/>
    <w:rsid w:val="0090217D"/>
    <w:rsid w:val="00905C5E"/>
    <w:rsid w:val="009078DC"/>
    <w:rsid w:val="009200F6"/>
    <w:rsid w:val="00921735"/>
    <w:rsid w:val="00921AC7"/>
    <w:rsid w:val="00924582"/>
    <w:rsid w:val="00931291"/>
    <w:rsid w:val="0093367D"/>
    <w:rsid w:val="009431FA"/>
    <w:rsid w:val="00945AF6"/>
    <w:rsid w:val="009550BE"/>
    <w:rsid w:val="00955531"/>
    <w:rsid w:val="00955BE8"/>
    <w:rsid w:val="00957594"/>
    <w:rsid w:val="00963F40"/>
    <w:rsid w:val="009730B8"/>
    <w:rsid w:val="009734BB"/>
    <w:rsid w:val="0097424F"/>
    <w:rsid w:val="0098122D"/>
    <w:rsid w:val="00986596"/>
    <w:rsid w:val="00990685"/>
    <w:rsid w:val="009A0ABE"/>
    <w:rsid w:val="009A4E5D"/>
    <w:rsid w:val="009B2D4B"/>
    <w:rsid w:val="009C1009"/>
    <w:rsid w:val="009C5186"/>
    <w:rsid w:val="009C60F7"/>
    <w:rsid w:val="009D0952"/>
    <w:rsid w:val="009D1BD9"/>
    <w:rsid w:val="009E19A9"/>
    <w:rsid w:val="009E31DA"/>
    <w:rsid w:val="009E402C"/>
    <w:rsid w:val="009E7C6A"/>
    <w:rsid w:val="009F27F9"/>
    <w:rsid w:val="009F3659"/>
    <w:rsid w:val="009F4861"/>
    <w:rsid w:val="009F61BE"/>
    <w:rsid w:val="009F7643"/>
    <w:rsid w:val="009F7ED4"/>
    <w:rsid w:val="00A03AAC"/>
    <w:rsid w:val="00A047D1"/>
    <w:rsid w:val="00A21300"/>
    <w:rsid w:val="00A22AD0"/>
    <w:rsid w:val="00A22DA8"/>
    <w:rsid w:val="00A3030E"/>
    <w:rsid w:val="00A31574"/>
    <w:rsid w:val="00A31671"/>
    <w:rsid w:val="00A324F4"/>
    <w:rsid w:val="00A36930"/>
    <w:rsid w:val="00A45320"/>
    <w:rsid w:val="00A504C9"/>
    <w:rsid w:val="00A54C7D"/>
    <w:rsid w:val="00A5612C"/>
    <w:rsid w:val="00A5689C"/>
    <w:rsid w:val="00A57AE4"/>
    <w:rsid w:val="00A63A97"/>
    <w:rsid w:val="00A63F19"/>
    <w:rsid w:val="00A669FC"/>
    <w:rsid w:val="00A66F42"/>
    <w:rsid w:val="00A76625"/>
    <w:rsid w:val="00A81F53"/>
    <w:rsid w:val="00A83500"/>
    <w:rsid w:val="00A8721A"/>
    <w:rsid w:val="00A90049"/>
    <w:rsid w:val="00A917BF"/>
    <w:rsid w:val="00A96A94"/>
    <w:rsid w:val="00AA3969"/>
    <w:rsid w:val="00AA3A38"/>
    <w:rsid w:val="00AA4F94"/>
    <w:rsid w:val="00AA6513"/>
    <w:rsid w:val="00AB047E"/>
    <w:rsid w:val="00AB4DB6"/>
    <w:rsid w:val="00AB6E79"/>
    <w:rsid w:val="00AC063D"/>
    <w:rsid w:val="00AC592E"/>
    <w:rsid w:val="00AC6C10"/>
    <w:rsid w:val="00AC7BC6"/>
    <w:rsid w:val="00AD24AA"/>
    <w:rsid w:val="00AE7962"/>
    <w:rsid w:val="00AF0A7F"/>
    <w:rsid w:val="00AF1BA1"/>
    <w:rsid w:val="00AF3AB2"/>
    <w:rsid w:val="00AF6FFB"/>
    <w:rsid w:val="00B11A78"/>
    <w:rsid w:val="00B11BE5"/>
    <w:rsid w:val="00B11F31"/>
    <w:rsid w:val="00B12B7D"/>
    <w:rsid w:val="00B16985"/>
    <w:rsid w:val="00B22DEE"/>
    <w:rsid w:val="00B27479"/>
    <w:rsid w:val="00B32AA7"/>
    <w:rsid w:val="00B34678"/>
    <w:rsid w:val="00B34FB5"/>
    <w:rsid w:val="00B35024"/>
    <w:rsid w:val="00B371B4"/>
    <w:rsid w:val="00B40CF0"/>
    <w:rsid w:val="00B40F64"/>
    <w:rsid w:val="00B42A76"/>
    <w:rsid w:val="00B47982"/>
    <w:rsid w:val="00B56F53"/>
    <w:rsid w:val="00B61C8A"/>
    <w:rsid w:val="00B62AC1"/>
    <w:rsid w:val="00B64723"/>
    <w:rsid w:val="00B7378D"/>
    <w:rsid w:val="00B7444D"/>
    <w:rsid w:val="00B816A7"/>
    <w:rsid w:val="00B82413"/>
    <w:rsid w:val="00B83A00"/>
    <w:rsid w:val="00B85352"/>
    <w:rsid w:val="00B86CD8"/>
    <w:rsid w:val="00B87214"/>
    <w:rsid w:val="00B92FF5"/>
    <w:rsid w:val="00B959E6"/>
    <w:rsid w:val="00BA604D"/>
    <w:rsid w:val="00BB5DA7"/>
    <w:rsid w:val="00BB5E0E"/>
    <w:rsid w:val="00BC14B3"/>
    <w:rsid w:val="00BC216C"/>
    <w:rsid w:val="00BC4585"/>
    <w:rsid w:val="00BC50F1"/>
    <w:rsid w:val="00BC73E5"/>
    <w:rsid w:val="00BD0031"/>
    <w:rsid w:val="00BD05E0"/>
    <w:rsid w:val="00BD70E0"/>
    <w:rsid w:val="00BD7473"/>
    <w:rsid w:val="00BD7703"/>
    <w:rsid w:val="00BE14ED"/>
    <w:rsid w:val="00BE420D"/>
    <w:rsid w:val="00BE5388"/>
    <w:rsid w:val="00BF0019"/>
    <w:rsid w:val="00C012F9"/>
    <w:rsid w:val="00C102E6"/>
    <w:rsid w:val="00C11AA1"/>
    <w:rsid w:val="00C15CAC"/>
    <w:rsid w:val="00C21520"/>
    <w:rsid w:val="00C222B2"/>
    <w:rsid w:val="00C225FB"/>
    <w:rsid w:val="00C23547"/>
    <w:rsid w:val="00C2499B"/>
    <w:rsid w:val="00C451A3"/>
    <w:rsid w:val="00C46B88"/>
    <w:rsid w:val="00C47163"/>
    <w:rsid w:val="00C5218C"/>
    <w:rsid w:val="00C52191"/>
    <w:rsid w:val="00C53472"/>
    <w:rsid w:val="00C53D1B"/>
    <w:rsid w:val="00C5642F"/>
    <w:rsid w:val="00C6002A"/>
    <w:rsid w:val="00C6209F"/>
    <w:rsid w:val="00C629B1"/>
    <w:rsid w:val="00C63554"/>
    <w:rsid w:val="00C678B0"/>
    <w:rsid w:val="00C7047C"/>
    <w:rsid w:val="00C71497"/>
    <w:rsid w:val="00C72F5B"/>
    <w:rsid w:val="00C73BCD"/>
    <w:rsid w:val="00C74E5E"/>
    <w:rsid w:val="00C77AEF"/>
    <w:rsid w:val="00C85A6E"/>
    <w:rsid w:val="00C87129"/>
    <w:rsid w:val="00C91E1B"/>
    <w:rsid w:val="00C9613D"/>
    <w:rsid w:val="00C9690F"/>
    <w:rsid w:val="00CA574C"/>
    <w:rsid w:val="00CA5FD5"/>
    <w:rsid w:val="00CA7703"/>
    <w:rsid w:val="00CB0F92"/>
    <w:rsid w:val="00CD4E6D"/>
    <w:rsid w:val="00CD4F19"/>
    <w:rsid w:val="00CD5707"/>
    <w:rsid w:val="00CD7702"/>
    <w:rsid w:val="00CE29EA"/>
    <w:rsid w:val="00CE39AB"/>
    <w:rsid w:val="00CE473F"/>
    <w:rsid w:val="00CE7169"/>
    <w:rsid w:val="00CF04CF"/>
    <w:rsid w:val="00CF2D3E"/>
    <w:rsid w:val="00CF6572"/>
    <w:rsid w:val="00D01FE6"/>
    <w:rsid w:val="00D02347"/>
    <w:rsid w:val="00D03EB3"/>
    <w:rsid w:val="00D046DB"/>
    <w:rsid w:val="00D04755"/>
    <w:rsid w:val="00D1076E"/>
    <w:rsid w:val="00D1116B"/>
    <w:rsid w:val="00D13737"/>
    <w:rsid w:val="00D1638E"/>
    <w:rsid w:val="00D2061C"/>
    <w:rsid w:val="00D21FFF"/>
    <w:rsid w:val="00D2206B"/>
    <w:rsid w:val="00D272A5"/>
    <w:rsid w:val="00D346D9"/>
    <w:rsid w:val="00D43AFB"/>
    <w:rsid w:val="00D44EE8"/>
    <w:rsid w:val="00D57B7C"/>
    <w:rsid w:val="00D65B44"/>
    <w:rsid w:val="00D75E69"/>
    <w:rsid w:val="00D8099B"/>
    <w:rsid w:val="00D866A8"/>
    <w:rsid w:val="00D91E06"/>
    <w:rsid w:val="00D9393A"/>
    <w:rsid w:val="00D94B8D"/>
    <w:rsid w:val="00D96C8D"/>
    <w:rsid w:val="00D974EF"/>
    <w:rsid w:val="00DA0C61"/>
    <w:rsid w:val="00DA14B0"/>
    <w:rsid w:val="00DA2876"/>
    <w:rsid w:val="00DA66D0"/>
    <w:rsid w:val="00DC0B51"/>
    <w:rsid w:val="00DC141F"/>
    <w:rsid w:val="00DC28F1"/>
    <w:rsid w:val="00DC456F"/>
    <w:rsid w:val="00DC6B55"/>
    <w:rsid w:val="00DD7A00"/>
    <w:rsid w:val="00DE27F7"/>
    <w:rsid w:val="00DE4B43"/>
    <w:rsid w:val="00E02660"/>
    <w:rsid w:val="00E04BE1"/>
    <w:rsid w:val="00E12DBF"/>
    <w:rsid w:val="00E20C3C"/>
    <w:rsid w:val="00E215BA"/>
    <w:rsid w:val="00E36549"/>
    <w:rsid w:val="00E40D31"/>
    <w:rsid w:val="00E41260"/>
    <w:rsid w:val="00E44E18"/>
    <w:rsid w:val="00E45584"/>
    <w:rsid w:val="00E52DBC"/>
    <w:rsid w:val="00E54301"/>
    <w:rsid w:val="00E54BF5"/>
    <w:rsid w:val="00E554A1"/>
    <w:rsid w:val="00E55ABD"/>
    <w:rsid w:val="00E60817"/>
    <w:rsid w:val="00E609C6"/>
    <w:rsid w:val="00E62DE5"/>
    <w:rsid w:val="00E705CC"/>
    <w:rsid w:val="00E84C7E"/>
    <w:rsid w:val="00E85E4B"/>
    <w:rsid w:val="00E8670B"/>
    <w:rsid w:val="00EA1826"/>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E49FE"/>
    <w:rsid w:val="00EF17AB"/>
    <w:rsid w:val="00EF6FA5"/>
    <w:rsid w:val="00F04FC3"/>
    <w:rsid w:val="00F11104"/>
    <w:rsid w:val="00F11BB5"/>
    <w:rsid w:val="00F16E3F"/>
    <w:rsid w:val="00F2070B"/>
    <w:rsid w:val="00F22499"/>
    <w:rsid w:val="00F22B0F"/>
    <w:rsid w:val="00F24B42"/>
    <w:rsid w:val="00F24F73"/>
    <w:rsid w:val="00F27299"/>
    <w:rsid w:val="00F31B0C"/>
    <w:rsid w:val="00F31F6E"/>
    <w:rsid w:val="00F323FF"/>
    <w:rsid w:val="00F3389C"/>
    <w:rsid w:val="00F375F2"/>
    <w:rsid w:val="00F45C47"/>
    <w:rsid w:val="00F51C4E"/>
    <w:rsid w:val="00F534A2"/>
    <w:rsid w:val="00F53B0E"/>
    <w:rsid w:val="00F54EAE"/>
    <w:rsid w:val="00F66A51"/>
    <w:rsid w:val="00F71057"/>
    <w:rsid w:val="00F71A4B"/>
    <w:rsid w:val="00F728CF"/>
    <w:rsid w:val="00F743D4"/>
    <w:rsid w:val="00F80AC3"/>
    <w:rsid w:val="00F81917"/>
    <w:rsid w:val="00F83B17"/>
    <w:rsid w:val="00F87EDA"/>
    <w:rsid w:val="00F970EE"/>
    <w:rsid w:val="00FA775C"/>
    <w:rsid w:val="00FB0BC9"/>
    <w:rsid w:val="00FB41D3"/>
    <w:rsid w:val="00FB4F70"/>
    <w:rsid w:val="00FB5EFC"/>
    <w:rsid w:val="00FB77BB"/>
    <w:rsid w:val="00FC15AA"/>
    <w:rsid w:val="00FC2922"/>
    <w:rsid w:val="00FC7FBA"/>
    <w:rsid w:val="00FD1375"/>
    <w:rsid w:val="00FD359E"/>
    <w:rsid w:val="00FD5F37"/>
    <w:rsid w:val="00FD6B92"/>
    <w:rsid w:val="00FE0A17"/>
    <w:rsid w:val="00FE179F"/>
    <w:rsid w:val="00FE1A3B"/>
    <w:rsid w:val="00FF213A"/>
    <w:rsid w:val="00FF3F27"/>
    <w:rsid w:val="00FF469F"/>
    <w:rsid w:val="00FF5196"/>
    <w:rsid w:val="00FF6E8F"/>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docId w15:val="{FB5B536B-9DA6-4920-8EA4-43C10A5F3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EastAsia" w:hAnsiTheme="minorHAnsi"/>
        <w:kern w:val="2"/>
        <w:sz w:val="21"/>
        <w:szCs w:val="22"/>
        <w:lang w:bidi="ar-SA" w:eastAsia="zh-CN" w:val="en-US"/>
      </w:rPr>
    </w:rPrDefault>
    <w:pPrDefault/>
  </w:docDefaults>
  <w:latentStyles w:count="371" w:defLockedState="0" w:defQFormat="0" w:defSemiHidden="0" w:defUIPriority="99" w:defUnhideWhenUsed="0">
    <w:lsdException w:name="Normal" w:qFormat="1" w:uiPriority="0"/>
    <w:lsdException w:name="heading 1" w:qFormat="1"/>
    <w:lsdException w:name="heading 2" w:qFormat="1" w:semiHidden="1" w:unhideWhenUsed="1"/>
    <w:lsdException w:name="heading 3" w:qFormat="1" w:semiHidden="1"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a" w:type="paragraph">
    <w:name w:val="Normal"/>
    <w:qFormat/>
    <w:rsid w:val="004061AC"/>
    <w:pPr>
      <w:widowControl w:val="0"/>
      <w:jc w:val="both"/>
    </w:pPr>
    <w:rPr>
      <w:rFonts w:ascii="Times New Roman" w:cs="Times New Roman" w:eastAsia="宋体" w:hAnsi="Times New Roman"/>
      <w:szCs w:val="21"/>
    </w:rPr>
  </w:style>
  <w:style w:styleId="1" w:type="paragraph">
    <w:name w:val="heading 1"/>
    <w:basedOn w:val="a"/>
    <w:next w:val="a"/>
    <w:link w:val="1Char"/>
    <w:uiPriority w:val="99"/>
    <w:qFormat/>
    <w:rsid w:val="004061AC"/>
    <w:pPr>
      <w:keepNext/>
      <w:keepLines/>
      <w:spacing w:after="330" w:before="340" w:line="578" w:lineRule="auto"/>
      <w:outlineLvl w:val="0"/>
    </w:pPr>
    <w:rPr>
      <w:b/>
      <w:bCs/>
      <w:kern w:val="44"/>
      <w:sz w:val="44"/>
      <w:szCs w:val="44"/>
    </w:rPr>
  </w:style>
  <w:style w:styleId="2" w:type="paragraph">
    <w:name w:val="heading 2"/>
    <w:basedOn w:val="a"/>
    <w:next w:val="a0"/>
    <w:link w:val="2Char"/>
    <w:uiPriority w:val="99"/>
    <w:qFormat/>
    <w:rsid w:val="004061AC"/>
    <w:pPr>
      <w:keepNext/>
      <w:keepLines/>
      <w:spacing w:after="260" w:before="260" w:line="360" w:lineRule="auto"/>
      <w:outlineLvl w:val="1"/>
    </w:pPr>
    <w:rPr>
      <w:rFonts w:ascii="Arial" w:cs="Arial" w:hAnsi="Arial"/>
      <w:b/>
      <w:bCs/>
      <w:sz w:val="24"/>
      <w:szCs w:val="24"/>
    </w:rPr>
  </w:style>
  <w:style w:styleId="3" w:type="paragraph">
    <w:name w:val="heading 3"/>
    <w:basedOn w:val="a"/>
    <w:next w:val="a"/>
    <w:link w:val="3Char"/>
    <w:uiPriority w:val="99"/>
    <w:qFormat/>
    <w:rsid w:val="004061AC"/>
    <w:pPr>
      <w:keepNext/>
      <w:keepLines/>
      <w:spacing w:after="260" w:before="260" w:line="416" w:lineRule="auto"/>
      <w:outlineLvl w:val="2"/>
    </w:pPr>
    <w:rPr>
      <w:b/>
      <w:bCs/>
      <w:sz w:val="32"/>
      <w:szCs w:val="32"/>
    </w:rPr>
  </w:style>
  <w:style w:default="1" w:styleId="a1" w:type="character">
    <w:name w:val="Default Paragraph Font"/>
    <w:uiPriority w:val="1"/>
    <w:semiHidden/>
    <w:unhideWhenUsed/>
  </w:style>
  <w:style w:default="1" w:styleId="a2" w:type="table">
    <w:name w:val="Normal Table"/>
    <w:uiPriority w:val="99"/>
    <w:semiHidden/>
    <w:unhideWhenUsed/>
    <w:tblPr>
      <w:tblInd w:type="dxa" w:w="0"/>
      <w:tblCellMar>
        <w:top w:type="dxa" w:w="0"/>
        <w:left w:type="dxa" w:w="108"/>
        <w:bottom w:type="dxa" w:w="0"/>
        <w:right w:type="dxa" w:w="108"/>
      </w:tblCellMar>
    </w:tblPr>
  </w:style>
  <w:style w:default="1" w:styleId="a3" w:type="numbering">
    <w:name w:val="No List"/>
    <w:uiPriority w:val="99"/>
    <w:semiHidden/>
    <w:unhideWhenUsed/>
  </w:style>
  <w:style w:customStyle="1" w:styleId="1Char" w:type="character">
    <w:name w:val="标题 1 Char"/>
    <w:basedOn w:val="a1"/>
    <w:link w:val="1"/>
    <w:uiPriority w:val="99"/>
    <w:rsid w:val="004061AC"/>
    <w:rPr>
      <w:rFonts w:ascii="Times New Roman" w:cs="Times New Roman" w:eastAsia="宋体" w:hAnsi="Times New Roman"/>
      <w:b/>
      <w:bCs/>
      <w:kern w:val="44"/>
      <w:sz w:val="44"/>
      <w:szCs w:val="44"/>
    </w:rPr>
  </w:style>
  <w:style w:customStyle="1" w:styleId="2Char" w:type="character">
    <w:name w:val="标题 2 Char"/>
    <w:basedOn w:val="a1"/>
    <w:link w:val="2"/>
    <w:uiPriority w:val="99"/>
    <w:rsid w:val="004061AC"/>
    <w:rPr>
      <w:rFonts w:ascii="Arial" w:cs="Arial" w:eastAsia="宋体" w:hAnsi="Arial"/>
      <w:b/>
      <w:bCs/>
      <w:sz w:val="24"/>
      <w:szCs w:val="24"/>
    </w:rPr>
  </w:style>
  <w:style w:customStyle="1" w:styleId="3Char" w:type="character">
    <w:name w:val="标题 3 Char"/>
    <w:basedOn w:val="a1"/>
    <w:link w:val="3"/>
    <w:uiPriority w:val="99"/>
    <w:rsid w:val="004061AC"/>
    <w:rPr>
      <w:rFonts w:ascii="Times New Roman" w:cs="Times New Roman" w:eastAsia="宋体" w:hAnsi="Times New Roman"/>
      <w:b/>
      <w:bCs/>
      <w:sz w:val="32"/>
      <w:szCs w:val="32"/>
    </w:rPr>
  </w:style>
  <w:style w:styleId="a0" w:type="paragraph">
    <w:name w:val="Normal Indent"/>
    <w:basedOn w:val="a"/>
    <w:uiPriority w:val="99"/>
    <w:rsid w:val="004061AC"/>
    <w:pPr>
      <w:ind w:firstLine="420" w:firstLineChars="200"/>
    </w:pPr>
  </w:style>
  <w:style w:styleId="a4" w:type="paragraph">
    <w:name w:val="Body Text Indent"/>
    <w:basedOn w:val="a"/>
    <w:link w:val="Char"/>
    <w:uiPriority w:val="99"/>
    <w:rsid w:val="004061AC"/>
    <w:pPr>
      <w:widowControl/>
      <w:spacing w:after="100" w:afterAutospacing="1" w:before="100" w:beforeAutospacing="1"/>
      <w:jc w:val="left"/>
    </w:pPr>
    <w:rPr>
      <w:rFonts w:ascii="Arial Unicode MS" w:cs="Arial Unicode MS" w:eastAsia="Arial Unicode MS" w:hAnsi="Arial Unicode MS"/>
      <w:kern w:val="0"/>
      <w:sz w:val="24"/>
      <w:szCs w:val="24"/>
    </w:rPr>
  </w:style>
  <w:style w:customStyle="1" w:styleId="Char" w:type="character">
    <w:name w:val="正文文本缩进 Char"/>
    <w:basedOn w:val="a1"/>
    <w:link w:val="a4"/>
    <w:uiPriority w:val="99"/>
    <w:rsid w:val="004061AC"/>
    <w:rPr>
      <w:rFonts w:ascii="Arial Unicode MS" w:cs="Arial Unicode MS" w:eastAsia="Arial Unicode MS" w:hAnsi="Arial Unicode MS"/>
      <w:kern w:val="0"/>
      <w:sz w:val="24"/>
      <w:szCs w:val="24"/>
    </w:rPr>
  </w:style>
  <w:style w:styleId="a5" w:type="paragraph">
    <w:name w:val="Plain Text"/>
    <w:basedOn w:val="a"/>
    <w:link w:val="Char0"/>
    <w:uiPriority w:val="99"/>
    <w:rsid w:val="004061AC"/>
    <w:rPr>
      <w:rFonts w:ascii="宋体" w:cs="宋体" w:hAnsi="Courier New"/>
    </w:rPr>
  </w:style>
  <w:style w:customStyle="1" w:styleId="Char0" w:type="character">
    <w:name w:val="纯文本 Char"/>
    <w:basedOn w:val="a1"/>
    <w:link w:val="a5"/>
    <w:uiPriority w:val="99"/>
    <w:rsid w:val="004061AC"/>
    <w:rPr>
      <w:rFonts w:ascii="宋体" w:cs="宋体" w:eastAsia="宋体" w:hAnsi="Courier New"/>
      <w:szCs w:val="21"/>
    </w:rPr>
  </w:style>
  <w:style w:styleId="20" w:type="paragraph">
    <w:name w:val="Body Text Indent 2"/>
    <w:basedOn w:val="a"/>
    <w:link w:val="2Char0"/>
    <w:uiPriority w:val="99"/>
    <w:rsid w:val="004061AC"/>
    <w:pPr>
      <w:spacing w:line="560" w:lineRule="exact"/>
      <w:ind w:firstLine="480" w:firstLineChars="200"/>
    </w:pPr>
    <w:rPr>
      <w:rFonts w:ascii="宋体" w:cs="宋体" w:hAnsi="宋体"/>
      <w:color w:val="FF0000"/>
      <w:sz w:val="24"/>
      <w:szCs w:val="24"/>
    </w:rPr>
  </w:style>
  <w:style w:customStyle="1" w:styleId="2Char0" w:type="character">
    <w:name w:val="正文文本缩进 2 Char"/>
    <w:basedOn w:val="a1"/>
    <w:link w:val="20"/>
    <w:uiPriority w:val="99"/>
    <w:rsid w:val="004061AC"/>
    <w:rPr>
      <w:rFonts w:ascii="宋体" w:cs="宋体" w:eastAsia="宋体" w:hAnsi="宋体"/>
      <w:color w:val="FF0000"/>
      <w:sz w:val="24"/>
      <w:szCs w:val="24"/>
    </w:rPr>
  </w:style>
  <w:style w:styleId="a6" w:type="paragraph">
    <w:name w:val="footer"/>
    <w:basedOn w:val="a"/>
    <w:link w:val="Char1"/>
    <w:rsid w:val="004061AC"/>
    <w:pPr>
      <w:tabs>
        <w:tab w:pos="4153" w:val="center"/>
        <w:tab w:pos="8306" w:val="right"/>
      </w:tabs>
      <w:snapToGrid w:val="0"/>
      <w:jc w:val="left"/>
    </w:pPr>
    <w:rPr>
      <w:sz w:val="18"/>
      <w:szCs w:val="18"/>
    </w:rPr>
  </w:style>
  <w:style w:customStyle="1" w:styleId="Char1" w:type="character">
    <w:name w:val="页脚 Char"/>
    <w:basedOn w:val="a1"/>
    <w:link w:val="a6"/>
    <w:uiPriority w:val="99"/>
    <w:rsid w:val="004061AC"/>
    <w:rPr>
      <w:rFonts w:ascii="Times New Roman" w:cs="Times New Roman" w:eastAsia="宋体" w:hAnsi="Times New Roman"/>
      <w:sz w:val="18"/>
      <w:szCs w:val="18"/>
    </w:rPr>
  </w:style>
  <w:style w:styleId="a7" w:type="character">
    <w:name w:val="page number"/>
    <w:basedOn w:val="a1"/>
    <w:uiPriority w:val="99"/>
    <w:rsid w:val="004061AC"/>
  </w:style>
  <w:style w:styleId="a8" w:type="character">
    <w:name w:val="Hyperlink"/>
    <w:basedOn w:val="a1"/>
    <w:uiPriority w:val="99"/>
    <w:rsid w:val="004061AC"/>
    <w:rPr>
      <w:color w:val="0000FF"/>
      <w:u w:val="single"/>
    </w:rPr>
  </w:style>
  <w:style w:styleId="30" w:type="paragraph">
    <w:name w:val="Body Text Indent 3"/>
    <w:basedOn w:val="a"/>
    <w:link w:val="3Char0"/>
    <w:uiPriority w:val="99"/>
    <w:rsid w:val="004061AC"/>
    <w:pPr>
      <w:spacing w:line="560" w:lineRule="exact"/>
      <w:ind w:firstLine="420" w:firstLineChars="200"/>
    </w:pPr>
    <w:rPr>
      <w:rFonts w:ascii="Arial" w:cs="Arial" w:hAnsi="Arial"/>
      <w:color w:val="FF0000"/>
    </w:rPr>
  </w:style>
  <w:style w:customStyle="1" w:styleId="3Char0" w:type="character">
    <w:name w:val="正文文本缩进 3 Char"/>
    <w:basedOn w:val="a1"/>
    <w:link w:val="30"/>
    <w:uiPriority w:val="99"/>
    <w:rsid w:val="004061AC"/>
    <w:rPr>
      <w:rFonts w:ascii="Arial" w:cs="Arial" w:eastAsia="宋体" w:hAnsi="Arial"/>
      <w:color w:val="FF0000"/>
      <w:szCs w:val="21"/>
    </w:rPr>
  </w:style>
  <w:style w:styleId="a9" w:type="paragraph">
    <w:name w:val="header"/>
    <w:basedOn w:val="a"/>
    <w:link w:val="Char2"/>
    <w:uiPriority w:val="99"/>
    <w:rsid w:val="004061AC"/>
    <w:pPr>
      <w:pBdr>
        <w:bottom w:color="auto" w:space="1" w:sz="6" w:val="single"/>
      </w:pBdr>
      <w:tabs>
        <w:tab w:pos="4153" w:val="center"/>
        <w:tab w:pos="8306" w:val="right"/>
      </w:tabs>
      <w:snapToGrid w:val="0"/>
      <w:jc w:val="center"/>
    </w:pPr>
    <w:rPr>
      <w:sz w:val="18"/>
      <w:szCs w:val="18"/>
    </w:rPr>
  </w:style>
  <w:style w:customStyle="1" w:styleId="Char2" w:type="character">
    <w:name w:val="页眉 Char"/>
    <w:basedOn w:val="a1"/>
    <w:link w:val="a9"/>
    <w:uiPriority w:val="99"/>
    <w:rsid w:val="004061AC"/>
    <w:rPr>
      <w:rFonts w:ascii="Times New Roman" w:cs="Times New Roman" w:eastAsia="宋体" w:hAnsi="Times New Roman"/>
      <w:sz w:val="18"/>
      <w:szCs w:val="18"/>
    </w:rPr>
  </w:style>
  <w:style w:styleId="aa" w:type="character">
    <w:name w:val="FollowedHyperlink"/>
    <w:basedOn w:val="a1"/>
    <w:uiPriority w:val="99"/>
    <w:rsid w:val="004061AC"/>
    <w:rPr>
      <w:color w:val="800080"/>
      <w:u w:val="single"/>
    </w:rPr>
  </w:style>
  <w:style w:styleId="ab" w:type="paragraph">
    <w:name w:val="List"/>
    <w:basedOn w:val="ac"/>
    <w:uiPriority w:val="99"/>
    <w:rsid w:val="004061AC"/>
    <w:pPr>
      <w:spacing w:after="220" w:line="220" w:lineRule="atLeast"/>
      <w:ind w:hanging="360" w:left="1440"/>
    </w:pPr>
  </w:style>
  <w:style w:styleId="ac" w:type="paragraph">
    <w:name w:val="Body Text"/>
    <w:basedOn w:val="a"/>
    <w:link w:val="Char3"/>
    <w:uiPriority w:val="99"/>
    <w:rsid w:val="004061AC"/>
    <w:pPr>
      <w:spacing w:after="120"/>
    </w:pPr>
  </w:style>
  <w:style w:customStyle="1" w:styleId="Char3" w:type="character">
    <w:name w:val="正文文本 Char"/>
    <w:basedOn w:val="a1"/>
    <w:link w:val="ac"/>
    <w:uiPriority w:val="99"/>
    <w:rsid w:val="004061AC"/>
    <w:rPr>
      <w:rFonts w:ascii="Times New Roman" w:cs="Times New Roman" w:eastAsia="宋体" w:hAnsi="Times New Roman"/>
      <w:szCs w:val="21"/>
    </w:rPr>
  </w:style>
  <w:style w:styleId="ad" w:type="paragraph">
    <w:name w:val="Date"/>
    <w:basedOn w:val="a"/>
    <w:next w:val="a"/>
    <w:link w:val="Char4"/>
    <w:rsid w:val="004061AC"/>
    <w:rPr>
      <w:sz w:val="24"/>
      <w:szCs w:val="24"/>
    </w:rPr>
  </w:style>
  <w:style w:customStyle="1" w:styleId="Char4" w:type="character">
    <w:name w:val="日期 Char"/>
    <w:basedOn w:val="a1"/>
    <w:link w:val="ad"/>
    <w:rsid w:val="004061AC"/>
    <w:rPr>
      <w:rFonts w:ascii="Times New Roman" w:cs="Times New Roman" w:eastAsia="宋体" w:hAnsi="Times New Roman"/>
      <w:sz w:val="24"/>
      <w:szCs w:val="24"/>
    </w:rPr>
  </w:style>
  <w:style w:customStyle="1" w:styleId="c1" w:type="character">
    <w:name w:val="c1"/>
    <w:basedOn w:val="a1"/>
    <w:uiPriority w:val="99"/>
    <w:rsid w:val="004061AC"/>
    <w:rPr>
      <w:color w:val="000000"/>
      <w:sz w:val="18"/>
      <w:szCs w:val="18"/>
    </w:rPr>
  </w:style>
  <w:style w:styleId="10" w:type="paragraph">
    <w:name w:val="index 1"/>
    <w:basedOn w:val="a"/>
    <w:next w:val="a"/>
    <w:autoRedefine/>
    <w:uiPriority w:val="99"/>
    <w:semiHidden/>
    <w:rsid w:val="004061AC"/>
    <w:pPr>
      <w:jc w:val="right"/>
    </w:pPr>
    <w:rPr>
      <w:color w:val="008000"/>
    </w:rPr>
  </w:style>
  <w:style w:customStyle="1" w:styleId="font5" w:type="paragraph">
    <w:name w:val="font5"/>
    <w:basedOn w:val="a"/>
    <w:uiPriority w:val="99"/>
    <w:rsid w:val="004061AC"/>
    <w:pPr>
      <w:widowControl/>
      <w:spacing w:after="100" w:afterAutospacing="1" w:before="100" w:beforeAutospacing="1"/>
      <w:jc w:val="left"/>
    </w:pPr>
    <w:rPr>
      <w:rFonts w:ascii="宋体" w:cs="宋体" w:hAnsi="宋体"/>
      <w:kern w:val="0"/>
      <w:sz w:val="18"/>
      <w:szCs w:val="18"/>
    </w:rPr>
  </w:style>
  <w:style w:customStyle="1" w:styleId="xl24" w:type="paragraph">
    <w:name w:val="xl24"/>
    <w:basedOn w:val="a"/>
    <w:uiPriority w:val="99"/>
    <w:rsid w:val="004061AC"/>
    <w:pPr>
      <w:widowControl/>
      <w:pBdr>
        <w:top w:color="000000" w:space="0" w:sz="6" w:val="doub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0000FF"/>
      <w:kern w:val="0"/>
      <w:sz w:val="29"/>
      <w:szCs w:val="29"/>
    </w:rPr>
  </w:style>
  <w:style w:customStyle="1" w:styleId="xl25" w:type="paragraph">
    <w:name w:val="xl25"/>
    <w:basedOn w:val="a"/>
    <w:uiPriority w:val="99"/>
    <w:rsid w:val="004061AC"/>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left"/>
    </w:pPr>
    <w:rPr>
      <w:rFonts w:ascii="Arial Unicode MS" w:cs="Arial Unicode MS" w:eastAsia="Arial Unicode MS" w:hAnsi="Arial Unicode MS"/>
      <w:b/>
      <w:bCs/>
      <w:color w:val="000000"/>
      <w:kern w:val="0"/>
      <w:sz w:val="24"/>
      <w:szCs w:val="24"/>
    </w:rPr>
  </w:style>
  <w:style w:customStyle="1" w:styleId="xl26" w:type="paragraph">
    <w:name w:val="xl26"/>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27" w:type="paragraph">
    <w:name w:val="xl27"/>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12"/>
      <w:szCs w:val="12"/>
    </w:rPr>
  </w:style>
  <w:style w:customStyle="1" w:styleId="xl28" w:type="paragraph">
    <w:name w:val="xl28"/>
    <w:basedOn w:val="a"/>
    <w:uiPriority w:val="99"/>
    <w:rsid w:val="004061AC"/>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29" w:type="paragraph">
    <w:name w:val="xl29"/>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30" w:type="paragraph">
    <w:name w:val="xl30"/>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31" w:type="paragraph">
    <w:name w:val="xl31"/>
    <w:basedOn w:val="a"/>
    <w:uiPriority w:val="99"/>
    <w:rsid w:val="004061AC"/>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2" w:type="paragraph">
    <w:name w:val="xl32"/>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3" w:type="paragraph">
    <w:name w:val="xl33"/>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color w:val="000000"/>
      <w:kern w:val="0"/>
      <w:sz w:val="22"/>
      <w:szCs w:val="22"/>
    </w:rPr>
  </w:style>
  <w:style w:customStyle="1" w:styleId="xl34" w:type="paragraph">
    <w:name w:val="xl34"/>
    <w:basedOn w:val="a"/>
    <w:uiPriority w:val="99"/>
    <w:rsid w:val="004061AC"/>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5" w:type="paragraph">
    <w:name w:val="xl35"/>
    <w:basedOn w:val="a"/>
    <w:uiPriority w:val="99"/>
    <w:rsid w:val="004061AC"/>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000000"/>
      <w:kern w:val="0"/>
      <w:sz w:val="23"/>
      <w:szCs w:val="23"/>
    </w:rPr>
  </w:style>
  <w:style w:customStyle="1" w:styleId="xl36" w:type="paragraph">
    <w:name w:val="xl36"/>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xl37" w:type="paragraph">
    <w:name w:val="xl37"/>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FF0000"/>
      <w:kern w:val="0"/>
      <w:sz w:val="23"/>
      <w:szCs w:val="23"/>
    </w:rPr>
  </w:style>
  <w:style w:customStyle="1" w:styleId="xl38" w:type="paragraph">
    <w:name w:val="xl38"/>
    <w:basedOn w:val="a"/>
    <w:uiPriority w:val="99"/>
    <w:rsid w:val="004061AC"/>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styleId="ae" w:type="paragraph">
    <w:name w:val="Balloon Text"/>
    <w:basedOn w:val="a"/>
    <w:link w:val="Char5"/>
    <w:uiPriority w:val="99"/>
    <w:semiHidden/>
    <w:rsid w:val="004061AC"/>
    <w:rPr>
      <w:sz w:val="18"/>
      <w:szCs w:val="18"/>
    </w:rPr>
  </w:style>
  <w:style w:customStyle="1" w:styleId="Char5" w:type="character">
    <w:name w:val="批注框文本 Char"/>
    <w:basedOn w:val="a1"/>
    <w:link w:val="ae"/>
    <w:uiPriority w:val="99"/>
    <w:semiHidden/>
    <w:rsid w:val="004061AC"/>
    <w:rPr>
      <w:rFonts w:ascii="Times New Roman" w:cs="Times New Roman" w:eastAsia="宋体" w:hAnsi="Times New Roman"/>
      <w:sz w:val="18"/>
      <w:szCs w:val="18"/>
    </w:rPr>
  </w:style>
  <w:style w:styleId="af" w:type="character">
    <w:name w:val="annotation reference"/>
    <w:basedOn w:val="a1"/>
    <w:uiPriority w:val="99"/>
    <w:semiHidden/>
    <w:rsid w:val="004061AC"/>
    <w:rPr>
      <w:sz w:val="21"/>
      <w:szCs w:val="21"/>
    </w:rPr>
  </w:style>
  <w:style w:styleId="af0" w:type="paragraph">
    <w:name w:val="annotation text"/>
    <w:basedOn w:val="a"/>
    <w:link w:val="Char6"/>
    <w:uiPriority w:val="99"/>
    <w:semiHidden/>
    <w:rsid w:val="004061AC"/>
    <w:pPr>
      <w:jc w:val="left"/>
    </w:pPr>
  </w:style>
  <w:style w:customStyle="1" w:styleId="Char6" w:type="character">
    <w:name w:val="批注文字 Char"/>
    <w:basedOn w:val="a1"/>
    <w:link w:val="af0"/>
    <w:uiPriority w:val="99"/>
    <w:semiHidden/>
    <w:rsid w:val="004061AC"/>
    <w:rPr>
      <w:rFonts w:ascii="Times New Roman" w:cs="Times New Roman" w:eastAsia="宋体" w:hAnsi="Times New Roman"/>
      <w:szCs w:val="21"/>
    </w:rPr>
  </w:style>
  <w:style w:styleId="af1" w:type="paragraph">
    <w:name w:val="annotation subject"/>
    <w:basedOn w:val="af0"/>
    <w:next w:val="af0"/>
    <w:link w:val="Char7"/>
    <w:uiPriority w:val="99"/>
    <w:semiHidden/>
    <w:rsid w:val="004061AC"/>
    <w:rPr>
      <w:b/>
      <w:bCs/>
    </w:rPr>
  </w:style>
  <w:style w:customStyle="1" w:styleId="Char7" w:type="character">
    <w:name w:val="批注主题 Char"/>
    <w:basedOn w:val="Char6"/>
    <w:link w:val="af1"/>
    <w:uiPriority w:val="99"/>
    <w:semiHidden/>
    <w:rsid w:val="004061AC"/>
    <w:rPr>
      <w:rFonts w:ascii="Times New Roman" w:cs="Times New Roman" w:eastAsia="宋体" w:hAnsi="Times New Roman"/>
      <w:b/>
      <w:bCs/>
      <w:szCs w:val="21"/>
    </w:rPr>
  </w:style>
  <w:style w:customStyle="1" w:styleId="Char8" w:type="paragraph">
    <w:name w:val="Char"/>
    <w:basedOn w:val="a"/>
    <w:uiPriority w:val="99"/>
    <w:rsid w:val="004061AC"/>
  </w:style>
  <w:style w:styleId="af2" w:type="paragraph">
    <w:name w:val="Document Map"/>
    <w:basedOn w:val="a"/>
    <w:link w:val="Char9"/>
    <w:uiPriority w:val="99"/>
    <w:semiHidden/>
    <w:rsid w:val="004061AC"/>
    <w:pPr>
      <w:shd w:color="auto" w:fill="000080" w:val="clear"/>
    </w:pPr>
  </w:style>
  <w:style w:customStyle="1" w:styleId="Char9" w:type="character">
    <w:name w:val="文档结构图 Char"/>
    <w:basedOn w:val="a1"/>
    <w:link w:val="af2"/>
    <w:uiPriority w:val="99"/>
    <w:semiHidden/>
    <w:rsid w:val="004061AC"/>
    <w:rPr>
      <w:rFonts w:ascii="Times New Roman" w:cs="Times New Roman" w:eastAsia="宋体" w:hAnsi="Times New Roman"/>
      <w:szCs w:val="21"/>
      <w:shd w:color="auto" w:fill="000080" w:val="clear"/>
    </w:rPr>
  </w:style>
  <w:style w:customStyle="1" w:styleId="af3" w:type="paragraph">
    <w:name w:val="正文 + (符号) 宋体"/>
    <w:aliases w:val="小四,紧缩量  0.2 磅"/>
    <w:basedOn w:val="a"/>
    <w:uiPriority w:val="99"/>
    <w:rsid w:val="004061AC"/>
    <w:pPr>
      <w:autoSpaceDE w:val="0"/>
      <w:autoSpaceDN w:val="0"/>
      <w:adjustRightInd w:val="0"/>
      <w:ind w:firstLine="1229" w:firstLineChars="512" w:right="1409" w:rightChars="671"/>
      <w:jc w:val="distribute"/>
    </w:pPr>
    <w:rPr>
      <w:sz w:val="24"/>
      <w:szCs w:val="24"/>
    </w:rPr>
  </w:style>
  <w:style w:styleId="af4" w:type="paragraph">
    <w:name w:val="footnote text"/>
    <w:basedOn w:val="a"/>
    <w:link w:val="Chara"/>
    <w:rsid w:val="004061AC"/>
    <w:pPr>
      <w:snapToGrid w:val="0"/>
      <w:jc w:val="left"/>
    </w:pPr>
    <w:rPr>
      <w:sz w:val="18"/>
      <w:szCs w:val="18"/>
    </w:rPr>
  </w:style>
  <w:style w:customStyle="1" w:styleId="Chara" w:type="character">
    <w:name w:val="脚注文本 Char"/>
    <w:basedOn w:val="a1"/>
    <w:link w:val="af4"/>
    <w:rsid w:val="004061AC"/>
    <w:rPr>
      <w:rFonts w:ascii="Times New Roman" w:cs="Times New Roman" w:eastAsia="宋体" w:hAnsi="Times New Roman"/>
      <w:sz w:val="18"/>
      <w:szCs w:val="18"/>
    </w:rPr>
  </w:style>
  <w:style w:styleId="af5" w:type="character">
    <w:name w:val="footnote reference"/>
    <w:basedOn w:val="a1"/>
    <w:rsid w:val="004061AC"/>
    <w:rPr>
      <w:vertAlign w:val="superscript"/>
    </w:rPr>
  </w:style>
  <w:style w:styleId="af6" w:type="paragraph">
    <w:name w:val="Normal (Web)"/>
    <w:basedOn w:val="a"/>
    <w:uiPriority w:val="99"/>
    <w:rsid w:val="004061AC"/>
    <w:pPr>
      <w:widowControl/>
      <w:spacing w:after="100" w:afterAutospacing="1" w:before="100" w:beforeAutospacing="1"/>
      <w:jc w:val="left"/>
    </w:pPr>
    <w:rPr>
      <w:rFonts w:ascii="宋体" w:cs="宋体" w:hAnsi="宋体"/>
      <w:kern w:val="0"/>
      <w:sz w:val="24"/>
      <w:szCs w:val="24"/>
    </w:rPr>
  </w:style>
  <w:style w:styleId="af7" w:type="table">
    <w:name w:val="Table Grid"/>
    <w:basedOn w:val="a2"/>
    <w:qFormat/>
    <w:rsid w:val="004061AC"/>
    <w:pPr>
      <w:widowControl w:val="0"/>
      <w:jc w:val="both"/>
    </w:pPr>
    <w:rPr>
      <w:rFonts w:ascii="Times New Roman" w:cs="Times New Roman" w:eastAsia="宋体" w:hAnsi="Times New Roman"/>
      <w:kern w:val="0"/>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Char10" w:type="paragraph">
    <w:name w:val="Char1"/>
    <w:basedOn w:val="a"/>
    <w:uiPriority w:val="99"/>
    <w:rsid w:val="004061AC"/>
  </w:style>
  <w:style w:customStyle="1" w:styleId="CharCharCharCharCharChar1CharCharChar" w:type="paragraph">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customStyle="1" w:styleId="CharCharCharCharCharChar1CharCharChar2" w:type="paragraph">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styleId="af8" w:type="paragraph">
    <w:name w:val="Title"/>
    <w:basedOn w:val="a"/>
    <w:next w:val="a"/>
    <w:link w:val="Charb"/>
    <w:uiPriority w:val="99"/>
    <w:qFormat/>
    <w:rsid w:val="004061AC"/>
    <w:pPr>
      <w:spacing w:after="60" w:before="240"/>
      <w:jc w:val="center"/>
      <w:outlineLvl w:val="0"/>
    </w:pPr>
    <w:rPr>
      <w:rFonts w:ascii="Cambria" w:cs="Cambria" w:hAnsi="Cambria"/>
      <w:b/>
      <w:bCs/>
      <w:sz w:val="32"/>
      <w:szCs w:val="32"/>
    </w:rPr>
  </w:style>
  <w:style w:customStyle="1" w:styleId="Charb" w:type="character">
    <w:name w:val="标题 Char"/>
    <w:basedOn w:val="a1"/>
    <w:link w:val="af8"/>
    <w:uiPriority w:val="99"/>
    <w:rsid w:val="004061AC"/>
    <w:rPr>
      <w:rFonts w:ascii="Cambria" w:cs="Cambria" w:eastAsia="宋体" w:hAnsi="Cambria"/>
      <w:b/>
      <w:bCs/>
      <w:sz w:val="32"/>
      <w:szCs w:val="32"/>
    </w:rPr>
  </w:style>
  <w:style w:customStyle="1" w:styleId="CharCharCharCharCharChar1CharCharChar1" w:type="paragraph">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styleId="af9" w:type="paragraph">
    <w:name w:val="No Spacing"/>
    <w:link w:val="Charc"/>
    <w:uiPriority w:val="1"/>
    <w:qFormat/>
    <w:rsid w:val="004061AC"/>
    <w:rPr>
      <w:rFonts w:ascii="Calibri" w:cs="Calibri" w:eastAsia="宋体" w:hAnsi="Calibri"/>
      <w:kern w:val="0"/>
      <w:sz w:val="22"/>
    </w:rPr>
  </w:style>
  <w:style w:customStyle="1" w:styleId="Charc" w:type="character">
    <w:name w:val="无间隔 Char"/>
    <w:basedOn w:val="a1"/>
    <w:link w:val="af9"/>
    <w:uiPriority w:val="1"/>
    <w:locked/>
    <w:rsid w:val="004061AC"/>
    <w:rPr>
      <w:rFonts w:ascii="Calibri" w:cs="Calibri" w:eastAsia="宋体" w:hAnsi="Calibri"/>
      <w:kern w:val="0"/>
      <w:sz w:val="22"/>
    </w:rPr>
  </w:style>
  <w:style w:customStyle="1" w:styleId="t1" w:type="character">
    <w:name w:val="t1"/>
    <w:basedOn w:val="a1"/>
    <w:uiPriority w:val="99"/>
    <w:rsid w:val="004061AC"/>
    <w:rPr>
      <w:color w:val="auto"/>
    </w:rPr>
  </w:style>
  <w:style w:styleId="afa" w:type="paragraph">
    <w:name w:val="List Paragraph"/>
    <w:basedOn w:val="a"/>
    <w:uiPriority w:val="34"/>
    <w:qFormat/>
    <w:rsid w:val="00154BE1"/>
    <w:pPr>
      <w:ind w:firstLine="420" w:firstLineChars="200"/>
    </w:pPr>
  </w:style>
  <w:style w:customStyle="1" w:styleId="Default" w:type="paragraph">
    <w:name w:val="Default"/>
    <w:rsid w:val="00275745"/>
    <w:pPr>
      <w:widowControl w:val="0"/>
      <w:autoSpaceDE w:val="0"/>
      <w:autoSpaceDN w:val="0"/>
      <w:adjustRightInd w:val="0"/>
    </w:pPr>
    <w:rPr>
      <w:rFonts w:ascii="FangSong" w:cs="FangSong" w:eastAsia="宋体" w:hAnsi="FangSong"/>
      <w:color w:val="000000"/>
      <w:kern w:val="0"/>
      <w:sz w:val="24"/>
      <w:szCs w:val="24"/>
    </w:rPr>
  </w:style>
  <w:style w:styleId="afb" w:type="character">
    <w:name w:val="Strong"/>
    <w:basedOn w:val="a1"/>
    <w:uiPriority w:val="22"/>
    <w:qFormat/>
    <w:rsid w:val="00E52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4992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media/image1.jpeg" Type="http://schemas.openxmlformats.org/officeDocument/2006/relationships/image"/>
<Relationship Id="rId15" Target="fontTable.xml" Type="http://schemas.openxmlformats.org/officeDocument/2006/relationships/fontTable"/>
<Relationship Id="rId16"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header2.xml" Type="http://schemas.openxmlformats.org/officeDocument/2006/relationships/header"/>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24F61-935D-4852-8DB9-16A24A127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1828</TotalTime>
  <Pages>24</Pages>
  <Words>3807</Words>
  <Characters>21700</Characters>
  <Application>Microsoft Office Word</Application>
  <DocSecurity>0</DocSecurity>
  <Lines>180</Lines>
  <Paragraphs>50</Paragraphs>
  <ScaleCrop>false</ScaleCrop>
  <Company/>
  <LinksUpToDate>false</LinksUpToDate>
  <CharactersWithSpaces>25457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2012-10-16T06:07:00Z</dcterms:created>
  <cp:lastModifiedBy>业务系统</cp:lastModifiedBy>
  <dcterms:modified xsi:type="dcterms:W3CDTF">2020-01-17T03:03:00Z</dcterms:modified>
  <cp:revision>600</cp:revision>
</cp:coreProperties>
</file>