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41575" w:rsidRDefault="00BC5B6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基金的过往业绩并不代表其未来表现。投资有风险，投</w:t>
      </w:r>
      <w:r>
        <w:rPr>
          <w:color w:val="000000"/>
          <w:sz w:val="24"/>
          <w:szCs w:val="24"/>
        </w:rPr>
        <w:t>资者在作出投资决策前应仔细阅读本基金的招募说明书。</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2,620,285,149.96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E1DD9" w:rsidRPr="00414345" w:rsidTr="00EE1DD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E1DD9" w:rsidRPr="00414345" w:rsidTr="00EE1D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329,263,583.32</w:t>
            </w:r>
          </w:p>
        </w:tc>
      </w:tr>
      <w:tr w:rsidR="00EE1DD9" w:rsidRPr="00414345" w:rsidTr="00EE1D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-37,669,640.47</w:t>
            </w:r>
          </w:p>
        </w:tc>
      </w:tr>
      <w:tr w:rsidR="00EE1DD9" w:rsidRPr="00414345" w:rsidTr="00EE1D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-0.0146</w:t>
            </w:r>
          </w:p>
        </w:tc>
      </w:tr>
      <w:tr w:rsidR="00EE1DD9" w:rsidRPr="00414345" w:rsidTr="00EE1D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7,100,133,403.21</w:t>
            </w:r>
          </w:p>
        </w:tc>
      </w:tr>
      <w:tr w:rsidR="00EE1DD9" w:rsidRPr="00414345" w:rsidTr="00EE1DD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2.710</w:t>
            </w:r>
          </w:p>
        </w:tc>
      </w:tr>
    </w:tbl>
    <w:p w:rsidR="00041575" w:rsidRDefault="00BC5B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EE1DD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41575">
        <w:trPr>
          <w:jc w:val="center"/>
        </w:trPr>
        <w:tc>
          <w:tcPr>
            <w:tcW w:w="1701" w:type="dxa"/>
            <w:vAlign w:val="center"/>
          </w:tcPr>
          <w:p w:rsidR="00041575" w:rsidRDefault="00BC5B6B">
            <w:pPr>
              <w:jc w:val="left"/>
            </w:pPr>
            <w:r>
              <w:rPr>
                <w:color w:val="000000"/>
                <w:sz w:val="24"/>
                <w:szCs w:val="24"/>
              </w:rPr>
              <w:t>过去三个月</w:t>
            </w:r>
          </w:p>
        </w:tc>
        <w:tc>
          <w:tcPr>
            <w:tcW w:w="1045" w:type="dxa"/>
            <w:vAlign w:val="center"/>
          </w:tcPr>
          <w:p w:rsidR="00041575" w:rsidRDefault="00BC5B6B">
            <w:pPr>
              <w:jc w:val="center"/>
            </w:pPr>
            <w:r>
              <w:rPr>
                <w:color w:val="000000"/>
                <w:sz w:val="24"/>
                <w:szCs w:val="24"/>
              </w:rPr>
              <w:t>0.00%</w:t>
            </w:r>
          </w:p>
        </w:tc>
        <w:tc>
          <w:tcPr>
            <w:tcW w:w="1344" w:type="dxa"/>
            <w:vAlign w:val="center"/>
          </w:tcPr>
          <w:p w:rsidR="00041575" w:rsidRDefault="00BC5B6B">
            <w:pPr>
              <w:jc w:val="center"/>
            </w:pPr>
            <w:r>
              <w:rPr>
                <w:color w:val="000000"/>
                <w:sz w:val="24"/>
                <w:szCs w:val="24"/>
              </w:rPr>
              <w:t>1.75%</w:t>
            </w:r>
          </w:p>
        </w:tc>
        <w:tc>
          <w:tcPr>
            <w:tcW w:w="1194" w:type="dxa"/>
            <w:vAlign w:val="center"/>
          </w:tcPr>
          <w:p w:rsidR="00041575" w:rsidRDefault="00BC5B6B">
            <w:pPr>
              <w:jc w:val="center"/>
            </w:pPr>
            <w:r>
              <w:rPr>
                <w:color w:val="000000"/>
                <w:sz w:val="24"/>
                <w:szCs w:val="24"/>
              </w:rPr>
              <w:t>-4.43%</w:t>
            </w:r>
          </w:p>
        </w:tc>
        <w:tc>
          <w:tcPr>
            <w:tcW w:w="1492" w:type="dxa"/>
            <w:vAlign w:val="center"/>
          </w:tcPr>
          <w:p w:rsidR="00041575" w:rsidRDefault="00BC5B6B">
            <w:pPr>
              <w:jc w:val="center"/>
            </w:pPr>
            <w:r>
              <w:rPr>
                <w:color w:val="000000"/>
                <w:sz w:val="24"/>
                <w:szCs w:val="24"/>
              </w:rPr>
              <w:t>1.53%</w:t>
            </w:r>
          </w:p>
        </w:tc>
        <w:tc>
          <w:tcPr>
            <w:tcW w:w="1194" w:type="dxa"/>
            <w:vAlign w:val="center"/>
          </w:tcPr>
          <w:p w:rsidR="00041575" w:rsidRDefault="00BC5B6B">
            <w:pPr>
              <w:jc w:val="center"/>
            </w:pPr>
            <w:r>
              <w:rPr>
                <w:color w:val="000000"/>
                <w:sz w:val="24"/>
                <w:szCs w:val="24"/>
              </w:rPr>
              <w:t>4.43%</w:t>
            </w:r>
          </w:p>
        </w:tc>
        <w:tc>
          <w:tcPr>
            <w:tcW w:w="898" w:type="dxa"/>
            <w:vAlign w:val="center"/>
          </w:tcPr>
          <w:p w:rsidR="00041575" w:rsidRDefault="00BC5B6B">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41575">
        <w:trPr>
          <w:jc w:val="center"/>
        </w:trPr>
        <w:tc>
          <w:tcPr>
            <w:tcW w:w="846" w:type="dxa"/>
            <w:vAlign w:val="center"/>
          </w:tcPr>
          <w:p w:rsidR="00041575" w:rsidRDefault="00BC5B6B">
            <w:pPr>
              <w:jc w:val="center"/>
            </w:pPr>
            <w:r>
              <w:rPr>
                <w:color w:val="000000"/>
                <w:sz w:val="24"/>
                <w:szCs w:val="24"/>
              </w:rPr>
              <w:t>王崇</w:t>
            </w:r>
          </w:p>
        </w:tc>
        <w:tc>
          <w:tcPr>
            <w:tcW w:w="845" w:type="dxa"/>
            <w:vAlign w:val="center"/>
          </w:tcPr>
          <w:p w:rsidR="00041575" w:rsidRDefault="00BC5B6B">
            <w:pPr>
              <w:jc w:val="center"/>
            </w:pPr>
            <w:r>
              <w:rPr>
                <w:color w:val="000000"/>
                <w:sz w:val="24"/>
                <w:szCs w:val="24"/>
              </w:rPr>
              <w:t>交银精选混合、交银新成长混合、交银瑞丰混合的基金</w:t>
            </w:r>
            <w:r>
              <w:rPr>
                <w:color w:val="000000"/>
                <w:sz w:val="24"/>
                <w:szCs w:val="24"/>
              </w:rPr>
              <w:lastRenderedPageBreak/>
              <w:t>经理，公司权益投资副总监</w:t>
            </w:r>
          </w:p>
        </w:tc>
        <w:tc>
          <w:tcPr>
            <w:tcW w:w="1549" w:type="dxa"/>
            <w:vAlign w:val="center"/>
          </w:tcPr>
          <w:p w:rsidR="00041575" w:rsidRDefault="00BC5B6B">
            <w:pPr>
              <w:jc w:val="center"/>
            </w:pPr>
            <w:r>
              <w:rPr>
                <w:color w:val="000000"/>
                <w:sz w:val="24"/>
                <w:szCs w:val="24"/>
              </w:rPr>
              <w:lastRenderedPageBreak/>
              <w:t>2014-10-22</w:t>
            </w:r>
          </w:p>
        </w:tc>
        <w:tc>
          <w:tcPr>
            <w:tcW w:w="1548" w:type="dxa"/>
            <w:vAlign w:val="center"/>
          </w:tcPr>
          <w:p w:rsidR="00041575" w:rsidRDefault="00BC5B6B">
            <w:pPr>
              <w:jc w:val="center"/>
            </w:pPr>
            <w:r>
              <w:rPr>
                <w:color w:val="000000"/>
                <w:sz w:val="24"/>
                <w:szCs w:val="24"/>
              </w:rPr>
              <w:t>-</w:t>
            </w:r>
          </w:p>
        </w:tc>
        <w:tc>
          <w:tcPr>
            <w:tcW w:w="1407" w:type="dxa"/>
            <w:vAlign w:val="center"/>
          </w:tcPr>
          <w:p w:rsidR="00041575" w:rsidRDefault="00BC5B6B">
            <w:pPr>
              <w:jc w:val="center"/>
            </w:pPr>
            <w:r>
              <w:rPr>
                <w:color w:val="000000"/>
                <w:sz w:val="24"/>
                <w:szCs w:val="24"/>
              </w:rPr>
              <w:t>12</w:t>
            </w:r>
            <w:r>
              <w:rPr>
                <w:color w:val="000000"/>
                <w:sz w:val="24"/>
                <w:szCs w:val="24"/>
              </w:rPr>
              <w:t>年</w:t>
            </w:r>
          </w:p>
        </w:tc>
        <w:tc>
          <w:tcPr>
            <w:tcW w:w="2673" w:type="dxa"/>
            <w:vAlign w:val="center"/>
          </w:tcPr>
          <w:p w:rsidR="00041575" w:rsidRDefault="00BC5B6B">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41575" w:rsidRDefault="00BC5B6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41575" w:rsidRDefault="00BC5B6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41575" w:rsidRDefault="00BC5B6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041575" w:rsidRDefault="00BC5B6B">
      <w:pPr>
        <w:spacing w:before="29" w:line="288" w:lineRule="auto"/>
        <w:ind w:firstLineChars="200" w:firstLine="480"/>
        <w:rPr>
          <w:color w:val="000000"/>
          <w:sz w:val="24"/>
          <w:szCs w:val="24"/>
        </w:rPr>
      </w:pPr>
      <w:r>
        <w:rPr>
          <w:color w:val="000000"/>
          <w:sz w:val="24"/>
          <w:szCs w:val="24"/>
        </w:rPr>
        <w:t>2020</w:t>
      </w:r>
      <w:r>
        <w:rPr>
          <w:color w:val="000000"/>
          <w:sz w:val="24"/>
          <w:szCs w:val="24"/>
        </w:rPr>
        <w:t>年受新冠肺炎扩散影响，国内经济阶段性进入衰退区间，我们预计未来受海外出口拖累，经济复苏力度仍旧不宜乐观。一季度</w:t>
      </w:r>
      <w:r>
        <w:rPr>
          <w:color w:val="000000"/>
          <w:sz w:val="24"/>
          <w:szCs w:val="24"/>
        </w:rPr>
        <w:t>A</w:t>
      </w:r>
      <w:r>
        <w:rPr>
          <w:color w:val="000000"/>
          <w:sz w:val="24"/>
          <w:szCs w:val="24"/>
        </w:rPr>
        <w:t>股市场先扬后抑，除创业板以外主要指数收益率均为负，其中一至二月科技股涨幅遥遥领先，随着三月疫情海外扩散，内需必选消费板块三月大幅反弹；从具体行业来看，农业、医药、食品以及计算机等内需弱周期行业涨幅居前，金融、地产以及家电等对宏观经济高度敏感行业跌幅居前。</w:t>
      </w:r>
    </w:p>
    <w:p w:rsidR="00041575" w:rsidRDefault="00BC5B6B">
      <w:pPr>
        <w:spacing w:before="29" w:line="288" w:lineRule="auto"/>
        <w:ind w:firstLineChars="200" w:firstLine="480"/>
        <w:rPr>
          <w:color w:val="000000"/>
          <w:sz w:val="24"/>
          <w:szCs w:val="24"/>
        </w:rPr>
      </w:pPr>
      <w:r>
        <w:rPr>
          <w:color w:val="000000"/>
          <w:sz w:val="24"/>
          <w:szCs w:val="24"/>
        </w:rPr>
        <w:t>本基金一季度前期保持中性略高仓位，三月以后略有降仓，考虑到新冠肺炎疫情对经济周期的影响，部分经济敏感度较高的行业投资逻辑发生重大变化，一季度中后期我们大幅减持金融和消费电子，加仓必选消费，从整个季度来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年二季度，我们对</w:t>
      </w:r>
      <w:r w:rsidRPr="00414345">
        <w:rPr>
          <w:color w:val="000000"/>
          <w:sz w:val="24"/>
          <w:szCs w:val="24"/>
        </w:rPr>
        <w:t>A</w:t>
      </w:r>
      <w:r w:rsidRPr="00414345">
        <w:rPr>
          <w:color w:val="000000"/>
          <w:sz w:val="24"/>
          <w:szCs w:val="24"/>
        </w:rPr>
        <w:t>股市场维持谨慎乐观的态度。考虑到目前的经济状况、利率水平以及政府采取的逆周期积极财政和货币政策，我们仍旧认为大类资产配置中权益最优；从估值盈利匹配度来看，有不少传统行业龙头公司股票仍旧值得投资和持有。另一方面，随着疫情全球扩散，出口形势堪忧，后续经济复苏的力度不宜乐观，</w:t>
      </w:r>
      <w:r w:rsidRPr="00414345">
        <w:rPr>
          <w:color w:val="000000"/>
          <w:sz w:val="24"/>
          <w:szCs w:val="24"/>
        </w:rPr>
        <w:t>A</w:t>
      </w:r>
      <w:r w:rsidRPr="00414345">
        <w:rPr>
          <w:color w:val="000000"/>
          <w:sz w:val="24"/>
          <w:szCs w:val="24"/>
        </w:rPr>
        <w:t>股上市公司盈利预测下调可能刚刚开始，在后续盈利预测不断下调过程中，不排除市场有阶段性再次回调的风险。本基金后续保持中性略低仓位，按照经济衰退、内需为先的思路，拟继续超配一二线房地产龙头、医疗服务和器械、软件及互联网、必选消费品、新能源汽车产业链上优质标的，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EE1DD9"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EE1DD9">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5,489,324,375.17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5,489,324,375.17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382,516,000.00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382,516,000.00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870,000,995.01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315,438,539.22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100,534,150.74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7,157,814,060.14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2,401,655,841.64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5,094,732.32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870,429,509.72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410,353,234.52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912,466,181.25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169,134,976.88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58,655,770.47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661,514,981.06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5,489,324,375.17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77.31</w:t>
            </w:r>
          </w:p>
        </w:tc>
      </w:tr>
    </w:tbl>
    <w:p w:rsidR="00EE1DD9" w:rsidRDefault="00EE1DD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41575">
        <w:trPr>
          <w:jc w:val="center"/>
        </w:trPr>
        <w:tc>
          <w:tcPr>
            <w:tcW w:w="855" w:type="dxa"/>
            <w:vAlign w:val="center"/>
          </w:tcPr>
          <w:p w:rsidR="00041575" w:rsidRDefault="00BC5B6B">
            <w:pPr>
              <w:jc w:val="center"/>
            </w:pPr>
            <w:r>
              <w:rPr>
                <w:color w:val="000000"/>
                <w:sz w:val="24"/>
                <w:szCs w:val="24"/>
              </w:rPr>
              <w:t>1</w:t>
            </w:r>
          </w:p>
        </w:tc>
        <w:tc>
          <w:tcPr>
            <w:tcW w:w="1334" w:type="dxa"/>
            <w:vAlign w:val="center"/>
          </w:tcPr>
          <w:p w:rsidR="00041575" w:rsidRDefault="00BC5B6B">
            <w:pPr>
              <w:jc w:val="center"/>
            </w:pPr>
            <w:r>
              <w:rPr>
                <w:color w:val="000000"/>
                <w:sz w:val="24"/>
                <w:szCs w:val="24"/>
              </w:rPr>
              <w:t>002271</w:t>
            </w:r>
          </w:p>
        </w:tc>
        <w:tc>
          <w:tcPr>
            <w:tcW w:w="1777" w:type="dxa"/>
            <w:vAlign w:val="center"/>
          </w:tcPr>
          <w:p w:rsidR="00041575" w:rsidRDefault="00BC5B6B">
            <w:pPr>
              <w:jc w:val="center"/>
            </w:pPr>
            <w:r>
              <w:rPr>
                <w:color w:val="000000"/>
                <w:sz w:val="24"/>
                <w:szCs w:val="24"/>
              </w:rPr>
              <w:t>东方雨虹</w:t>
            </w:r>
          </w:p>
        </w:tc>
        <w:tc>
          <w:tcPr>
            <w:tcW w:w="1334" w:type="dxa"/>
            <w:vAlign w:val="center"/>
          </w:tcPr>
          <w:p w:rsidR="00041575" w:rsidRDefault="00BC5B6B">
            <w:pPr>
              <w:jc w:val="right"/>
            </w:pPr>
            <w:r>
              <w:rPr>
                <w:color w:val="000000"/>
                <w:sz w:val="24"/>
                <w:szCs w:val="24"/>
              </w:rPr>
              <w:t>16,947,409</w:t>
            </w:r>
          </w:p>
        </w:tc>
        <w:tc>
          <w:tcPr>
            <w:tcW w:w="1924" w:type="dxa"/>
            <w:vAlign w:val="center"/>
          </w:tcPr>
          <w:p w:rsidR="00041575" w:rsidRDefault="00BC5B6B">
            <w:pPr>
              <w:jc w:val="right"/>
            </w:pPr>
            <w:r>
              <w:rPr>
                <w:color w:val="000000"/>
                <w:sz w:val="24"/>
                <w:szCs w:val="24"/>
              </w:rPr>
              <w:t>576,720,328.27</w:t>
            </w:r>
          </w:p>
        </w:tc>
        <w:tc>
          <w:tcPr>
            <w:tcW w:w="1644" w:type="dxa"/>
            <w:vAlign w:val="center"/>
          </w:tcPr>
          <w:p w:rsidR="00041575" w:rsidRDefault="00BC5B6B">
            <w:pPr>
              <w:jc w:val="right"/>
            </w:pPr>
            <w:r>
              <w:rPr>
                <w:color w:val="000000"/>
                <w:sz w:val="24"/>
                <w:szCs w:val="24"/>
              </w:rPr>
              <w:t>8.12</w:t>
            </w:r>
          </w:p>
        </w:tc>
      </w:tr>
      <w:tr w:rsidR="00041575">
        <w:trPr>
          <w:jc w:val="center"/>
        </w:trPr>
        <w:tc>
          <w:tcPr>
            <w:tcW w:w="855" w:type="dxa"/>
            <w:vAlign w:val="center"/>
          </w:tcPr>
          <w:p w:rsidR="00041575" w:rsidRDefault="00BC5B6B">
            <w:pPr>
              <w:jc w:val="center"/>
            </w:pPr>
            <w:r>
              <w:rPr>
                <w:color w:val="000000"/>
                <w:sz w:val="24"/>
                <w:szCs w:val="24"/>
              </w:rPr>
              <w:t>2</w:t>
            </w:r>
          </w:p>
        </w:tc>
        <w:tc>
          <w:tcPr>
            <w:tcW w:w="1334" w:type="dxa"/>
            <w:vAlign w:val="center"/>
          </w:tcPr>
          <w:p w:rsidR="00041575" w:rsidRDefault="00BC5B6B">
            <w:pPr>
              <w:jc w:val="center"/>
            </w:pPr>
            <w:r>
              <w:rPr>
                <w:color w:val="000000"/>
                <w:sz w:val="24"/>
                <w:szCs w:val="24"/>
              </w:rPr>
              <w:t>000002</w:t>
            </w:r>
          </w:p>
        </w:tc>
        <w:tc>
          <w:tcPr>
            <w:tcW w:w="1777" w:type="dxa"/>
            <w:vAlign w:val="center"/>
          </w:tcPr>
          <w:p w:rsidR="00041575" w:rsidRDefault="00BC5B6B">
            <w:pPr>
              <w:jc w:val="center"/>
            </w:pPr>
            <w:r>
              <w:rPr>
                <w:color w:val="000000"/>
                <w:sz w:val="24"/>
                <w:szCs w:val="24"/>
              </w:rPr>
              <w:t>万科</w:t>
            </w:r>
            <w:r>
              <w:rPr>
                <w:color w:val="000000"/>
                <w:sz w:val="24"/>
                <w:szCs w:val="24"/>
              </w:rPr>
              <w:t>A</w:t>
            </w:r>
          </w:p>
        </w:tc>
        <w:tc>
          <w:tcPr>
            <w:tcW w:w="1334" w:type="dxa"/>
            <w:vAlign w:val="center"/>
          </w:tcPr>
          <w:p w:rsidR="00041575" w:rsidRDefault="00BC5B6B">
            <w:pPr>
              <w:jc w:val="right"/>
            </w:pPr>
            <w:r>
              <w:rPr>
                <w:color w:val="000000"/>
                <w:sz w:val="24"/>
                <w:szCs w:val="24"/>
              </w:rPr>
              <w:t>17,256,322</w:t>
            </w:r>
          </w:p>
        </w:tc>
        <w:tc>
          <w:tcPr>
            <w:tcW w:w="1924" w:type="dxa"/>
            <w:vAlign w:val="center"/>
          </w:tcPr>
          <w:p w:rsidR="00041575" w:rsidRDefault="00BC5B6B">
            <w:pPr>
              <w:jc w:val="right"/>
            </w:pPr>
            <w:r>
              <w:rPr>
                <w:color w:val="000000"/>
                <w:sz w:val="24"/>
                <w:szCs w:val="24"/>
              </w:rPr>
              <w:t>442,624,659.30</w:t>
            </w:r>
          </w:p>
        </w:tc>
        <w:tc>
          <w:tcPr>
            <w:tcW w:w="1644" w:type="dxa"/>
            <w:vAlign w:val="center"/>
          </w:tcPr>
          <w:p w:rsidR="00041575" w:rsidRDefault="00BC5B6B">
            <w:pPr>
              <w:jc w:val="right"/>
            </w:pPr>
            <w:r>
              <w:rPr>
                <w:color w:val="000000"/>
                <w:sz w:val="24"/>
                <w:szCs w:val="24"/>
              </w:rPr>
              <w:t>6.23</w:t>
            </w:r>
          </w:p>
        </w:tc>
      </w:tr>
      <w:tr w:rsidR="00041575">
        <w:trPr>
          <w:jc w:val="center"/>
        </w:trPr>
        <w:tc>
          <w:tcPr>
            <w:tcW w:w="855" w:type="dxa"/>
            <w:vAlign w:val="center"/>
          </w:tcPr>
          <w:p w:rsidR="00041575" w:rsidRDefault="00BC5B6B">
            <w:pPr>
              <w:jc w:val="center"/>
            </w:pPr>
            <w:r>
              <w:rPr>
                <w:color w:val="000000"/>
                <w:sz w:val="24"/>
                <w:szCs w:val="24"/>
              </w:rPr>
              <w:t>3</w:t>
            </w:r>
          </w:p>
        </w:tc>
        <w:tc>
          <w:tcPr>
            <w:tcW w:w="1334" w:type="dxa"/>
            <w:vAlign w:val="center"/>
          </w:tcPr>
          <w:p w:rsidR="00041575" w:rsidRDefault="00BC5B6B">
            <w:pPr>
              <w:jc w:val="center"/>
            </w:pPr>
            <w:r>
              <w:rPr>
                <w:color w:val="000000"/>
                <w:sz w:val="24"/>
                <w:szCs w:val="24"/>
              </w:rPr>
              <w:t>002044</w:t>
            </w:r>
          </w:p>
        </w:tc>
        <w:tc>
          <w:tcPr>
            <w:tcW w:w="1777" w:type="dxa"/>
            <w:vAlign w:val="center"/>
          </w:tcPr>
          <w:p w:rsidR="00041575" w:rsidRDefault="00BC5B6B">
            <w:pPr>
              <w:jc w:val="center"/>
            </w:pPr>
            <w:r>
              <w:rPr>
                <w:color w:val="000000"/>
                <w:sz w:val="24"/>
                <w:szCs w:val="24"/>
              </w:rPr>
              <w:t>美年健康</w:t>
            </w:r>
          </w:p>
        </w:tc>
        <w:tc>
          <w:tcPr>
            <w:tcW w:w="1334" w:type="dxa"/>
            <w:vAlign w:val="center"/>
          </w:tcPr>
          <w:p w:rsidR="00041575" w:rsidRDefault="00BC5B6B">
            <w:pPr>
              <w:jc w:val="right"/>
            </w:pPr>
            <w:r>
              <w:rPr>
                <w:color w:val="000000"/>
                <w:sz w:val="24"/>
                <w:szCs w:val="24"/>
              </w:rPr>
              <w:t>35,665,064</w:t>
            </w:r>
          </w:p>
        </w:tc>
        <w:tc>
          <w:tcPr>
            <w:tcW w:w="1924" w:type="dxa"/>
            <w:vAlign w:val="center"/>
          </w:tcPr>
          <w:p w:rsidR="00041575" w:rsidRDefault="00BC5B6B">
            <w:pPr>
              <w:jc w:val="right"/>
            </w:pPr>
            <w:r>
              <w:rPr>
                <w:color w:val="000000"/>
                <w:sz w:val="24"/>
                <w:szCs w:val="24"/>
              </w:rPr>
              <w:t>421,204,405.84</w:t>
            </w:r>
          </w:p>
        </w:tc>
        <w:tc>
          <w:tcPr>
            <w:tcW w:w="1644" w:type="dxa"/>
            <w:vAlign w:val="center"/>
          </w:tcPr>
          <w:p w:rsidR="00041575" w:rsidRDefault="00BC5B6B">
            <w:pPr>
              <w:jc w:val="right"/>
            </w:pPr>
            <w:r>
              <w:rPr>
                <w:color w:val="000000"/>
                <w:sz w:val="24"/>
                <w:szCs w:val="24"/>
              </w:rPr>
              <w:t>5.93</w:t>
            </w:r>
          </w:p>
        </w:tc>
      </w:tr>
      <w:tr w:rsidR="00041575">
        <w:trPr>
          <w:jc w:val="center"/>
        </w:trPr>
        <w:tc>
          <w:tcPr>
            <w:tcW w:w="855" w:type="dxa"/>
            <w:vAlign w:val="center"/>
          </w:tcPr>
          <w:p w:rsidR="00041575" w:rsidRDefault="00BC5B6B">
            <w:pPr>
              <w:jc w:val="center"/>
            </w:pPr>
            <w:r>
              <w:rPr>
                <w:color w:val="000000"/>
                <w:sz w:val="24"/>
                <w:szCs w:val="24"/>
              </w:rPr>
              <w:t>4</w:t>
            </w:r>
          </w:p>
        </w:tc>
        <w:tc>
          <w:tcPr>
            <w:tcW w:w="1334" w:type="dxa"/>
            <w:vAlign w:val="center"/>
          </w:tcPr>
          <w:p w:rsidR="00041575" w:rsidRDefault="00BC5B6B">
            <w:pPr>
              <w:jc w:val="center"/>
            </w:pPr>
            <w:r>
              <w:rPr>
                <w:color w:val="000000"/>
                <w:sz w:val="24"/>
                <w:szCs w:val="24"/>
              </w:rPr>
              <w:t>002230</w:t>
            </w:r>
          </w:p>
        </w:tc>
        <w:tc>
          <w:tcPr>
            <w:tcW w:w="1777" w:type="dxa"/>
            <w:vAlign w:val="center"/>
          </w:tcPr>
          <w:p w:rsidR="00041575" w:rsidRDefault="00BC5B6B">
            <w:pPr>
              <w:jc w:val="center"/>
            </w:pPr>
            <w:r>
              <w:rPr>
                <w:color w:val="000000"/>
                <w:sz w:val="24"/>
                <w:szCs w:val="24"/>
              </w:rPr>
              <w:t>科大讯飞</w:t>
            </w:r>
          </w:p>
        </w:tc>
        <w:tc>
          <w:tcPr>
            <w:tcW w:w="1334" w:type="dxa"/>
            <w:vAlign w:val="center"/>
          </w:tcPr>
          <w:p w:rsidR="00041575" w:rsidRDefault="00BC5B6B">
            <w:pPr>
              <w:jc w:val="right"/>
            </w:pPr>
            <w:r>
              <w:rPr>
                <w:color w:val="000000"/>
                <w:sz w:val="24"/>
                <w:szCs w:val="24"/>
              </w:rPr>
              <w:t>12,299,075</w:t>
            </w:r>
          </w:p>
        </w:tc>
        <w:tc>
          <w:tcPr>
            <w:tcW w:w="1924" w:type="dxa"/>
            <w:vAlign w:val="center"/>
          </w:tcPr>
          <w:p w:rsidR="00041575" w:rsidRDefault="00BC5B6B">
            <w:pPr>
              <w:jc w:val="right"/>
            </w:pPr>
            <w:r>
              <w:rPr>
                <w:color w:val="000000"/>
                <w:sz w:val="24"/>
                <w:szCs w:val="24"/>
              </w:rPr>
              <w:t>417,520,870.50</w:t>
            </w:r>
          </w:p>
        </w:tc>
        <w:tc>
          <w:tcPr>
            <w:tcW w:w="1644" w:type="dxa"/>
            <w:vAlign w:val="center"/>
          </w:tcPr>
          <w:p w:rsidR="00041575" w:rsidRDefault="00BC5B6B">
            <w:pPr>
              <w:jc w:val="right"/>
            </w:pPr>
            <w:r>
              <w:rPr>
                <w:color w:val="000000"/>
                <w:sz w:val="24"/>
                <w:szCs w:val="24"/>
              </w:rPr>
              <w:t>5.88</w:t>
            </w:r>
          </w:p>
        </w:tc>
      </w:tr>
      <w:tr w:rsidR="00041575">
        <w:trPr>
          <w:jc w:val="center"/>
        </w:trPr>
        <w:tc>
          <w:tcPr>
            <w:tcW w:w="855" w:type="dxa"/>
            <w:vAlign w:val="center"/>
          </w:tcPr>
          <w:p w:rsidR="00041575" w:rsidRDefault="00BC5B6B">
            <w:pPr>
              <w:jc w:val="center"/>
            </w:pPr>
            <w:r>
              <w:rPr>
                <w:color w:val="000000"/>
                <w:sz w:val="24"/>
                <w:szCs w:val="24"/>
              </w:rPr>
              <w:t>5</w:t>
            </w:r>
          </w:p>
        </w:tc>
        <w:tc>
          <w:tcPr>
            <w:tcW w:w="1334" w:type="dxa"/>
            <w:vAlign w:val="center"/>
          </w:tcPr>
          <w:p w:rsidR="00041575" w:rsidRDefault="00BC5B6B">
            <w:pPr>
              <w:jc w:val="center"/>
            </w:pPr>
            <w:r>
              <w:rPr>
                <w:color w:val="000000"/>
                <w:sz w:val="24"/>
                <w:szCs w:val="24"/>
              </w:rPr>
              <w:t>600048</w:t>
            </w:r>
          </w:p>
        </w:tc>
        <w:tc>
          <w:tcPr>
            <w:tcW w:w="1777" w:type="dxa"/>
            <w:vAlign w:val="center"/>
          </w:tcPr>
          <w:p w:rsidR="00041575" w:rsidRDefault="00BC5B6B">
            <w:pPr>
              <w:jc w:val="center"/>
            </w:pPr>
            <w:r>
              <w:rPr>
                <w:color w:val="000000"/>
                <w:sz w:val="24"/>
                <w:szCs w:val="24"/>
              </w:rPr>
              <w:t>保利地产</w:t>
            </w:r>
          </w:p>
        </w:tc>
        <w:tc>
          <w:tcPr>
            <w:tcW w:w="1334" w:type="dxa"/>
            <w:vAlign w:val="center"/>
          </w:tcPr>
          <w:p w:rsidR="00041575" w:rsidRDefault="00BC5B6B">
            <w:pPr>
              <w:jc w:val="right"/>
            </w:pPr>
            <w:r>
              <w:rPr>
                <w:color w:val="000000"/>
                <w:sz w:val="24"/>
                <w:szCs w:val="24"/>
              </w:rPr>
              <w:t>24,170,361</w:t>
            </w:r>
          </w:p>
        </w:tc>
        <w:tc>
          <w:tcPr>
            <w:tcW w:w="1924" w:type="dxa"/>
            <w:vAlign w:val="center"/>
          </w:tcPr>
          <w:p w:rsidR="00041575" w:rsidRDefault="00BC5B6B">
            <w:pPr>
              <w:jc w:val="right"/>
            </w:pPr>
            <w:r>
              <w:rPr>
                <w:color w:val="000000"/>
                <w:sz w:val="24"/>
                <w:szCs w:val="24"/>
              </w:rPr>
              <w:t>359,413,268.07</w:t>
            </w:r>
          </w:p>
        </w:tc>
        <w:tc>
          <w:tcPr>
            <w:tcW w:w="1644" w:type="dxa"/>
            <w:vAlign w:val="center"/>
          </w:tcPr>
          <w:p w:rsidR="00041575" w:rsidRDefault="00BC5B6B">
            <w:pPr>
              <w:jc w:val="right"/>
            </w:pPr>
            <w:r>
              <w:rPr>
                <w:color w:val="000000"/>
                <w:sz w:val="24"/>
                <w:szCs w:val="24"/>
              </w:rPr>
              <w:t>5.06</w:t>
            </w:r>
          </w:p>
        </w:tc>
      </w:tr>
      <w:tr w:rsidR="00041575">
        <w:trPr>
          <w:jc w:val="center"/>
        </w:trPr>
        <w:tc>
          <w:tcPr>
            <w:tcW w:w="855" w:type="dxa"/>
            <w:vAlign w:val="center"/>
          </w:tcPr>
          <w:p w:rsidR="00041575" w:rsidRDefault="00BC5B6B">
            <w:pPr>
              <w:jc w:val="center"/>
            </w:pPr>
            <w:r>
              <w:rPr>
                <w:color w:val="000000"/>
                <w:sz w:val="24"/>
                <w:szCs w:val="24"/>
              </w:rPr>
              <w:t>6</w:t>
            </w:r>
          </w:p>
        </w:tc>
        <w:tc>
          <w:tcPr>
            <w:tcW w:w="1334" w:type="dxa"/>
            <w:vAlign w:val="center"/>
          </w:tcPr>
          <w:p w:rsidR="00041575" w:rsidRDefault="00BC5B6B">
            <w:pPr>
              <w:jc w:val="center"/>
            </w:pPr>
            <w:r>
              <w:rPr>
                <w:color w:val="000000"/>
                <w:sz w:val="24"/>
                <w:szCs w:val="24"/>
              </w:rPr>
              <w:t>603517</w:t>
            </w:r>
          </w:p>
        </w:tc>
        <w:tc>
          <w:tcPr>
            <w:tcW w:w="1777" w:type="dxa"/>
            <w:vAlign w:val="center"/>
          </w:tcPr>
          <w:p w:rsidR="00041575" w:rsidRDefault="00BC5B6B">
            <w:pPr>
              <w:jc w:val="center"/>
            </w:pPr>
            <w:r>
              <w:rPr>
                <w:color w:val="000000"/>
                <w:sz w:val="24"/>
                <w:szCs w:val="24"/>
              </w:rPr>
              <w:t>绝味食品</w:t>
            </w:r>
          </w:p>
        </w:tc>
        <w:tc>
          <w:tcPr>
            <w:tcW w:w="1334" w:type="dxa"/>
            <w:vAlign w:val="center"/>
          </w:tcPr>
          <w:p w:rsidR="00041575" w:rsidRDefault="00BC5B6B">
            <w:pPr>
              <w:jc w:val="right"/>
            </w:pPr>
            <w:r>
              <w:rPr>
                <w:color w:val="000000"/>
                <w:sz w:val="24"/>
                <w:szCs w:val="24"/>
              </w:rPr>
              <w:t>6,283,571</w:t>
            </w:r>
          </w:p>
        </w:tc>
        <w:tc>
          <w:tcPr>
            <w:tcW w:w="1924" w:type="dxa"/>
            <w:vAlign w:val="center"/>
          </w:tcPr>
          <w:p w:rsidR="00041575" w:rsidRDefault="00BC5B6B">
            <w:pPr>
              <w:jc w:val="right"/>
            </w:pPr>
            <w:r>
              <w:rPr>
                <w:color w:val="000000"/>
                <w:sz w:val="24"/>
                <w:szCs w:val="24"/>
              </w:rPr>
              <w:t>325,174,799.25</w:t>
            </w:r>
          </w:p>
        </w:tc>
        <w:tc>
          <w:tcPr>
            <w:tcW w:w="1644" w:type="dxa"/>
            <w:vAlign w:val="center"/>
          </w:tcPr>
          <w:p w:rsidR="00041575" w:rsidRDefault="00BC5B6B">
            <w:pPr>
              <w:jc w:val="right"/>
            </w:pPr>
            <w:r>
              <w:rPr>
                <w:color w:val="000000"/>
                <w:sz w:val="24"/>
                <w:szCs w:val="24"/>
              </w:rPr>
              <w:t>4.58</w:t>
            </w:r>
          </w:p>
        </w:tc>
      </w:tr>
      <w:tr w:rsidR="00041575">
        <w:trPr>
          <w:jc w:val="center"/>
        </w:trPr>
        <w:tc>
          <w:tcPr>
            <w:tcW w:w="855" w:type="dxa"/>
            <w:vAlign w:val="center"/>
          </w:tcPr>
          <w:p w:rsidR="00041575" w:rsidRDefault="00BC5B6B">
            <w:pPr>
              <w:jc w:val="center"/>
            </w:pPr>
            <w:r>
              <w:rPr>
                <w:color w:val="000000"/>
                <w:sz w:val="24"/>
                <w:szCs w:val="24"/>
              </w:rPr>
              <w:t>7</w:t>
            </w:r>
          </w:p>
        </w:tc>
        <w:tc>
          <w:tcPr>
            <w:tcW w:w="1334" w:type="dxa"/>
            <w:vAlign w:val="center"/>
          </w:tcPr>
          <w:p w:rsidR="00041575" w:rsidRDefault="00BC5B6B">
            <w:pPr>
              <w:jc w:val="center"/>
            </w:pPr>
            <w:r>
              <w:rPr>
                <w:color w:val="000000"/>
                <w:sz w:val="24"/>
                <w:szCs w:val="24"/>
              </w:rPr>
              <w:t>600529</w:t>
            </w:r>
          </w:p>
        </w:tc>
        <w:tc>
          <w:tcPr>
            <w:tcW w:w="1777" w:type="dxa"/>
            <w:vAlign w:val="center"/>
          </w:tcPr>
          <w:p w:rsidR="00041575" w:rsidRDefault="00BC5B6B">
            <w:pPr>
              <w:jc w:val="center"/>
            </w:pPr>
            <w:r>
              <w:rPr>
                <w:color w:val="000000"/>
                <w:sz w:val="24"/>
                <w:szCs w:val="24"/>
              </w:rPr>
              <w:t>山东药玻</w:t>
            </w:r>
          </w:p>
        </w:tc>
        <w:tc>
          <w:tcPr>
            <w:tcW w:w="1334" w:type="dxa"/>
            <w:vAlign w:val="center"/>
          </w:tcPr>
          <w:p w:rsidR="00041575" w:rsidRDefault="00BC5B6B">
            <w:pPr>
              <w:jc w:val="right"/>
            </w:pPr>
            <w:r>
              <w:rPr>
                <w:color w:val="000000"/>
                <w:sz w:val="24"/>
                <w:szCs w:val="24"/>
              </w:rPr>
              <w:t>9,093,181</w:t>
            </w:r>
          </w:p>
        </w:tc>
        <w:tc>
          <w:tcPr>
            <w:tcW w:w="1924" w:type="dxa"/>
            <w:vAlign w:val="center"/>
          </w:tcPr>
          <w:p w:rsidR="00041575" w:rsidRDefault="00BC5B6B">
            <w:pPr>
              <w:jc w:val="right"/>
            </w:pPr>
            <w:r>
              <w:rPr>
                <w:color w:val="000000"/>
                <w:sz w:val="24"/>
                <w:szCs w:val="24"/>
              </w:rPr>
              <w:t>301,575,017.98</w:t>
            </w:r>
          </w:p>
        </w:tc>
        <w:tc>
          <w:tcPr>
            <w:tcW w:w="1644" w:type="dxa"/>
            <w:vAlign w:val="center"/>
          </w:tcPr>
          <w:p w:rsidR="00041575" w:rsidRDefault="00BC5B6B">
            <w:pPr>
              <w:jc w:val="right"/>
            </w:pPr>
            <w:r>
              <w:rPr>
                <w:color w:val="000000"/>
                <w:sz w:val="24"/>
                <w:szCs w:val="24"/>
              </w:rPr>
              <w:t>4.25</w:t>
            </w:r>
          </w:p>
        </w:tc>
      </w:tr>
      <w:tr w:rsidR="00041575">
        <w:trPr>
          <w:jc w:val="center"/>
        </w:trPr>
        <w:tc>
          <w:tcPr>
            <w:tcW w:w="855" w:type="dxa"/>
            <w:vAlign w:val="center"/>
          </w:tcPr>
          <w:p w:rsidR="00041575" w:rsidRDefault="00BC5B6B">
            <w:pPr>
              <w:jc w:val="center"/>
            </w:pPr>
            <w:r>
              <w:rPr>
                <w:color w:val="000000"/>
                <w:sz w:val="24"/>
                <w:szCs w:val="24"/>
              </w:rPr>
              <w:t>8</w:t>
            </w:r>
          </w:p>
        </w:tc>
        <w:tc>
          <w:tcPr>
            <w:tcW w:w="1334" w:type="dxa"/>
            <w:vAlign w:val="center"/>
          </w:tcPr>
          <w:p w:rsidR="00041575" w:rsidRDefault="00BC5B6B">
            <w:pPr>
              <w:jc w:val="center"/>
            </w:pPr>
            <w:r>
              <w:rPr>
                <w:color w:val="000000"/>
                <w:sz w:val="24"/>
                <w:szCs w:val="24"/>
              </w:rPr>
              <w:t>002311</w:t>
            </w:r>
          </w:p>
        </w:tc>
        <w:tc>
          <w:tcPr>
            <w:tcW w:w="1777" w:type="dxa"/>
            <w:vAlign w:val="center"/>
          </w:tcPr>
          <w:p w:rsidR="00041575" w:rsidRDefault="00BC5B6B">
            <w:pPr>
              <w:jc w:val="center"/>
            </w:pPr>
            <w:r>
              <w:rPr>
                <w:color w:val="000000"/>
                <w:sz w:val="24"/>
                <w:szCs w:val="24"/>
              </w:rPr>
              <w:t>海大集团</w:t>
            </w:r>
          </w:p>
        </w:tc>
        <w:tc>
          <w:tcPr>
            <w:tcW w:w="1334" w:type="dxa"/>
            <w:vAlign w:val="center"/>
          </w:tcPr>
          <w:p w:rsidR="00041575" w:rsidRDefault="00BC5B6B">
            <w:pPr>
              <w:jc w:val="right"/>
            </w:pPr>
            <w:r>
              <w:rPr>
                <w:color w:val="000000"/>
                <w:sz w:val="24"/>
                <w:szCs w:val="24"/>
              </w:rPr>
              <w:t>6,882,572</w:t>
            </w:r>
          </w:p>
        </w:tc>
        <w:tc>
          <w:tcPr>
            <w:tcW w:w="1924" w:type="dxa"/>
            <w:vAlign w:val="center"/>
          </w:tcPr>
          <w:p w:rsidR="00041575" w:rsidRDefault="00BC5B6B">
            <w:pPr>
              <w:jc w:val="right"/>
            </w:pPr>
            <w:r>
              <w:rPr>
                <w:color w:val="000000"/>
                <w:sz w:val="24"/>
                <w:szCs w:val="24"/>
              </w:rPr>
              <w:t>276,679,394.40</w:t>
            </w:r>
          </w:p>
        </w:tc>
        <w:tc>
          <w:tcPr>
            <w:tcW w:w="1644" w:type="dxa"/>
            <w:vAlign w:val="center"/>
          </w:tcPr>
          <w:p w:rsidR="00041575" w:rsidRDefault="00BC5B6B">
            <w:pPr>
              <w:jc w:val="right"/>
            </w:pPr>
            <w:r>
              <w:rPr>
                <w:color w:val="000000"/>
                <w:sz w:val="24"/>
                <w:szCs w:val="24"/>
              </w:rPr>
              <w:t>3.90</w:t>
            </w:r>
          </w:p>
        </w:tc>
      </w:tr>
      <w:tr w:rsidR="00041575">
        <w:trPr>
          <w:jc w:val="center"/>
        </w:trPr>
        <w:tc>
          <w:tcPr>
            <w:tcW w:w="855" w:type="dxa"/>
            <w:vAlign w:val="center"/>
          </w:tcPr>
          <w:p w:rsidR="00041575" w:rsidRDefault="00BC5B6B">
            <w:pPr>
              <w:jc w:val="center"/>
            </w:pPr>
            <w:r>
              <w:rPr>
                <w:color w:val="000000"/>
                <w:sz w:val="24"/>
                <w:szCs w:val="24"/>
              </w:rPr>
              <w:t>9</w:t>
            </w:r>
          </w:p>
        </w:tc>
        <w:tc>
          <w:tcPr>
            <w:tcW w:w="1334" w:type="dxa"/>
            <w:vAlign w:val="center"/>
          </w:tcPr>
          <w:p w:rsidR="00041575" w:rsidRDefault="00BC5B6B">
            <w:pPr>
              <w:jc w:val="center"/>
            </w:pPr>
            <w:r>
              <w:rPr>
                <w:color w:val="000000"/>
                <w:sz w:val="24"/>
                <w:szCs w:val="24"/>
              </w:rPr>
              <w:t>603195</w:t>
            </w:r>
          </w:p>
        </w:tc>
        <w:tc>
          <w:tcPr>
            <w:tcW w:w="1777" w:type="dxa"/>
            <w:vAlign w:val="center"/>
          </w:tcPr>
          <w:p w:rsidR="00041575" w:rsidRDefault="00BC5B6B">
            <w:pPr>
              <w:jc w:val="center"/>
            </w:pPr>
            <w:r>
              <w:rPr>
                <w:color w:val="000000"/>
                <w:sz w:val="24"/>
                <w:szCs w:val="24"/>
              </w:rPr>
              <w:t>公牛集团</w:t>
            </w:r>
          </w:p>
        </w:tc>
        <w:tc>
          <w:tcPr>
            <w:tcW w:w="1334" w:type="dxa"/>
            <w:vAlign w:val="center"/>
          </w:tcPr>
          <w:p w:rsidR="00041575" w:rsidRDefault="00BC5B6B">
            <w:pPr>
              <w:jc w:val="right"/>
            </w:pPr>
            <w:r>
              <w:rPr>
                <w:color w:val="000000"/>
                <w:sz w:val="24"/>
                <w:szCs w:val="24"/>
              </w:rPr>
              <w:t>1,732,138</w:t>
            </w:r>
          </w:p>
        </w:tc>
        <w:tc>
          <w:tcPr>
            <w:tcW w:w="1924" w:type="dxa"/>
            <w:vAlign w:val="center"/>
          </w:tcPr>
          <w:p w:rsidR="00041575" w:rsidRDefault="00BC5B6B">
            <w:pPr>
              <w:jc w:val="right"/>
            </w:pPr>
            <w:r>
              <w:rPr>
                <w:color w:val="000000"/>
                <w:sz w:val="24"/>
                <w:szCs w:val="24"/>
              </w:rPr>
              <w:t>268,429,425.86</w:t>
            </w:r>
          </w:p>
        </w:tc>
        <w:tc>
          <w:tcPr>
            <w:tcW w:w="1644" w:type="dxa"/>
            <w:vAlign w:val="center"/>
          </w:tcPr>
          <w:p w:rsidR="00041575" w:rsidRDefault="00BC5B6B">
            <w:pPr>
              <w:jc w:val="right"/>
            </w:pPr>
            <w:r>
              <w:rPr>
                <w:color w:val="000000"/>
                <w:sz w:val="24"/>
                <w:szCs w:val="24"/>
              </w:rPr>
              <w:t>3.78</w:t>
            </w:r>
          </w:p>
        </w:tc>
      </w:tr>
      <w:tr w:rsidR="00041575">
        <w:trPr>
          <w:jc w:val="center"/>
        </w:trPr>
        <w:tc>
          <w:tcPr>
            <w:tcW w:w="855" w:type="dxa"/>
            <w:vAlign w:val="center"/>
          </w:tcPr>
          <w:p w:rsidR="00041575" w:rsidRDefault="00BC5B6B">
            <w:pPr>
              <w:jc w:val="center"/>
            </w:pPr>
            <w:r>
              <w:rPr>
                <w:color w:val="000000"/>
                <w:sz w:val="24"/>
                <w:szCs w:val="24"/>
              </w:rPr>
              <w:t>10</w:t>
            </w:r>
          </w:p>
        </w:tc>
        <w:tc>
          <w:tcPr>
            <w:tcW w:w="1334" w:type="dxa"/>
            <w:vAlign w:val="center"/>
          </w:tcPr>
          <w:p w:rsidR="00041575" w:rsidRDefault="00BC5B6B">
            <w:pPr>
              <w:jc w:val="center"/>
            </w:pPr>
            <w:r>
              <w:rPr>
                <w:color w:val="000000"/>
                <w:sz w:val="24"/>
                <w:szCs w:val="24"/>
              </w:rPr>
              <w:t>002050</w:t>
            </w:r>
          </w:p>
        </w:tc>
        <w:tc>
          <w:tcPr>
            <w:tcW w:w="1777" w:type="dxa"/>
            <w:vAlign w:val="center"/>
          </w:tcPr>
          <w:p w:rsidR="00041575" w:rsidRDefault="00BC5B6B">
            <w:pPr>
              <w:jc w:val="center"/>
            </w:pPr>
            <w:r>
              <w:rPr>
                <w:color w:val="000000"/>
                <w:sz w:val="24"/>
                <w:szCs w:val="24"/>
              </w:rPr>
              <w:t>三花智控</w:t>
            </w:r>
          </w:p>
        </w:tc>
        <w:tc>
          <w:tcPr>
            <w:tcW w:w="1334" w:type="dxa"/>
            <w:vAlign w:val="center"/>
          </w:tcPr>
          <w:p w:rsidR="00041575" w:rsidRDefault="00BC5B6B">
            <w:pPr>
              <w:jc w:val="right"/>
            </w:pPr>
            <w:r>
              <w:rPr>
                <w:color w:val="000000"/>
                <w:sz w:val="24"/>
                <w:szCs w:val="24"/>
              </w:rPr>
              <w:t>16,177,435</w:t>
            </w:r>
          </w:p>
        </w:tc>
        <w:tc>
          <w:tcPr>
            <w:tcW w:w="1924" w:type="dxa"/>
            <w:vAlign w:val="center"/>
          </w:tcPr>
          <w:p w:rsidR="00041575" w:rsidRDefault="00BC5B6B">
            <w:pPr>
              <w:jc w:val="right"/>
            </w:pPr>
            <w:r>
              <w:rPr>
                <w:color w:val="000000"/>
                <w:sz w:val="24"/>
                <w:szCs w:val="24"/>
              </w:rPr>
              <w:t>259,971,380.45</w:t>
            </w:r>
          </w:p>
        </w:tc>
        <w:tc>
          <w:tcPr>
            <w:tcW w:w="1644" w:type="dxa"/>
            <w:vAlign w:val="center"/>
          </w:tcPr>
          <w:p w:rsidR="00041575" w:rsidRDefault="00BC5B6B">
            <w:pPr>
              <w:jc w:val="right"/>
            </w:pPr>
            <w:r>
              <w:rPr>
                <w:color w:val="000000"/>
                <w:sz w:val="24"/>
                <w:szCs w:val="24"/>
              </w:rPr>
              <w:t>3.66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371,286,000.00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371,286,000.00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382,516,000.00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41575">
        <w:trPr>
          <w:jc w:val="center"/>
        </w:trPr>
        <w:tc>
          <w:tcPr>
            <w:tcW w:w="850" w:type="dxa"/>
            <w:vAlign w:val="center"/>
          </w:tcPr>
          <w:p w:rsidR="00041575" w:rsidRDefault="00BC5B6B">
            <w:pPr>
              <w:jc w:val="center"/>
            </w:pPr>
            <w:r>
              <w:rPr>
                <w:color w:val="000000"/>
                <w:sz w:val="24"/>
                <w:szCs w:val="24"/>
              </w:rPr>
              <w:t>1</w:t>
            </w:r>
          </w:p>
        </w:tc>
        <w:tc>
          <w:tcPr>
            <w:tcW w:w="1475" w:type="dxa"/>
            <w:vAlign w:val="center"/>
          </w:tcPr>
          <w:p w:rsidR="00041575" w:rsidRDefault="00BC5B6B">
            <w:pPr>
              <w:jc w:val="center"/>
            </w:pPr>
            <w:r>
              <w:rPr>
                <w:color w:val="000000"/>
                <w:sz w:val="24"/>
                <w:szCs w:val="24"/>
              </w:rPr>
              <w:t>190206</w:t>
            </w:r>
          </w:p>
        </w:tc>
        <w:tc>
          <w:tcPr>
            <w:tcW w:w="1769" w:type="dxa"/>
            <w:vAlign w:val="center"/>
          </w:tcPr>
          <w:p w:rsidR="00041575" w:rsidRDefault="00BC5B6B">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041575" w:rsidRDefault="00BC5B6B">
            <w:pPr>
              <w:jc w:val="right"/>
            </w:pPr>
            <w:r>
              <w:rPr>
                <w:color w:val="000000"/>
                <w:sz w:val="24"/>
                <w:szCs w:val="24"/>
              </w:rPr>
              <w:t>1,300,000</w:t>
            </w:r>
          </w:p>
        </w:tc>
        <w:tc>
          <w:tcPr>
            <w:tcW w:w="2150" w:type="dxa"/>
            <w:vAlign w:val="center"/>
          </w:tcPr>
          <w:p w:rsidR="00041575" w:rsidRDefault="00BC5B6B">
            <w:pPr>
              <w:jc w:val="right"/>
            </w:pPr>
            <w:r>
              <w:rPr>
                <w:color w:val="000000"/>
                <w:sz w:val="24"/>
                <w:szCs w:val="24"/>
              </w:rPr>
              <w:t>130,104,000.00</w:t>
            </w:r>
          </w:p>
        </w:tc>
        <w:tc>
          <w:tcPr>
            <w:tcW w:w="1237" w:type="dxa"/>
            <w:vAlign w:val="center"/>
          </w:tcPr>
          <w:p w:rsidR="00041575" w:rsidRDefault="00BC5B6B">
            <w:pPr>
              <w:jc w:val="right"/>
            </w:pPr>
            <w:r>
              <w:rPr>
                <w:color w:val="000000"/>
                <w:sz w:val="24"/>
                <w:szCs w:val="24"/>
              </w:rPr>
              <w:t>1.83</w:t>
            </w:r>
          </w:p>
        </w:tc>
      </w:tr>
      <w:tr w:rsidR="00041575">
        <w:trPr>
          <w:jc w:val="center"/>
        </w:trPr>
        <w:tc>
          <w:tcPr>
            <w:tcW w:w="850" w:type="dxa"/>
            <w:vAlign w:val="center"/>
          </w:tcPr>
          <w:p w:rsidR="00041575" w:rsidRDefault="00BC5B6B">
            <w:pPr>
              <w:jc w:val="center"/>
            </w:pPr>
            <w:r>
              <w:rPr>
                <w:color w:val="000000"/>
                <w:sz w:val="24"/>
                <w:szCs w:val="24"/>
              </w:rPr>
              <w:t>2</w:t>
            </w:r>
          </w:p>
        </w:tc>
        <w:tc>
          <w:tcPr>
            <w:tcW w:w="1475" w:type="dxa"/>
            <w:vAlign w:val="center"/>
          </w:tcPr>
          <w:p w:rsidR="00041575" w:rsidRDefault="00BC5B6B">
            <w:pPr>
              <w:jc w:val="center"/>
            </w:pPr>
            <w:r>
              <w:rPr>
                <w:color w:val="000000"/>
                <w:sz w:val="24"/>
                <w:szCs w:val="24"/>
              </w:rPr>
              <w:t>190211</w:t>
            </w:r>
          </w:p>
        </w:tc>
        <w:tc>
          <w:tcPr>
            <w:tcW w:w="1769" w:type="dxa"/>
            <w:vAlign w:val="center"/>
          </w:tcPr>
          <w:p w:rsidR="00041575" w:rsidRDefault="00BC5B6B">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041575" w:rsidRDefault="00BC5B6B">
            <w:pPr>
              <w:jc w:val="right"/>
            </w:pPr>
            <w:r>
              <w:rPr>
                <w:color w:val="000000"/>
                <w:sz w:val="24"/>
                <w:szCs w:val="24"/>
              </w:rPr>
              <w:t>1,200,000</w:t>
            </w:r>
          </w:p>
        </w:tc>
        <w:tc>
          <w:tcPr>
            <w:tcW w:w="2150" w:type="dxa"/>
            <w:vAlign w:val="center"/>
          </w:tcPr>
          <w:p w:rsidR="00041575" w:rsidRDefault="00BC5B6B">
            <w:pPr>
              <w:jc w:val="right"/>
            </w:pPr>
            <w:r>
              <w:rPr>
                <w:color w:val="000000"/>
                <w:sz w:val="24"/>
                <w:szCs w:val="24"/>
              </w:rPr>
              <w:t>120,636,000.00</w:t>
            </w:r>
          </w:p>
        </w:tc>
        <w:tc>
          <w:tcPr>
            <w:tcW w:w="1237" w:type="dxa"/>
            <w:vAlign w:val="center"/>
          </w:tcPr>
          <w:p w:rsidR="00041575" w:rsidRDefault="00BC5B6B">
            <w:pPr>
              <w:jc w:val="right"/>
            </w:pPr>
            <w:r>
              <w:rPr>
                <w:color w:val="000000"/>
                <w:sz w:val="24"/>
                <w:szCs w:val="24"/>
              </w:rPr>
              <w:t>1.70</w:t>
            </w:r>
          </w:p>
        </w:tc>
      </w:tr>
      <w:tr w:rsidR="00041575">
        <w:trPr>
          <w:jc w:val="center"/>
        </w:trPr>
        <w:tc>
          <w:tcPr>
            <w:tcW w:w="850" w:type="dxa"/>
            <w:vAlign w:val="center"/>
          </w:tcPr>
          <w:p w:rsidR="00041575" w:rsidRDefault="00BC5B6B">
            <w:pPr>
              <w:jc w:val="center"/>
            </w:pPr>
            <w:r>
              <w:rPr>
                <w:color w:val="000000"/>
                <w:sz w:val="24"/>
                <w:szCs w:val="24"/>
              </w:rPr>
              <w:t>3</w:t>
            </w:r>
          </w:p>
        </w:tc>
        <w:tc>
          <w:tcPr>
            <w:tcW w:w="1475" w:type="dxa"/>
            <w:vAlign w:val="center"/>
          </w:tcPr>
          <w:p w:rsidR="00041575" w:rsidRDefault="00BC5B6B">
            <w:pPr>
              <w:jc w:val="center"/>
            </w:pPr>
            <w:r>
              <w:rPr>
                <w:color w:val="000000"/>
                <w:sz w:val="24"/>
                <w:szCs w:val="24"/>
              </w:rPr>
              <w:t>190307</w:t>
            </w:r>
          </w:p>
        </w:tc>
        <w:tc>
          <w:tcPr>
            <w:tcW w:w="1769" w:type="dxa"/>
            <w:vAlign w:val="center"/>
          </w:tcPr>
          <w:p w:rsidR="00041575" w:rsidRDefault="00BC5B6B">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041575" w:rsidRDefault="00BC5B6B">
            <w:pPr>
              <w:jc w:val="right"/>
            </w:pPr>
            <w:r>
              <w:rPr>
                <w:color w:val="000000"/>
                <w:sz w:val="24"/>
                <w:szCs w:val="24"/>
              </w:rPr>
              <w:t>900,000</w:t>
            </w:r>
          </w:p>
        </w:tc>
        <w:tc>
          <w:tcPr>
            <w:tcW w:w="2150" w:type="dxa"/>
            <w:vAlign w:val="center"/>
          </w:tcPr>
          <w:p w:rsidR="00041575" w:rsidRDefault="00BC5B6B">
            <w:pPr>
              <w:jc w:val="right"/>
            </w:pPr>
            <w:r>
              <w:rPr>
                <w:color w:val="000000"/>
                <w:sz w:val="24"/>
                <w:szCs w:val="24"/>
              </w:rPr>
              <w:t>90,504,000.00</w:t>
            </w:r>
          </w:p>
        </w:tc>
        <w:tc>
          <w:tcPr>
            <w:tcW w:w="1237" w:type="dxa"/>
            <w:vAlign w:val="center"/>
          </w:tcPr>
          <w:p w:rsidR="00041575" w:rsidRDefault="00BC5B6B">
            <w:pPr>
              <w:jc w:val="right"/>
            </w:pPr>
            <w:r>
              <w:rPr>
                <w:color w:val="000000"/>
                <w:sz w:val="24"/>
                <w:szCs w:val="24"/>
              </w:rPr>
              <w:t>1.27</w:t>
            </w:r>
          </w:p>
        </w:tc>
      </w:tr>
      <w:tr w:rsidR="00041575">
        <w:trPr>
          <w:jc w:val="center"/>
        </w:trPr>
        <w:tc>
          <w:tcPr>
            <w:tcW w:w="850" w:type="dxa"/>
            <w:vAlign w:val="center"/>
          </w:tcPr>
          <w:p w:rsidR="00041575" w:rsidRDefault="00BC5B6B">
            <w:pPr>
              <w:jc w:val="center"/>
            </w:pPr>
            <w:r>
              <w:rPr>
                <w:color w:val="000000"/>
                <w:sz w:val="24"/>
                <w:szCs w:val="24"/>
              </w:rPr>
              <w:t>4</w:t>
            </w:r>
          </w:p>
        </w:tc>
        <w:tc>
          <w:tcPr>
            <w:tcW w:w="1475" w:type="dxa"/>
            <w:vAlign w:val="center"/>
          </w:tcPr>
          <w:p w:rsidR="00041575" w:rsidRDefault="00BC5B6B">
            <w:pPr>
              <w:jc w:val="center"/>
            </w:pPr>
            <w:r>
              <w:rPr>
                <w:color w:val="000000"/>
                <w:sz w:val="24"/>
                <w:szCs w:val="24"/>
              </w:rPr>
              <w:t>200304</w:t>
            </w:r>
          </w:p>
        </w:tc>
        <w:tc>
          <w:tcPr>
            <w:tcW w:w="1769" w:type="dxa"/>
            <w:vAlign w:val="center"/>
          </w:tcPr>
          <w:p w:rsidR="00041575" w:rsidRDefault="00BC5B6B">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041575" w:rsidRDefault="00BC5B6B">
            <w:pPr>
              <w:jc w:val="right"/>
            </w:pPr>
            <w:r>
              <w:rPr>
                <w:color w:val="000000"/>
                <w:sz w:val="24"/>
                <w:szCs w:val="24"/>
              </w:rPr>
              <w:t>300,000</w:t>
            </w:r>
          </w:p>
        </w:tc>
        <w:tc>
          <w:tcPr>
            <w:tcW w:w="2150" w:type="dxa"/>
            <w:vAlign w:val="center"/>
          </w:tcPr>
          <w:p w:rsidR="00041575" w:rsidRDefault="00BC5B6B">
            <w:pPr>
              <w:jc w:val="right"/>
            </w:pPr>
            <w:r>
              <w:rPr>
                <w:color w:val="000000"/>
                <w:sz w:val="24"/>
                <w:szCs w:val="24"/>
              </w:rPr>
              <w:t>30,042,000.00</w:t>
            </w:r>
          </w:p>
        </w:tc>
        <w:tc>
          <w:tcPr>
            <w:tcW w:w="1237" w:type="dxa"/>
            <w:vAlign w:val="center"/>
          </w:tcPr>
          <w:p w:rsidR="00041575" w:rsidRDefault="00BC5B6B">
            <w:pPr>
              <w:jc w:val="right"/>
            </w:pPr>
            <w:r>
              <w:rPr>
                <w:color w:val="000000"/>
                <w:sz w:val="24"/>
                <w:szCs w:val="24"/>
              </w:rPr>
              <w:t>0.42</w:t>
            </w:r>
          </w:p>
        </w:tc>
      </w:tr>
      <w:tr w:rsidR="00041575">
        <w:trPr>
          <w:jc w:val="center"/>
        </w:trPr>
        <w:tc>
          <w:tcPr>
            <w:tcW w:w="850" w:type="dxa"/>
            <w:vAlign w:val="center"/>
          </w:tcPr>
          <w:p w:rsidR="00041575" w:rsidRDefault="00BC5B6B">
            <w:pPr>
              <w:jc w:val="center"/>
            </w:pPr>
            <w:r>
              <w:rPr>
                <w:color w:val="000000"/>
                <w:sz w:val="24"/>
                <w:szCs w:val="24"/>
              </w:rPr>
              <w:t>5</w:t>
            </w:r>
          </w:p>
        </w:tc>
        <w:tc>
          <w:tcPr>
            <w:tcW w:w="1475" w:type="dxa"/>
            <w:vAlign w:val="center"/>
          </w:tcPr>
          <w:p w:rsidR="00041575" w:rsidRDefault="00BC5B6B">
            <w:pPr>
              <w:jc w:val="center"/>
            </w:pPr>
            <w:r>
              <w:rPr>
                <w:color w:val="000000"/>
                <w:sz w:val="24"/>
                <w:szCs w:val="24"/>
              </w:rPr>
              <w:t>128102</w:t>
            </w:r>
          </w:p>
        </w:tc>
        <w:tc>
          <w:tcPr>
            <w:tcW w:w="1769" w:type="dxa"/>
            <w:vAlign w:val="center"/>
          </w:tcPr>
          <w:p w:rsidR="00041575" w:rsidRDefault="00BC5B6B">
            <w:pPr>
              <w:jc w:val="center"/>
            </w:pPr>
            <w:r>
              <w:rPr>
                <w:color w:val="000000"/>
                <w:sz w:val="24"/>
                <w:szCs w:val="24"/>
              </w:rPr>
              <w:t>海大转债</w:t>
            </w:r>
          </w:p>
        </w:tc>
        <w:tc>
          <w:tcPr>
            <w:tcW w:w="1387" w:type="dxa"/>
            <w:vAlign w:val="center"/>
          </w:tcPr>
          <w:p w:rsidR="00041575" w:rsidRDefault="00BC5B6B">
            <w:pPr>
              <w:jc w:val="right"/>
            </w:pPr>
            <w:r>
              <w:rPr>
                <w:color w:val="000000"/>
                <w:sz w:val="24"/>
                <w:szCs w:val="24"/>
              </w:rPr>
              <w:t>112,300</w:t>
            </w:r>
          </w:p>
        </w:tc>
        <w:tc>
          <w:tcPr>
            <w:tcW w:w="2150" w:type="dxa"/>
            <w:vAlign w:val="center"/>
          </w:tcPr>
          <w:p w:rsidR="00041575" w:rsidRDefault="00BC5B6B">
            <w:pPr>
              <w:jc w:val="right"/>
            </w:pPr>
            <w:r>
              <w:rPr>
                <w:color w:val="000000"/>
                <w:sz w:val="24"/>
                <w:szCs w:val="24"/>
              </w:rPr>
              <w:t>11,230,000.00</w:t>
            </w:r>
          </w:p>
        </w:tc>
        <w:tc>
          <w:tcPr>
            <w:tcW w:w="1237" w:type="dxa"/>
            <w:vAlign w:val="center"/>
          </w:tcPr>
          <w:p w:rsidR="00041575" w:rsidRDefault="00BC5B6B">
            <w:pPr>
              <w:jc w:val="right"/>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EE1DD9" w:rsidRPr="00414345" w:rsidRDefault="00EE1DD9" w:rsidP="00C15CAC">
      <w:pPr>
        <w:autoSpaceDE w:val="0"/>
        <w:autoSpaceDN w:val="0"/>
        <w:adjustRightInd w:val="0"/>
        <w:spacing w:before="29" w:line="288" w:lineRule="auto"/>
        <w:jc w:val="left"/>
        <w:rPr>
          <w:rFonts w:hint="eastAsia"/>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2,285,178.25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64,285,993.78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6,143,941.41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27,819,037.30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100,534,150.74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EE1DD9" w:rsidRPr="00414345" w:rsidRDefault="00EE1DD9"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41575">
        <w:trPr>
          <w:jc w:val="center"/>
        </w:trPr>
        <w:tc>
          <w:tcPr>
            <w:tcW w:w="1129" w:type="dxa"/>
            <w:vAlign w:val="center"/>
          </w:tcPr>
          <w:p w:rsidR="00041575" w:rsidRDefault="00BC5B6B">
            <w:pPr>
              <w:jc w:val="center"/>
            </w:pPr>
            <w:r>
              <w:rPr>
                <w:color w:val="000000"/>
                <w:sz w:val="24"/>
                <w:szCs w:val="24"/>
              </w:rPr>
              <w:t>1</w:t>
            </w:r>
          </w:p>
        </w:tc>
        <w:tc>
          <w:tcPr>
            <w:tcW w:w="1356" w:type="dxa"/>
            <w:vAlign w:val="center"/>
          </w:tcPr>
          <w:p w:rsidR="00041575" w:rsidRDefault="00BC5B6B">
            <w:pPr>
              <w:jc w:val="center"/>
            </w:pPr>
            <w:r>
              <w:rPr>
                <w:color w:val="000000"/>
                <w:sz w:val="24"/>
                <w:szCs w:val="24"/>
              </w:rPr>
              <w:t>002230</w:t>
            </w:r>
          </w:p>
        </w:tc>
        <w:tc>
          <w:tcPr>
            <w:tcW w:w="1355" w:type="dxa"/>
            <w:vAlign w:val="center"/>
          </w:tcPr>
          <w:p w:rsidR="00041575" w:rsidRDefault="00BC5B6B">
            <w:pPr>
              <w:jc w:val="center"/>
            </w:pPr>
            <w:r>
              <w:rPr>
                <w:color w:val="000000"/>
                <w:sz w:val="24"/>
                <w:szCs w:val="24"/>
              </w:rPr>
              <w:t>科大讯飞</w:t>
            </w:r>
          </w:p>
        </w:tc>
        <w:tc>
          <w:tcPr>
            <w:tcW w:w="1880" w:type="dxa"/>
            <w:vAlign w:val="center"/>
          </w:tcPr>
          <w:p w:rsidR="00041575" w:rsidRDefault="00BC5B6B">
            <w:pPr>
              <w:jc w:val="right"/>
            </w:pPr>
            <w:r>
              <w:rPr>
                <w:color w:val="000000"/>
                <w:sz w:val="24"/>
                <w:szCs w:val="24"/>
              </w:rPr>
              <w:t>89,831,254.00</w:t>
            </w:r>
          </w:p>
        </w:tc>
        <w:tc>
          <w:tcPr>
            <w:tcW w:w="1724" w:type="dxa"/>
            <w:vAlign w:val="center"/>
          </w:tcPr>
          <w:p w:rsidR="00041575" w:rsidRDefault="00BC5B6B">
            <w:pPr>
              <w:jc w:val="right"/>
            </w:pPr>
            <w:r>
              <w:rPr>
                <w:color w:val="000000"/>
                <w:sz w:val="24"/>
                <w:szCs w:val="24"/>
              </w:rPr>
              <w:t>1.27</w:t>
            </w:r>
          </w:p>
        </w:tc>
        <w:tc>
          <w:tcPr>
            <w:tcW w:w="1424" w:type="dxa"/>
            <w:vAlign w:val="center"/>
          </w:tcPr>
          <w:p w:rsidR="00041575" w:rsidRDefault="00BC5B6B">
            <w:pPr>
              <w:jc w:val="right"/>
            </w:pPr>
            <w:r>
              <w:rPr>
                <w:color w:val="000000"/>
                <w:sz w:val="24"/>
                <w:szCs w:val="24"/>
              </w:rPr>
              <w:t>限售股</w:t>
            </w:r>
          </w:p>
        </w:tc>
      </w:tr>
      <w:tr w:rsidR="00041575">
        <w:trPr>
          <w:jc w:val="center"/>
        </w:trPr>
        <w:tc>
          <w:tcPr>
            <w:tcW w:w="1129" w:type="dxa"/>
            <w:vAlign w:val="center"/>
          </w:tcPr>
          <w:p w:rsidR="00041575" w:rsidRDefault="00BC5B6B">
            <w:pPr>
              <w:jc w:val="center"/>
            </w:pPr>
            <w:r>
              <w:rPr>
                <w:color w:val="000000"/>
                <w:sz w:val="24"/>
                <w:szCs w:val="24"/>
              </w:rPr>
              <w:t>2</w:t>
            </w:r>
          </w:p>
        </w:tc>
        <w:tc>
          <w:tcPr>
            <w:tcW w:w="1356" w:type="dxa"/>
            <w:vAlign w:val="center"/>
          </w:tcPr>
          <w:p w:rsidR="00041575" w:rsidRDefault="00BC5B6B">
            <w:pPr>
              <w:jc w:val="center"/>
            </w:pPr>
            <w:r>
              <w:rPr>
                <w:color w:val="000000"/>
                <w:sz w:val="24"/>
                <w:szCs w:val="24"/>
              </w:rPr>
              <w:t>600529</w:t>
            </w:r>
          </w:p>
        </w:tc>
        <w:tc>
          <w:tcPr>
            <w:tcW w:w="1355" w:type="dxa"/>
            <w:vAlign w:val="center"/>
          </w:tcPr>
          <w:p w:rsidR="00041575" w:rsidRDefault="00BC5B6B">
            <w:pPr>
              <w:jc w:val="center"/>
            </w:pPr>
            <w:r>
              <w:rPr>
                <w:color w:val="000000"/>
                <w:sz w:val="24"/>
                <w:szCs w:val="24"/>
              </w:rPr>
              <w:t>山东药玻</w:t>
            </w:r>
          </w:p>
        </w:tc>
        <w:tc>
          <w:tcPr>
            <w:tcW w:w="1880" w:type="dxa"/>
            <w:vAlign w:val="center"/>
          </w:tcPr>
          <w:p w:rsidR="00041575" w:rsidRDefault="00BC5B6B">
            <w:pPr>
              <w:jc w:val="right"/>
            </w:pPr>
            <w:r>
              <w:rPr>
                <w:color w:val="000000"/>
                <w:sz w:val="24"/>
                <w:szCs w:val="24"/>
              </w:rPr>
              <w:t>53,312,000.00</w:t>
            </w:r>
          </w:p>
        </w:tc>
        <w:tc>
          <w:tcPr>
            <w:tcW w:w="1724" w:type="dxa"/>
            <w:vAlign w:val="center"/>
          </w:tcPr>
          <w:p w:rsidR="00041575" w:rsidRDefault="00BC5B6B">
            <w:pPr>
              <w:jc w:val="right"/>
            </w:pPr>
            <w:r>
              <w:rPr>
                <w:color w:val="000000"/>
                <w:sz w:val="24"/>
                <w:szCs w:val="24"/>
              </w:rPr>
              <w:t>0.75</w:t>
            </w:r>
          </w:p>
        </w:tc>
        <w:tc>
          <w:tcPr>
            <w:tcW w:w="1424" w:type="dxa"/>
            <w:vAlign w:val="center"/>
          </w:tcPr>
          <w:p w:rsidR="00041575" w:rsidRDefault="00BC5B6B">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2,512,440,995.91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891,707,009.31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783,862,855.26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2,620,285,149.96</w:t>
            </w:r>
          </w:p>
        </w:tc>
      </w:tr>
    </w:tbl>
    <w:p w:rsidR="00041575" w:rsidRDefault="00BC5B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E1DD9">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41575" w:rsidRDefault="00BC5B6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041575" w:rsidRDefault="00BC5B6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041575" w:rsidRDefault="00BC5B6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041575" w:rsidRDefault="00BC5B6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041575" w:rsidRDefault="00BC5B6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41575" w:rsidRDefault="00BC5B6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6B" w:rsidRDefault="00BC5B6B" w:rsidP="00876D65">
      <w:r>
        <w:separator/>
      </w:r>
    </w:p>
  </w:endnote>
  <w:endnote w:type="continuationSeparator" w:id="0">
    <w:p w:rsidR="00BC5B6B" w:rsidRDefault="00BC5B6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E1DD9">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EE1DD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6B" w:rsidRDefault="00BC5B6B" w:rsidP="00876D65">
      <w:r>
        <w:separator/>
      </w:r>
    </w:p>
  </w:footnote>
  <w:footnote w:type="continuationSeparator" w:id="0">
    <w:p w:rsidR="00BC5B6B" w:rsidRDefault="00BC5B6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1575"/>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5B6B"/>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1DD9"/>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13AA-8C72-4869-931A-3E321C8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12</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2020-04-16T05:20:00Z</dcterms:modified>
</cp:coreProperties>
</file>