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交银施罗德安心收益债券型证券投资基金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中国民生银行股份有限公司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基金托管人中国民生银行股份有限公司根据本基金合同规定，于2020年4月21日复核了本报告中的财务指标、净值表现和投资组合报告等内容，保证复核内容不存在虚假记载、误导性陈述或者重大遗漏。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交银安心收益债券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2018年6月2日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128,034,909.35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中债综合全价指数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-126,920.18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-115,218.38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-0.0009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135,119,156.26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1.055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0.00%</w:t>
            </w:r>
          </w:p>
        </w:tc>
        <w:tc>
          <w:tcPr>
            <w:vAlign w:val="center"/>
          </w:tcPr>
          <w:p>
            <w:pPr>
              <w:jc w:val="center"/>
            </w:pPr>
            <w:r>
              <w:rPr>
                <w:color w:val="000000"/>
                <w:sz w:val="24"/>
                <w:szCs w:val="24"/>
              </w:rPr>
              <w:t>0.23%</w:t>
            </w:r>
          </w:p>
        </w:tc>
        <w:tc>
          <w:tcPr>
            <w:vAlign w:val="center"/>
          </w:tcPr>
          <w:p>
            <w:pPr>
              <w:jc w:val="center"/>
            </w:pPr>
            <w:r>
              <w:rPr>
                <w:color w:val="000000"/>
                <w:sz w:val="24"/>
                <w:szCs w:val="24"/>
              </w:rPr>
              <w:t>1.85%</w:t>
            </w:r>
          </w:p>
        </w:tc>
        <w:tc>
          <w:tcPr>
            <w:vAlign w:val="center"/>
          </w:tcPr>
          <w:p>
            <w:pPr>
              <w:jc w:val="center"/>
            </w:pPr>
            <w:r>
              <w:rPr>
                <w:color w:val="000000"/>
                <w:sz w:val="24"/>
                <w:szCs w:val="24"/>
              </w:rPr>
              <w:t>0.10%</w:t>
            </w:r>
          </w:p>
        </w:tc>
        <w:tc>
          <w:tcPr>
            <w:vAlign w:val="center"/>
          </w:tcPr>
          <w:p>
            <w:pPr>
              <w:jc w:val="center"/>
            </w:pPr>
            <w:r>
              <w:rPr>
                <w:color w:val="000000"/>
                <w:sz w:val="24"/>
                <w:szCs w:val="24"/>
              </w:rPr>
              <w:t>-1.85%</w:t>
            </w:r>
          </w:p>
        </w:tc>
        <w:tc>
          <w:tcPr>
            <w:vAlign w:val="center"/>
          </w:tcPr>
          <w:p>
            <w:pPr>
              <w:jc w:val="center"/>
            </w:pPr>
            <w:r>
              <w:rPr>
                <w:color w:val="000000"/>
                <w:sz w:val="24"/>
                <w:szCs w:val="24"/>
              </w:rPr>
              <w:t>0.13%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交银施罗德安心收益债券型证券投资基金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2018年6月2日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和保本混合型证券投资基金转型而来。本基金转型日为2018年6月2日。本基金的投资转型期为交银施罗德荣和保本混合型证券投资基金保本周期到期期间截止日的次日（即2018年6月2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王艺伟</w:t>
            </w:r>
          </w:p>
        </w:tc>
        <w:tc>
          <w:tcPr>
            <w:vAlign w:val="center"/>
          </w:tcPr>
          <w:p>
            <w:pPr>
              <w:jc w:val="center"/>
            </w:pPr>
            <w:r>
              <w:rPr>
                <w:color w:val="000000"/>
                <w:sz w:val="24"/>
                <w:szCs w:val="24"/>
              </w:rPr>
              <w:t>交银安心收益债券、交银荣鑫灵活配置混合的基金经理</w:t>
            </w:r>
          </w:p>
        </w:tc>
        <w:tc>
          <w:tcPr>
            <w:vAlign w:val="center"/>
          </w:tcPr>
          <w:p>
            <w:pPr>
              <w:jc w:val="center"/>
            </w:pPr>
            <w:r>
              <w:rPr>
                <w:color w:val="000000"/>
                <w:sz w:val="24"/>
                <w:szCs w:val="24"/>
              </w:rPr>
              <w:t>2019-11-28</w:t>
            </w:r>
          </w:p>
        </w:tc>
        <w:tc>
          <w:tcPr>
            <w:vAlign w:val="center"/>
          </w:tcPr>
          <w:p>
            <w:pPr>
              <w:jc w:val="center"/>
            </w:pPr>
            <w:r>
              <w:rPr>
                <w:color w:val="000000"/>
                <w:sz w:val="24"/>
                <w:szCs w:val="24"/>
              </w:rPr>
              <w:t>-</w:t>
            </w:r>
          </w:p>
        </w:tc>
        <w:tc>
          <w:tcPr>
            <w:vAlign w:val="center"/>
          </w:tcPr>
          <w:p>
            <w:pPr>
              <w:jc w:val="center"/>
            </w:pPr>
            <w:r>
              <w:rPr>
                <w:color w:val="000000"/>
                <w:sz w:val="24"/>
                <w:szCs w:val="24"/>
              </w:rPr>
              <w:t>8年</w:t>
            </w:r>
          </w:p>
        </w:tc>
        <w:tc>
          <w:tcPr>
            <w:vAlign w:val="center"/>
          </w:tcPr>
          <w:p>
            <w:pPr>
              <w:jc w:val="both"/>
            </w:pPr>
            <w:r>
              <w:rPr>
                <w:color w:val="000000"/>
                <w:sz w:val="24"/>
                <w:szCs w:val="24"/>
              </w:rPr>
              <w:t>王艺伟女士，北京大学经济学硕士，吉林大学经济学学士、理学学士。2012年-2014年任光大证券研究所宏观分析师。2014年9月加入交银施罗德基金管理有限公司，历任研究员、研究部助理总经理、基金经理助理。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疫情对经济基本面的冲击以及对政策带来的挑战亦影响到大类资产价格的走势，债券收益率受经济下行压力及货币政策宽松影响而持续走低。一月初，经济企稳预期较强，不过央行通过降准、公开市场操作等方式为市场注入流动性，以熨平春节前后资金价格波动，令债市收益率相对稳定；一月下旬起，肺炎疫情扩散引发的避险情绪令债券收益率持续下行；步入三月，海外疫情加速扩散以及联储的宽松使得避险情绪进一步升温，尤其在流动性风险得到控制后，国内债券收益率经历短暂回调后继续下行，三月底，十年期国开债新券收益率下行突破3%。</w:t>
      </w:r>
    </w:p>
    <w:p>
      <w:pPr>
        <w:spacing w:before="29" w:line="288" w:lineRule="auto"/>
        <w:ind w:firstLine="480" w:firstLineChars="200"/>
        <w:rPr>
          <w:color w:val="000000"/>
          <w:sz w:val="24"/>
          <w:szCs w:val="24"/>
        </w:rPr>
      </w:pPr>
      <w:r>
        <w:rPr>
          <w:color w:val="000000"/>
          <w:sz w:val="24"/>
          <w:szCs w:val="24"/>
        </w:rPr>
        <w:t>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从行业看，防疫相关的医药产业、线上零售、休闲零食以及农业等产业领涨，餐饮旅游、交通运输以及地产产业链等板块表现相对弱势。</w:t>
      </w:r>
    </w:p>
    <w:p>
      <w:pPr>
        <w:spacing w:before="29" w:line="288" w:lineRule="auto"/>
        <w:ind w:firstLine="480" w:firstLineChars="200"/>
        <w:rPr>
          <w:color w:val="000000"/>
          <w:sz w:val="24"/>
          <w:szCs w:val="24"/>
        </w:rPr>
      </w:pPr>
      <w:r>
        <w:rPr>
          <w:color w:val="000000"/>
          <w:sz w:val="24"/>
          <w:szCs w:val="24"/>
        </w:rPr>
        <w:t>我们认为，在海外疫情没有看到确定性的改善信号前，经济下行的担忧始终存在，因此看好债券，权益市场则以结构性行情为主，相对看好低估值受益于逆周期调控政策相关行业的机会。在基金操作中，债券部分我们维持中短久期利率债主仓位配置，同时增配了长端利率，以获取资本利得及票息收入。权益方面，针对疫情的扩散情况，本基金第一时间调整持仓结构，并逐步降低仓位，以控制回撤。组合继续积极参与转债和权益一级申购，以增厚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二季度，我们认为疫情对于全球经济的冲击将逐步体现，全球政策大概率维持相对宽松。国内方面，我们将继续期待逆周期调控政策以稳定企业信心和就业。因此，我们相对看好债券的配置价值，组合底仓将以中短久期利率和高等级为主，并将择机适当增配长端利率品种。权益方面，考虑到全球疫情的不确定性以及经济基本面下行对企业盈利的冲击，没有看到相对确定的改善信号前，本基金将控制仓位，布局方向主要为低估值逆周期调控品种，以及细分赛道中业绩能够看到持续改善的龙头品种。</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4,007,713.65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4,007,713.65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123,693,403.90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91.29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123,693,403.90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91.29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4,800,000.00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3.54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780,958.95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0.58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2,210,024.86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135,492,101.36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646,884.00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72,795.00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901,697.00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151,810.00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1,092,051.00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1,142,476.65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4,007,713.65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44,541</w:t>
            </w:r>
          </w:p>
        </w:tc>
        <w:tc>
          <w:tcPr>
            <w:vAlign w:val="center"/>
          </w:tcPr>
          <w:p>
            <w:pPr>
              <w:jc w:val="right"/>
            </w:pPr>
            <w:r>
              <w:rPr>
                <w:color w:val="000000"/>
                <w:sz w:val="24"/>
                <w:szCs w:val="24"/>
              </w:rPr>
              <w:t>1,142,476.65</w:t>
            </w:r>
          </w:p>
        </w:tc>
        <w:tc>
          <w:tcPr>
            <w:vAlign w:val="center"/>
          </w:tcPr>
          <w:p>
            <w:pPr>
              <w:jc w:val="right"/>
            </w:pPr>
            <w:r>
              <w:rPr>
                <w:color w:val="000000"/>
                <w:sz w:val="24"/>
                <w:szCs w:val="24"/>
              </w:rPr>
              <w:t>0.85</w:t>
            </w:r>
          </w:p>
        </w:tc>
      </w:tr>
      <w:tr>
        <w:tc>
          <w:tcPr>
            <w:vAlign w:val="center"/>
          </w:tcPr>
          <w:p>
            <w:pPr>
              <w:jc w:val="center"/>
            </w:pPr>
            <w:r>
              <w:rPr>
                <w:color w:val="000000"/>
                <w:sz w:val="24"/>
                <w:szCs w:val="24"/>
              </w:rPr>
              <w:t>2</w:t>
            </w:r>
          </w:p>
        </w:tc>
        <w:tc>
          <w:tcPr>
            <w:vAlign w:val="center"/>
          </w:tcPr>
          <w:p>
            <w:pPr>
              <w:jc w:val="center"/>
            </w:pPr>
            <w:r>
              <w:rPr>
                <w:color w:val="000000"/>
                <w:sz w:val="24"/>
                <w:szCs w:val="24"/>
              </w:rPr>
              <w:t>601668</w:t>
            </w:r>
          </w:p>
        </w:tc>
        <w:tc>
          <w:tcPr>
            <w:vAlign w:val="center"/>
          </w:tcPr>
          <w:p>
            <w:pPr>
              <w:jc w:val="center"/>
            </w:pPr>
            <w:r>
              <w:rPr>
                <w:color w:val="000000"/>
                <w:sz w:val="24"/>
                <w:szCs w:val="24"/>
              </w:rPr>
              <w:t>中国建筑</w:t>
            </w:r>
          </w:p>
        </w:tc>
        <w:tc>
          <w:tcPr>
            <w:vAlign w:val="center"/>
          </w:tcPr>
          <w:p>
            <w:pPr>
              <w:jc w:val="right"/>
            </w:pPr>
            <w:r>
              <w:rPr>
                <w:color w:val="000000"/>
                <w:sz w:val="24"/>
                <w:szCs w:val="24"/>
              </w:rPr>
              <w:t>171,100</w:t>
            </w:r>
          </w:p>
        </w:tc>
        <w:tc>
          <w:tcPr>
            <w:vAlign w:val="center"/>
          </w:tcPr>
          <w:p>
            <w:pPr>
              <w:jc w:val="right"/>
            </w:pPr>
            <w:r>
              <w:rPr>
                <w:color w:val="000000"/>
                <w:sz w:val="24"/>
                <w:szCs w:val="24"/>
              </w:rPr>
              <w:t>901,697.00</w:t>
            </w:r>
          </w:p>
        </w:tc>
        <w:tc>
          <w:tcPr>
            <w:vAlign w:val="center"/>
          </w:tcPr>
          <w:p>
            <w:pPr>
              <w:jc w:val="right"/>
            </w:pPr>
            <w:r>
              <w:rPr>
                <w:color w:val="000000"/>
                <w:sz w:val="24"/>
                <w:szCs w:val="24"/>
              </w:rPr>
              <w:t>0.67</w:t>
            </w:r>
          </w:p>
        </w:tc>
      </w:tr>
      <w:tr>
        <w:tc>
          <w:tcPr>
            <w:vAlign w:val="center"/>
          </w:tcPr>
          <w:p>
            <w:pPr>
              <w:jc w:val="center"/>
            </w:pPr>
            <w:r>
              <w:rPr>
                <w:color w:val="000000"/>
                <w:sz w:val="24"/>
                <w:szCs w:val="24"/>
              </w:rPr>
              <w:t>3</w:t>
            </w:r>
          </w:p>
        </w:tc>
        <w:tc>
          <w:tcPr>
            <w:vAlign w:val="center"/>
          </w:tcPr>
          <w:p>
            <w:pPr>
              <w:jc w:val="center"/>
            </w:pPr>
            <w:r>
              <w:rPr>
                <w:color w:val="000000"/>
                <w:sz w:val="24"/>
                <w:szCs w:val="24"/>
              </w:rPr>
              <w:t>002120</w:t>
            </w:r>
          </w:p>
        </w:tc>
        <w:tc>
          <w:tcPr>
            <w:vAlign w:val="center"/>
          </w:tcPr>
          <w:p>
            <w:pPr>
              <w:jc w:val="center"/>
            </w:pPr>
            <w:r>
              <w:rPr>
                <w:color w:val="000000"/>
                <w:sz w:val="24"/>
                <w:szCs w:val="24"/>
              </w:rPr>
              <w:t>韵达股份</w:t>
            </w:r>
          </w:p>
        </w:tc>
        <w:tc>
          <w:tcPr>
            <w:vAlign w:val="center"/>
          </w:tcPr>
          <w:p>
            <w:pPr>
              <w:jc w:val="right"/>
            </w:pPr>
            <w:r>
              <w:rPr>
                <w:color w:val="000000"/>
                <w:sz w:val="24"/>
                <w:szCs w:val="24"/>
              </w:rPr>
              <w:t>21,300</w:t>
            </w:r>
          </w:p>
        </w:tc>
        <w:tc>
          <w:tcPr>
            <w:vAlign w:val="center"/>
          </w:tcPr>
          <w:p>
            <w:pPr>
              <w:jc w:val="right"/>
            </w:pPr>
            <w:r>
              <w:rPr>
                <w:color w:val="000000"/>
                <w:sz w:val="24"/>
                <w:szCs w:val="24"/>
              </w:rPr>
              <w:t>656,253.00</w:t>
            </w:r>
          </w:p>
        </w:tc>
        <w:tc>
          <w:tcPr>
            <w:vAlign w:val="center"/>
          </w:tcPr>
          <w:p>
            <w:pPr>
              <w:jc w:val="right"/>
            </w:pPr>
            <w:r>
              <w:rPr>
                <w:color w:val="000000"/>
                <w:sz w:val="24"/>
                <w:szCs w:val="24"/>
              </w:rPr>
              <w:t>0.49</w:t>
            </w:r>
          </w:p>
        </w:tc>
      </w:tr>
      <w:tr>
        <w:tc>
          <w:tcPr>
            <w:vAlign w:val="center"/>
          </w:tcPr>
          <w:p>
            <w:pPr>
              <w:jc w:val="center"/>
            </w:pPr>
            <w:r>
              <w:rPr>
                <w:color w:val="000000"/>
                <w:sz w:val="24"/>
                <w:szCs w:val="24"/>
              </w:rPr>
              <w:t>4</w:t>
            </w:r>
          </w:p>
        </w:tc>
        <w:tc>
          <w:tcPr>
            <w:vAlign w:val="center"/>
          </w:tcPr>
          <w:p>
            <w:pPr>
              <w:jc w:val="center"/>
            </w:pPr>
            <w:r>
              <w:rPr>
                <w:color w:val="000000"/>
                <w:sz w:val="24"/>
                <w:szCs w:val="24"/>
              </w:rPr>
              <w:t>000998</w:t>
            </w:r>
          </w:p>
        </w:tc>
        <w:tc>
          <w:tcPr>
            <w:vAlign w:val="center"/>
          </w:tcPr>
          <w:p>
            <w:pPr>
              <w:jc w:val="center"/>
            </w:pPr>
            <w:r>
              <w:rPr>
                <w:color w:val="000000"/>
                <w:sz w:val="24"/>
                <w:szCs w:val="24"/>
              </w:rPr>
              <w:t>隆平高科</w:t>
            </w:r>
          </w:p>
        </w:tc>
        <w:tc>
          <w:tcPr>
            <w:vAlign w:val="center"/>
          </w:tcPr>
          <w:p>
            <w:pPr>
              <w:jc w:val="right"/>
            </w:pPr>
            <w:r>
              <w:rPr>
                <w:color w:val="000000"/>
                <w:sz w:val="24"/>
                <w:szCs w:val="24"/>
              </w:rPr>
              <w:t>35,700</w:t>
            </w:r>
          </w:p>
        </w:tc>
        <w:tc>
          <w:tcPr>
            <w:vAlign w:val="center"/>
          </w:tcPr>
          <w:p>
            <w:pPr>
              <w:jc w:val="right"/>
            </w:pPr>
            <w:r>
              <w:rPr>
                <w:color w:val="000000"/>
                <w:sz w:val="24"/>
                <w:szCs w:val="24"/>
              </w:rPr>
              <w:t>646,884.00</w:t>
            </w:r>
          </w:p>
        </w:tc>
        <w:tc>
          <w:tcPr>
            <w:vAlign w:val="center"/>
          </w:tcPr>
          <w:p>
            <w:pPr>
              <w:jc w:val="right"/>
            </w:pPr>
            <w:r>
              <w:rPr>
                <w:color w:val="000000"/>
                <w:sz w:val="24"/>
                <w:szCs w:val="24"/>
              </w:rPr>
              <w:t>0.48</w:t>
            </w:r>
          </w:p>
        </w:tc>
      </w:tr>
      <w:tr>
        <w:tc>
          <w:tcPr>
            <w:vAlign w:val="center"/>
          </w:tcPr>
          <w:p>
            <w:pPr>
              <w:jc w:val="center"/>
            </w:pPr>
            <w:r>
              <w:rPr>
                <w:color w:val="000000"/>
                <w:sz w:val="24"/>
                <w:szCs w:val="24"/>
              </w:rPr>
              <w:t>5</w:t>
            </w:r>
          </w:p>
        </w:tc>
        <w:tc>
          <w:tcPr>
            <w:vAlign w:val="center"/>
          </w:tcPr>
          <w:p>
            <w:pPr>
              <w:jc w:val="center"/>
            </w:pPr>
            <w:r>
              <w:rPr>
                <w:color w:val="000000"/>
                <w:sz w:val="24"/>
                <w:szCs w:val="24"/>
              </w:rPr>
              <w:t>601872</w:t>
            </w:r>
          </w:p>
        </w:tc>
        <w:tc>
          <w:tcPr>
            <w:vAlign w:val="center"/>
          </w:tcPr>
          <w:p>
            <w:pPr>
              <w:jc w:val="center"/>
            </w:pPr>
            <w:r>
              <w:rPr>
                <w:color w:val="000000"/>
                <w:sz w:val="24"/>
                <w:szCs w:val="24"/>
              </w:rPr>
              <w:t>招商轮船</w:t>
            </w:r>
          </w:p>
        </w:tc>
        <w:tc>
          <w:tcPr>
            <w:vAlign w:val="center"/>
          </w:tcPr>
          <w:p>
            <w:pPr>
              <w:jc w:val="right"/>
            </w:pPr>
            <w:r>
              <w:rPr>
                <w:color w:val="000000"/>
                <w:sz w:val="24"/>
                <w:szCs w:val="24"/>
              </w:rPr>
              <w:t>68,200</w:t>
            </w:r>
          </w:p>
        </w:tc>
        <w:tc>
          <w:tcPr>
            <w:vAlign w:val="center"/>
          </w:tcPr>
          <w:p>
            <w:pPr>
              <w:jc w:val="right"/>
            </w:pPr>
            <w:r>
              <w:rPr>
                <w:color w:val="000000"/>
                <w:sz w:val="24"/>
                <w:szCs w:val="24"/>
              </w:rPr>
              <w:t>435,798.00</w:t>
            </w:r>
          </w:p>
        </w:tc>
        <w:tc>
          <w:tcPr>
            <w:vAlign w:val="center"/>
          </w:tcPr>
          <w:p>
            <w:pPr>
              <w:jc w:val="right"/>
            </w:pPr>
            <w:r>
              <w:rPr>
                <w:color w:val="000000"/>
                <w:sz w:val="24"/>
                <w:szCs w:val="24"/>
              </w:rPr>
              <w:t>0.32</w:t>
            </w:r>
          </w:p>
        </w:tc>
      </w:tr>
      <w:tr>
        <w:tc>
          <w:tcPr>
            <w:vAlign w:val="center"/>
          </w:tcPr>
          <w:p>
            <w:pPr>
              <w:jc w:val="center"/>
            </w:pPr>
            <w:r>
              <w:rPr>
                <w:color w:val="000000"/>
                <w:sz w:val="24"/>
                <w:szCs w:val="24"/>
              </w:rPr>
              <w:t>6</w:t>
            </w:r>
          </w:p>
        </w:tc>
        <w:tc>
          <w:tcPr>
            <w:vAlign w:val="center"/>
          </w:tcPr>
          <w:p>
            <w:pPr>
              <w:jc w:val="center"/>
            </w:pPr>
            <w:r>
              <w:rPr>
                <w:color w:val="000000"/>
                <w:sz w:val="24"/>
                <w:szCs w:val="24"/>
              </w:rPr>
              <w:t>603708</w:t>
            </w:r>
          </w:p>
        </w:tc>
        <w:tc>
          <w:tcPr>
            <w:vAlign w:val="center"/>
          </w:tcPr>
          <w:p>
            <w:pPr>
              <w:jc w:val="center"/>
            </w:pPr>
            <w:r>
              <w:rPr>
                <w:color w:val="000000"/>
                <w:sz w:val="24"/>
                <w:szCs w:val="24"/>
              </w:rPr>
              <w:t>家家悦</w:t>
            </w:r>
          </w:p>
        </w:tc>
        <w:tc>
          <w:tcPr>
            <w:vAlign w:val="center"/>
          </w:tcPr>
          <w:p>
            <w:pPr>
              <w:jc w:val="right"/>
            </w:pPr>
            <w:r>
              <w:rPr>
                <w:color w:val="000000"/>
                <w:sz w:val="24"/>
                <w:szCs w:val="24"/>
              </w:rPr>
              <w:t>4,700</w:t>
            </w:r>
          </w:p>
        </w:tc>
        <w:tc>
          <w:tcPr>
            <w:vAlign w:val="center"/>
          </w:tcPr>
          <w:p>
            <w:pPr>
              <w:jc w:val="right"/>
            </w:pPr>
            <w:r>
              <w:rPr>
                <w:color w:val="000000"/>
                <w:sz w:val="24"/>
                <w:szCs w:val="24"/>
              </w:rPr>
              <w:t>151,810.00</w:t>
            </w:r>
          </w:p>
        </w:tc>
        <w:tc>
          <w:tcPr>
            <w:vAlign w:val="center"/>
          </w:tcPr>
          <w:p>
            <w:pPr>
              <w:jc w:val="right"/>
            </w:pPr>
            <w:r>
              <w:rPr>
                <w:color w:val="000000"/>
                <w:sz w:val="24"/>
                <w:szCs w:val="24"/>
              </w:rPr>
              <w:t>0.11</w:t>
            </w:r>
          </w:p>
        </w:tc>
      </w:tr>
      <w:tr>
        <w:tc>
          <w:tcPr>
            <w:vAlign w:val="center"/>
          </w:tcPr>
          <w:p>
            <w:pPr>
              <w:jc w:val="center"/>
            </w:pPr>
            <w:r>
              <w:rPr>
                <w:color w:val="000000"/>
                <w:sz w:val="24"/>
                <w:szCs w:val="24"/>
              </w:rPr>
              <w:t>7</w:t>
            </w:r>
          </w:p>
        </w:tc>
        <w:tc>
          <w:tcPr>
            <w:vAlign w:val="center"/>
          </w:tcPr>
          <w:p>
            <w:pPr>
              <w:jc w:val="center"/>
            </w:pPr>
            <w:r>
              <w:rPr>
                <w:color w:val="000000"/>
                <w:sz w:val="24"/>
                <w:szCs w:val="24"/>
              </w:rPr>
              <w:t>601238</w:t>
            </w:r>
          </w:p>
        </w:tc>
        <w:tc>
          <w:tcPr>
            <w:vAlign w:val="center"/>
          </w:tcPr>
          <w:p>
            <w:pPr>
              <w:jc w:val="center"/>
            </w:pPr>
            <w:r>
              <w:rPr>
                <w:color w:val="000000"/>
                <w:sz w:val="24"/>
                <w:szCs w:val="24"/>
              </w:rPr>
              <w:t>广汽集团</w:t>
            </w:r>
          </w:p>
        </w:tc>
        <w:tc>
          <w:tcPr>
            <w:vAlign w:val="center"/>
          </w:tcPr>
          <w:p>
            <w:pPr>
              <w:jc w:val="right"/>
            </w:pPr>
            <w:r>
              <w:rPr>
                <w:color w:val="000000"/>
                <w:sz w:val="24"/>
                <w:szCs w:val="24"/>
              </w:rPr>
              <w:t>6,900</w:t>
            </w:r>
          </w:p>
        </w:tc>
        <w:tc>
          <w:tcPr>
            <w:vAlign w:val="center"/>
          </w:tcPr>
          <w:p>
            <w:pPr>
              <w:jc w:val="right"/>
            </w:pPr>
            <w:r>
              <w:rPr>
                <w:color w:val="000000"/>
                <w:sz w:val="24"/>
                <w:szCs w:val="24"/>
              </w:rPr>
              <w:t>72,795.00</w:t>
            </w:r>
          </w:p>
        </w:tc>
        <w:tc>
          <w:tcPr>
            <w:vAlign w:val="center"/>
          </w:tcPr>
          <w:p>
            <w:pPr>
              <w:jc w:val="right"/>
            </w:pPr>
            <w:r>
              <w:rPr>
                <w:color w:val="000000"/>
                <w:sz w:val="24"/>
                <w:szCs w:val="24"/>
              </w:rPr>
              <w:t>0.05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14,502,144.80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10.73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105,384,303.10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77.99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105,384,303.10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77.99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3,806,956.00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2.82</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123,693,403.90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91.54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180203</w:t>
            </w:r>
          </w:p>
        </w:tc>
        <w:tc>
          <w:tcPr>
            <w:vAlign w:val="center"/>
          </w:tcPr>
          <w:p>
            <w:pPr>
              <w:jc w:val="center"/>
            </w:pPr>
            <w:r>
              <w:rPr>
                <w:color w:val="000000"/>
                <w:sz w:val="24"/>
                <w:szCs w:val="24"/>
              </w:rPr>
              <w:t>18国开03</w:t>
            </w:r>
          </w:p>
        </w:tc>
        <w:tc>
          <w:tcPr>
            <w:vAlign w:val="center"/>
          </w:tcPr>
          <w:p>
            <w:pPr>
              <w:jc w:val="right"/>
            </w:pPr>
            <w:r>
              <w:rPr>
                <w:color w:val="000000"/>
                <w:sz w:val="24"/>
                <w:szCs w:val="24"/>
              </w:rPr>
              <w:t>300,000</w:t>
            </w:r>
          </w:p>
        </w:tc>
        <w:tc>
          <w:tcPr>
            <w:vAlign w:val="center"/>
          </w:tcPr>
          <w:p>
            <w:pPr>
              <w:jc w:val="right"/>
            </w:pPr>
            <w:r>
              <w:rPr>
                <w:color w:val="000000"/>
                <w:sz w:val="24"/>
                <w:szCs w:val="24"/>
              </w:rPr>
              <w:t>30,774,000.00</w:t>
            </w:r>
          </w:p>
        </w:tc>
        <w:tc>
          <w:tcPr>
            <w:vAlign w:val="center"/>
          </w:tcPr>
          <w:p>
            <w:pPr>
              <w:jc w:val="right"/>
            </w:pPr>
            <w:r>
              <w:rPr>
                <w:color w:val="000000"/>
                <w:sz w:val="24"/>
                <w:szCs w:val="24"/>
              </w:rPr>
              <w:t>22.78</w:t>
            </w:r>
          </w:p>
        </w:tc>
      </w:tr>
      <w:tr>
        <w:tc>
          <w:tcPr>
            <w:vAlign w:val="center"/>
          </w:tcPr>
          <w:p>
            <w:pPr>
              <w:jc w:val="center"/>
            </w:pPr>
            <w:r>
              <w:rPr>
                <w:color w:val="000000"/>
                <w:sz w:val="24"/>
                <w:szCs w:val="24"/>
              </w:rPr>
              <w:t>2</w:t>
            </w:r>
          </w:p>
        </w:tc>
        <w:tc>
          <w:tcPr>
            <w:vAlign w:val="center"/>
          </w:tcPr>
          <w:p>
            <w:pPr>
              <w:jc w:val="center"/>
            </w:pPr>
            <w:r>
              <w:rPr>
                <w:color w:val="000000"/>
                <w:sz w:val="24"/>
                <w:szCs w:val="24"/>
              </w:rPr>
              <w:t>180208</w:t>
            </w:r>
          </w:p>
        </w:tc>
        <w:tc>
          <w:tcPr>
            <w:vAlign w:val="center"/>
          </w:tcPr>
          <w:p>
            <w:pPr>
              <w:jc w:val="center"/>
            </w:pPr>
            <w:r>
              <w:rPr>
                <w:color w:val="000000"/>
                <w:sz w:val="24"/>
                <w:szCs w:val="24"/>
              </w:rPr>
              <w:t>18国开08</w:t>
            </w:r>
          </w:p>
        </w:tc>
        <w:tc>
          <w:tcPr>
            <w:vAlign w:val="center"/>
          </w:tcPr>
          <w:p>
            <w:pPr>
              <w:jc w:val="right"/>
            </w:pPr>
            <w:r>
              <w:rPr>
                <w:color w:val="000000"/>
                <w:sz w:val="24"/>
                <w:szCs w:val="24"/>
              </w:rPr>
              <w:t>300,000</w:t>
            </w:r>
          </w:p>
        </w:tc>
        <w:tc>
          <w:tcPr>
            <w:vAlign w:val="center"/>
          </w:tcPr>
          <w:p>
            <w:pPr>
              <w:jc w:val="right"/>
            </w:pPr>
            <w:r>
              <w:rPr>
                <w:color w:val="000000"/>
                <w:sz w:val="24"/>
                <w:szCs w:val="24"/>
              </w:rPr>
              <w:t>30,684,000.00</w:t>
            </w:r>
          </w:p>
        </w:tc>
        <w:tc>
          <w:tcPr>
            <w:vAlign w:val="center"/>
          </w:tcPr>
          <w:p>
            <w:pPr>
              <w:jc w:val="right"/>
            </w:pPr>
            <w:r>
              <w:rPr>
                <w:color w:val="000000"/>
                <w:sz w:val="24"/>
                <w:szCs w:val="24"/>
              </w:rPr>
              <w:t>22.71</w:t>
            </w:r>
          </w:p>
        </w:tc>
      </w:tr>
      <w:tr>
        <w:tc>
          <w:tcPr>
            <w:vAlign w:val="center"/>
          </w:tcPr>
          <w:p>
            <w:pPr>
              <w:jc w:val="center"/>
            </w:pPr>
            <w:r>
              <w:rPr>
                <w:color w:val="000000"/>
                <w:sz w:val="24"/>
                <w:szCs w:val="24"/>
              </w:rPr>
              <w:t>3</w:t>
            </w:r>
          </w:p>
        </w:tc>
        <w:tc>
          <w:tcPr>
            <w:vAlign w:val="center"/>
          </w:tcPr>
          <w:p>
            <w:pPr>
              <w:jc w:val="center"/>
            </w:pPr>
            <w:r>
              <w:rPr>
                <w:color w:val="000000"/>
                <w:sz w:val="24"/>
                <w:szCs w:val="24"/>
              </w:rPr>
              <w:t>190202</w:t>
            </w:r>
          </w:p>
        </w:tc>
        <w:tc>
          <w:tcPr>
            <w:vAlign w:val="center"/>
          </w:tcPr>
          <w:p>
            <w:pPr>
              <w:jc w:val="center"/>
            </w:pPr>
            <w:r>
              <w:rPr>
                <w:color w:val="000000"/>
                <w:sz w:val="24"/>
                <w:szCs w:val="24"/>
              </w:rPr>
              <w:t>19国开02</w:t>
            </w:r>
          </w:p>
        </w:tc>
        <w:tc>
          <w:tcPr>
            <w:vAlign w:val="center"/>
          </w:tcPr>
          <w:p>
            <w:pPr>
              <w:jc w:val="right"/>
            </w:pPr>
            <w:r>
              <w:rPr>
                <w:color w:val="000000"/>
                <w:sz w:val="24"/>
                <w:szCs w:val="24"/>
              </w:rPr>
              <w:t>200,000</w:t>
            </w:r>
          </w:p>
        </w:tc>
        <w:tc>
          <w:tcPr>
            <w:vAlign w:val="center"/>
          </w:tcPr>
          <w:p>
            <w:pPr>
              <w:jc w:val="right"/>
            </w:pPr>
            <w:r>
              <w:rPr>
                <w:color w:val="000000"/>
                <w:sz w:val="24"/>
                <w:szCs w:val="24"/>
              </w:rPr>
              <w:t>20,304,000.00</w:t>
            </w:r>
          </w:p>
        </w:tc>
        <w:tc>
          <w:tcPr>
            <w:vAlign w:val="center"/>
          </w:tcPr>
          <w:p>
            <w:pPr>
              <w:jc w:val="right"/>
            </w:pPr>
            <w:r>
              <w:rPr>
                <w:color w:val="000000"/>
                <w:sz w:val="24"/>
                <w:szCs w:val="24"/>
              </w:rPr>
              <w:t>15.03</w:t>
            </w:r>
          </w:p>
        </w:tc>
      </w:tr>
      <w:tr>
        <w:tc>
          <w:tcPr>
            <w:vAlign w:val="center"/>
          </w:tcPr>
          <w:p>
            <w:pPr>
              <w:jc w:val="center"/>
            </w:pPr>
            <w:r>
              <w:rPr>
                <w:color w:val="000000"/>
                <w:sz w:val="24"/>
                <w:szCs w:val="24"/>
              </w:rPr>
              <w:t>4</w:t>
            </w:r>
          </w:p>
        </w:tc>
        <w:tc>
          <w:tcPr>
            <w:vAlign w:val="center"/>
          </w:tcPr>
          <w:p>
            <w:pPr>
              <w:jc w:val="center"/>
            </w:pPr>
            <w:r>
              <w:rPr>
                <w:color w:val="000000"/>
                <w:sz w:val="24"/>
                <w:szCs w:val="24"/>
              </w:rPr>
              <w:t>190015</w:t>
            </w:r>
          </w:p>
        </w:tc>
        <w:tc>
          <w:tcPr>
            <w:vAlign w:val="center"/>
          </w:tcPr>
          <w:p>
            <w:pPr>
              <w:jc w:val="center"/>
            </w:pPr>
            <w:r>
              <w:rPr>
                <w:color w:val="000000"/>
                <w:sz w:val="24"/>
                <w:szCs w:val="24"/>
              </w:rPr>
              <w:t>19附息国债15</w:t>
            </w:r>
          </w:p>
        </w:tc>
        <w:tc>
          <w:tcPr>
            <w:vAlign w:val="center"/>
          </w:tcPr>
          <w:p>
            <w:pPr>
              <w:jc w:val="right"/>
            </w:pPr>
            <w:r>
              <w:rPr>
                <w:color w:val="000000"/>
                <w:sz w:val="24"/>
                <w:szCs w:val="24"/>
              </w:rPr>
              <w:t>100,000</w:t>
            </w:r>
          </w:p>
        </w:tc>
        <w:tc>
          <w:tcPr>
            <w:vAlign w:val="center"/>
          </w:tcPr>
          <w:p>
            <w:pPr>
              <w:jc w:val="right"/>
            </w:pPr>
            <w:r>
              <w:rPr>
                <w:color w:val="000000"/>
                <w:sz w:val="24"/>
                <w:szCs w:val="24"/>
              </w:rPr>
              <w:t>10,462,000.00</w:t>
            </w:r>
          </w:p>
        </w:tc>
        <w:tc>
          <w:tcPr>
            <w:vAlign w:val="center"/>
          </w:tcPr>
          <w:p>
            <w:pPr>
              <w:jc w:val="right"/>
            </w:pPr>
            <w:r>
              <w:rPr>
                <w:color w:val="000000"/>
                <w:sz w:val="24"/>
                <w:szCs w:val="24"/>
              </w:rPr>
              <w:t>7.74</w:t>
            </w:r>
          </w:p>
        </w:tc>
      </w:tr>
      <w:tr>
        <w:tc>
          <w:tcPr>
            <w:vAlign w:val="center"/>
          </w:tcPr>
          <w:p>
            <w:pPr>
              <w:jc w:val="center"/>
            </w:pPr>
            <w:r>
              <w:rPr>
                <w:color w:val="000000"/>
                <w:sz w:val="24"/>
                <w:szCs w:val="24"/>
              </w:rPr>
              <w:t>5</w:t>
            </w:r>
          </w:p>
        </w:tc>
        <w:tc>
          <w:tcPr>
            <w:vAlign w:val="center"/>
          </w:tcPr>
          <w:p>
            <w:pPr>
              <w:jc w:val="center"/>
            </w:pPr>
            <w:r>
              <w:rPr>
                <w:color w:val="000000"/>
                <w:sz w:val="24"/>
                <w:szCs w:val="24"/>
              </w:rPr>
              <w:t>108604</w:t>
            </w:r>
          </w:p>
        </w:tc>
        <w:tc>
          <w:tcPr>
            <w:vAlign w:val="center"/>
          </w:tcPr>
          <w:p>
            <w:pPr>
              <w:jc w:val="center"/>
            </w:pPr>
            <w:r>
              <w:rPr>
                <w:color w:val="000000"/>
                <w:sz w:val="24"/>
                <w:szCs w:val="24"/>
              </w:rPr>
              <w:t>国开1805</w:t>
            </w:r>
          </w:p>
        </w:tc>
        <w:tc>
          <w:tcPr>
            <w:vAlign w:val="center"/>
          </w:tcPr>
          <w:p>
            <w:pPr>
              <w:jc w:val="right"/>
            </w:pPr>
            <w:r>
              <w:rPr>
                <w:color w:val="000000"/>
                <w:sz w:val="24"/>
                <w:szCs w:val="24"/>
              </w:rPr>
              <w:t>96,730</w:t>
            </w:r>
          </w:p>
        </w:tc>
        <w:tc>
          <w:tcPr>
            <w:vAlign w:val="center"/>
          </w:tcPr>
          <w:p>
            <w:pPr>
              <w:jc w:val="right"/>
            </w:pPr>
            <w:r>
              <w:rPr>
                <w:color w:val="000000"/>
                <w:sz w:val="24"/>
                <w:szCs w:val="24"/>
              </w:rPr>
              <w:t>9,880,969.50</w:t>
            </w:r>
          </w:p>
        </w:tc>
        <w:tc>
          <w:tcPr>
            <w:vAlign w:val="center"/>
          </w:tcPr>
          <w:p>
            <w:pPr>
              <w:jc w:val="right"/>
            </w:pPr>
            <w:r>
              <w:rPr>
                <w:color w:val="000000"/>
                <w:sz w:val="24"/>
                <w:szCs w:val="24"/>
              </w:rPr>
              <w:t>7.31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37,380.97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2,172,573.96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69.93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2,210,024.86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pPr>
        <w:spacing w:before="29" w:line="288" w:lineRule="auto"/>
        <w:rPr>
          <w:color w:val="000000"/>
          <w:sz w:val="24"/>
          <w:szCs w:val="24"/>
        </w:rPr>
      </w:pPr>
      <w:r>
        <w:rPr>
          <w:color w:val="000000"/>
          <w:sz w:val="24"/>
          <w:szCs w:val="24"/>
        </w:rPr>
        <w:t>1、本基金本报告期末未持有处于交换期的可交换债券。</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2、由于四舍五入的原因，分项之和与合计项之间可能存在尾差。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85,452,645.06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47,389,423.54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4,807,159.25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128,034,909.35</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2020/1/1-2020/3/31</w:t>
            </w:r>
          </w:p>
        </w:tc>
        <w:tc>
          <w:tcPr>
            <w:vAlign w:val="center"/>
          </w:tcPr>
          <w:p>
            <w:pPr>
              <w:jc w:val="center"/>
            </w:pPr>
            <w:r>
              <w:rPr>
                <w:rFonts w:ascii="宋体" w:hAnsi="宋体"/>
                <w:color w:val="000000"/>
                <w:kern w:val="0"/>
              </w:rPr>
              <w:t>42,815,413.89</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42,815,413.89</w:t>
            </w:r>
          </w:p>
        </w:tc>
        <w:tc>
          <w:tcPr>
            <w:vAlign w:val="center"/>
          </w:tcPr>
          <w:p>
            <w:pPr>
              <w:jc w:val="center"/>
            </w:pPr>
            <w:r>
              <w:rPr>
                <w:rFonts w:ascii="宋体" w:hAnsi="宋体"/>
                <w:color w:val="000000"/>
                <w:kern w:val="0"/>
              </w:rPr>
              <w:t>33.44%</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2020/1/1-2020/3/31</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47,258,034.03</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47,258,034.03</w:t>
            </w:r>
          </w:p>
        </w:tc>
        <w:tc>
          <w:tcPr>
            <w:vAlign w:val="center"/>
          </w:tcPr>
          <w:p>
            <w:pPr>
              <w:jc w:val="center"/>
            </w:pPr>
            <w:r>
              <w:rPr>
                <w:rFonts w:ascii="宋体" w:hAnsi="宋体"/>
                <w:color w:val="000000"/>
                <w:kern w:val="0"/>
              </w:rPr>
              <w:t>36.91%</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1、中国证监会准予交银施罗德荣和保本混合型证券投资基金募集注册的文件；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2、《交银施罗德安心收益债券型证券投资基金基金合同》； </w:t>
      </w:r>
    </w:p>
    <w:p>
      <w:pPr>
        <w:spacing w:before="29" w:line="288" w:lineRule="auto"/>
        <w:ind w:firstLine="480" w:firstLineChars="200"/>
        <w:rPr>
          <w:color w:val="000000"/>
          <w:sz w:val="24"/>
          <w:szCs w:val="24"/>
        </w:rPr>
      </w:pPr>
      <w:r>
        <w:rPr>
          <w:color w:val="000000"/>
          <w:sz w:val="24"/>
          <w:szCs w:val="24"/>
        </w:rPr>
        <w:t xml:space="preserve">3、《交银施罗德安心收益债券型证券投资基金招募说明书》；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4、《交银施罗德安心收益债券型证券投资基金托管协议》； </w:t>
      </w:r>
    </w:p>
    <w:p>
      <w:pPr>
        <w:spacing w:before="29" w:line="288" w:lineRule="auto"/>
        <w:ind w:firstLine="480" w:firstLineChars="200"/>
        <w:rPr>
          <w:color w:val="000000"/>
          <w:sz w:val="24"/>
          <w:szCs w:val="24"/>
        </w:rPr>
      </w:pPr>
      <w:r>
        <w:rPr>
          <w:color w:val="000000"/>
          <w:sz w:val="24"/>
          <w:szCs w:val="24"/>
        </w:rPr>
        <w:t xml:space="preserve">5、《交银施罗德荣和保本混合型证券投资基金基金合同》； </w:t>
      </w:r>
    </w:p>
    <w:p>
      <w:pPr>
        <w:spacing w:before="29" w:line="288" w:lineRule="auto"/>
        <w:ind w:firstLine="480" w:firstLineChars="200"/>
        <w:rPr>
          <w:color w:val="000000"/>
          <w:sz w:val="24"/>
          <w:szCs w:val="24"/>
        </w:rPr>
      </w:pPr>
      <w:r>
        <w:rPr>
          <w:color w:val="000000"/>
          <w:sz w:val="24"/>
          <w:szCs w:val="24"/>
        </w:rPr>
        <w:t xml:space="preserve">6、《交银施罗德荣和保本混合型证券投资基金招募说明书》；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7、《交银施罗德荣和保本混合型证券投资基金托管协议》； </w:t>
      </w:r>
    </w:p>
    <w:p>
      <w:pPr>
        <w:spacing w:before="29" w:line="288" w:lineRule="auto"/>
        <w:ind w:firstLine="480" w:firstLineChars="200"/>
        <w:rPr>
          <w:color w:val="000000"/>
          <w:sz w:val="24"/>
          <w:szCs w:val="24"/>
        </w:rPr>
      </w:pPr>
      <w:r>
        <w:rPr>
          <w:color w:val="000000"/>
          <w:sz w:val="24"/>
          <w:szCs w:val="24"/>
        </w:rPr>
        <w:t>8、《交银施罗德荣和保本混合型证券投资基金保证合同》；</w:t>
      </w:r>
    </w:p>
    <w:p>
      <w:pPr>
        <w:spacing w:before="29" w:line="288" w:lineRule="auto"/>
        <w:ind w:firstLine="480" w:firstLineChars="200"/>
        <w:rPr>
          <w:color w:val="000000"/>
          <w:sz w:val="24"/>
          <w:szCs w:val="24"/>
        </w:rPr>
      </w:pPr>
      <w:r>
        <w:rPr>
          <w:color w:val="000000"/>
          <w:sz w:val="24"/>
          <w:szCs w:val="24"/>
        </w:rPr>
        <w:t xml:space="preserve">9、基金管理人业务资格批件、营业执照； </w:t>
      </w:r>
    </w:p>
    <w:p>
      <w:pPr>
        <w:spacing w:before="29" w:line="288" w:lineRule="auto"/>
        <w:ind w:firstLine="480" w:firstLineChars="200"/>
        <w:rPr>
          <w:color w:val="000000"/>
          <w:sz w:val="24"/>
          <w:szCs w:val="24"/>
        </w:rPr>
      </w:pPr>
      <w:r>
        <w:rPr>
          <w:color w:val="000000"/>
          <w:sz w:val="24"/>
          <w:szCs w:val="24"/>
        </w:rPr>
        <w:t xml:space="preserve">10、基金托管人业务资格批件、营业执照； </w:t>
      </w:r>
    </w:p>
    <w:p>
      <w:pPr>
        <w:spacing w:before="29" w:line="288" w:lineRule="auto"/>
        <w:ind w:firstLine="480" w:firstLineChars="200"/>
        <w:rPr>
          <w:color w:val="000000"/>
          <w:sz w:val="24"/>
          <w:szCs w:val="24"/>
        </w:rPr>
      </w:pPr>
      <w:r>
        <w:rPr>
          <w:color w:val="000000"/>
          <w:sz w:val="24"/>
          <w:szCs w:val="24"/>
        </w:rPr>
        <w:t xml:space="preserve">11、关于申请募集注册交银施罗德荣和保本混合型证券投资基金的法律意见书； </w:t>
      </w:r>
    </w:p>
    <w:p>
      <w:pPr>
        <w:spacing w:before="29" w:line="288" w:lineRule="auto"/>
        <w:ind w:firstLine="480" w:firstLineChars="200"/>
        <w:rPr>
          <w:color w:val="000000"/>
          <w:sz w:val="24"/>
          <w:szCs w:val="24"/>
        </w:rPr>
      </w:pPr>
      <w:r>
        <w:rPr>
          <w:color w:val="000000"/>
          <w:sz w:val="24"/>
          <w:szCs w:val="24"/>
        </w:rPr>
        <w:t>12、关于修改《交银施罗德荣和保本混合型证券投资基金基金合同》的法律意见书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13、报告期内交银施罗德荣和保本混合型证券投资基金、交银施罗德安心收益债券型证券投资基金在指定报刊上各项公告的原稿。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交银施罗德安心收益债券型证券投资基金2020年第1季度报告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