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331,589,908.23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封闭期内的投资策略：</w:t>
            </w:r>
          </w:p>
          <w:p>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转为开放式运作后的投资策略：</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005577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005578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330,813,244.80</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776,663.43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交银丰晟收益债券A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交银丰晟收益债券C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9,799,399.23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21,747.73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5,093,484.33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10,715.89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0.0154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0.0138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347,492,280.99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814,210.65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1.0504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1.0483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交银丰晟收益债券A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1.47%</w:t>
            </w:r>
          </w:p>
        </w:tc>
        <w:tc>
          <w:tcPr>
            <w:vAlign w:val="center"/>
          </w:tcPr>
          <w:p>
            <w:pPr>
              <w:jc w:val="center"/>
            </w:pPr>
            <w:r>
              <w:rPr>
                <w:color w:val="000000"/>
                <w:sz w:val="24"/>
              </w:rPr>
              <w:t>0.04%</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-0.38%</w:t>
            </w:r>
          </w:p>
        </w:tc>
        <w:tc>
          <w:tcPr>
            <w:vAlign w:val="center"/>
          </w:tcPr>
          <w:p>
            <w:pPr>
              <w:jc w:val="center"/>
            </w:pPr>
            <w:r>
              <w:rPr>
                <w:color w:val="000000"/>
                <w:sz w:val="24"/>
              </w:rPr>
              <w:t>-0.06%</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交银丰晟收益债券C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1.32%</w:t>
            </w:r>
          </w:p>
        </w:tc>
        <w:tc>
          <w:tcPr>
            <w:vAlign w:val="center"/>
          </w:tcPr>
          <w:p>
            <w:pPr>
              <w:jc w:val="center"/>
            </w:pPr>
            <w:r>
              <w:rPr>
                <w:color w:val="000000"/>
                <w:sz w:val="24"/>
              </w:rPr>
              <w:t>0.04%</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-0.53%</w:t>
            </w:r>
          </w:p>
        </w:tc>
        <w:tc>
          <w:tcPr>
            <w:vAlign w:val="center"/>
          </w:tcPr>
          <w:p>
            <w:pPr>
              <w:jc w:val="center"/>
            </w:pPr>
            <w:r>
              <w:rPr>
                <w:color w:val="000000"/>
                <w:sz w:val="24"/>
              </w:rPr>
              <w:t>-0.06%</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交银施罗德丰晟收益债券型证券投资基金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2018年5月23日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交银丰晟收益债券C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2018-05-23</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10bp，长端利率大幅下行，悲观情绪快速释放，此后随着国内疫情防控显效，政策也开始加强企业复工，债市转向震荡。进入二月下旬，海外疫情加速扩散，三月初美联储紧急降息50bp后引发全球宽松预期，风险资产快速受到冲击，债券利率进一步向下突破。2020年3月9日起，海外流动性危机显现，全球美元流动性紧张情况下，外资抛压对中国债市带来阶段性的调整，收益率小幅上行。2020年3月16日美联储紧急降息100bp，随后密集推出流动性工具、开启无限量QE等，市场的流动性紧张形势得到缓解，国内债市收益率在降息预期影响下重回下行通道。</w:t>
      </w:r>
    </w:p>
    <w:p>
      <w:pPr>
        <w:spacing w:before="29" w:line="288" w:lineRule="auto"/>
        <w:ind w:firstLine="480" w:firstLineChars="200"/>
        <w:rPr>
          <w:color w:val="000000"/>
          <w:sz w:val="24"/>
        </w:rPr>
      </w:pPr>
      <w:r>
        <w:rPr>
          <w:color w:val="000000"/>
          <w:sz w:val="24"/>
        </w:rPr>
        <w:t>报告期内，本基金继续采用久期匹配策略配置信用债，并根据市场情况适时优化组合持仓，随着债券收益率的下行，组合在报告期适当降低了杠杆。</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重点关注债券票息策略。操作策略方面，我们关注信用债的票息机会，进一步挖掘信用债投资机会，并维持中等的杠杆水平，以提升组合整体静态收益。操作策略方面，考虑到组合封闭期即将到期，组合将维持久期匹配的套息策略，控制组合资金成本，获得较好的票息和杠杆收益，同时考虑封闭期临近到期，组合将逐步变现资产，做好流动性管理。</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356,191,200.00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94.21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356,191,200.00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94.21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13,968,263.65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3.69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7,910,033.82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378,069,497.47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120,537,000.00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34.61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102,414,200.00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29.40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133,240,000.00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38.25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356,191,200.00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102.26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122478</w:t>
            </w:r>
          </w:p>
        </w:tc>
        <w:tc>
          <w:tcPr>
            <w:vAlign w:val="center"/>
          </w:tcPr>
          <w:p>
            <w:pPr>
              <w:jc w:val="center"/>
            </w:pPr>
            <w:r>
              <w:rPr>
                <w:color w:val="000000"/>
                <w:sz w:val="24"/>
              </w:rPr>
              <w:t>14粤运01</w:t>
            </w:r>
          </w:p>
        </w:tc>
        <w:tc>
          <w:tcPr>
            <w:vAlign w:val="center"/>
          </w:tcPr>
          <w:p>
            <w:pPr>
              <w:jc w:val="right"/>
            </w:pPr>
            <w:r>
              <w:rPr>
                <w:color w:val="000000"/>
                <w:sz w:val="24"/>
              </w:rPr>
              <w:t>300,000</w:t>
            </w:r>
          </w:p>
        </w:tc>
        <w:tc>
          <w:tcPr>
            <w:vAlign w:val="center"/>
          </w:tcPr>
          <w:p>
            <w:pPr>
              <w:jc w:val="right"/>
            </w:pPr>
            <w:r>
              <w:rPr>
                <w:color w:val="000000"/>
                <w:sz w:val="24"/>
              </w:rPr>
              <w:t>30,846,000.00</w:t>
            </w:r>
          </w:p>
        </w:tc>
        <w:tc>
          <w:tcPr>
            <w:vAlign w:val="center"/>
          </w:tcPr>
          <w:p>
            <w:pPr>
              <w:jc w:val="right"/>
            </w:pPr>
            <w:r>
              <w:rPr>
                <w:color w:val="000000"/>
                <w:sz w:val="24"/>
              </w:rPr>
              <w:t>8.86</w:t>
            </w:r>
          </w:p>
        </w:tc>
      </w:tr>
      <w:tr>
        <w:tc>
          <w:tcPr>
            <w:vAlign w:val="center"/>
          </w:tcPr>
          <w:p>
            <w:pPr>
              <w:jc w:val="center"/>
            </w:pPr>
            <w:r>
              <w:rPr>
                <w:color w:val="000000"/>
                <w:sz w:val="24"/>
              </w:rPr>
              <w:t>2</w:t>
            </w:r>
          </w:p>
        </w:tc>
        <w:tc>
          <w:tcPr>
            <w:vAlign w:val="center"/>
          </w:tcPr>
          <w:p>
            <w:pPr>
              <w:jc w:val="center"/>
            </w:pPr>
            <w:r>
              <w:rPr>
                <w:color w:val="000000"/>
                <w:sz w:val="24"/>
              </w:rPr>
              <w:t>041900205</w:t>
            </w:r>
          </w:p>
        </w:tc>
        <w:tc>
          <w:tcPr>
            <w:vAlign w:val="center"/>
          </w:tcPr>
          <w:p>
            <w:pPr>
              <w:jc w:val="center"/>
            </w:pPr>
            <w:r>
              <w:rPr>
                <w:color w:val="000000"/>
                <w:sz w:val="24"/>
              </w:rPr>
              <w:t>19太仓港CP001</w:t>
            </w:r>
          </w:p>
        </w:tc>
        <w:tc>
          <w:tcPr>
            <w:vAlign w:val="center"/>
          </w:tcPr>
          <w:p>
            <w:pPr>
              <w:jc w:val="right"/>
            </w:pPr>
            <w:r>
              <w:rPr>
                <w:color w:val="000000"/>
                <w:sz w:val="24"/>
              </w:rPr>
              <w:t>300,000</w:t>
            </w:r>
          </w:p>
        </w:tc>
        <w:tc>
          <w:tcPr>
            <w:vAlign w:val="center"/>
          </w:tcPr>
          <w:p>
            <w:pPr>
              <w:jc w:val="right"/>
            </w:pPr>
            <w:r>
              <w:rPr>
                <w:color w:val="000000"/>
                <w:sz w:val="24"/>
              </w:rPr>
              <w:t>30,234,000.00</w:t>
            </w:r>
          </w:p>
        </w:tc>
        <w:tc>
          <w:tcPr>
            <w:vAlign w:val="center"/>
          </w:tcPr>
          <w:p>
            <w:pPr>
              <w:jc w:val="right"/>
            </w:pPr>
            <w:r>
              <w:rPr>
                <w:color w:val="000000"/>
                <w:sz w:val="24"/>
              </w:rPr>
              <w:t>8.68</w:t>
            </w:r>
          </w:p>
        </w:tc>
      </w:tr>
      <w:tr>
        <w:tc>
          <w:tcPr>
            <w:vAlign w:val="center"/>
          </w:tcPr>
          <w:p>
            <w:pPr>
              <w:jc w:val="center"/>
            </w:pPr>
            <w:r>
              <w:rPr>
                <w:color w:val="000000"/>
                <w:sz w:val="24"/>
              </w:rPr>
              <w:t>3</w:t>
            </w:r>
          </w:p>
        </w:tc>
        <w:tc>
          <w:tcPr>
            <w:vAlign w:val="center"/>
          </w:tcPr>
          <w:p>
            <w:pPr>
              <w:jc w:val="center"/>
            </w:pPr>
            <w:r>
              <w:rPr>
                <w:color w:val="000000"/>
                <w:sz w:val="24"/>
              </w:rPr>
              <w:t>011901351</w:t>
            </w:r>
          </w:p>
        </w:tc>
        <w:tc>
          <w:tcPr>
            <w:vAlign w:val="center"/>
          </w:tcPr>
          <w:p>
            <w:pPr>
              <w:jc w:val="center"/>
            </w:pPr>
            <w:r>
              <w:rPr>
                <w:color w:val="000000"/>
                <w:sz w:val="24"/>
              </w:rPr>
              <w:t>19溧水城建SCP002</w:t>
            </w:r>
          </w:p>
        </w:tc>
        <w:tc>
          <w:tcPr>
            <w:vAlign w:val="center"/>
          </w:tcPr>
          <w:p>
            <w:pPr>
              <w:jc w:val="right"/>
            </w:pPr>
            <w:r>
              <w:rPr>
                <w:color w:val="000000"/>
                <w:sz w:val="24"/>
              </w:rPr>
              <w:t>270,000</w:t>
            </w:r>
          </w:p>
        </w:tc>
        <w:tc>
          <w:tcPr>
            <w:vAlign w:val="center"/>
          </w:tcPr>
          <w:p>
            <w:pPr>
              <w:jc w:val="right"/>
            </w:pPr>
            <w:r>
              <w:rPr>
                <w:color w:val="000000"/>
                <w:sz w:val="24"/>
              </w:rPr>
              <w:t>27,164,700.00</w:t>
            </w:r>
          </w:p>
        </w:tc>
        <w:tc>
          <w:tcPr>
            <w:vAlign w:val="center"/>
          </w:tcPr>
          <w:p>
            <w:pPr>
              <w:jc w:val="right"/>
            </w:pPr>
            <w:r>
              <w:rPr>
                <w:color w:val="000000"/>
                <w:sz w:val="24"/>
              </w:rPr>
              <w:t>7.80</w:t>
            </w:r>
          </w:p>
        </w:tc>
      </w:tr>
      <w:tr>
        <w:tc>
          <w:tcPr>
            <w:vAlign w:val="center"/>
          </w:tcPr>
          <w:p>
            <w:pPr>
              <w:jc w:val="center"/>
            </w:pPr>
            <w:r>
              <w:rPr>
                <w:color w:val="000000"/>
                <w:sz w:val="24"/>
              </w:rPr>
              <w:t>4</w:t>
            </w:r>
          </w:p>
        </w:tc>
        <w:tc>
          <w:tcPr>
            <w:vAlign w:val="center"/>
          </w:tcPr>
          <w:p>
            <w:pPr>
              <w:jc w:val="center"/>
            </w:pPr>
            <w:r>
              <w:rPr>
                <w:color w:val="000000"/>
                <w:sz w:val="24"/>
              </w:rPr>
              <w:t>101800692</w:t>
            </w:r>
          </w:p>
        </w:tc>
        <w:tc>
          <w:tcPr>
            <w:vAlign w:val="center"/>
          </w:tcPr>
          <w:p>
            <w:pPr>
              <w:jc w:val="center"/>
            </w:pPr>
            <w:r>
              <w:rPr>
                <w:color w:val="000000"/>
                <w:sz w:val="24"/>
              </w:rPr>
              <w:t>18拉萨城投MTN001</w:t>
            </w:r>
          </w:p>
        </w:tc>
        <w:tc>
          <w:tcPr>
            <w:vAlign w:val="center"/>
          </w:tcPr>
          <w:p>
            <w:pPr>
              <w:jc w:val="right"/>
            </w:pPr>
            <w:r>
              <w:rPr>
                <w:color w:val="000000"/>
                <w:sz w:val="24"/>
              </w:rPr>
              <w:t>200,000</w:t>
            </w:r>
          </w:p>
        </w:tc>
        <w:tc>
          <w:tcPr>
            <w:vAlign w:val="center"/>
          </w:tcPr>
          <w:p>
            <w:pPr>
              <w:jc w:val="right"/>
            </w:pPr>
            <w:r>
              <w:rPr>
                <w:color w:val="000000"/>
                <w:sz w:val="24"/>
              </w:rPr>
              <w:t>20,838,000.00</w:t>
            </w:r>
          </w:p>
        </w:tc>
        <w:tc>
          <w:tcPr>
            <w:vAlign w:val="center"/>
          </w:tcPr>
          <w:p>
            <w:pPr>
              <w:jc w:val="right"/>
            </w:pPr>
            <w:r>
              <w:rPr>
                <w:color w:val="000000"/>
                <w:sz w:val="24"/>
              </w:rPr>
              <w:t>5.98</w:t>
            </w:r>
          </w:p>
        </w:tc>
      </w:tr>
      <w:tr>
        <w:tc>
          <w:tcPr>
            <w:vAlign w:val="center"/>
          </w:tcPr>
          <w:p>
            <w:pPr>
              <w:jc w:val="center"/>
            </w:pPr>
            <w:r>
              <w:rPr>
                <w:color w:val="000000"/>
                <w:sz w:val="24"/>
              </w:rPr>
              <w:t>5</w:t>
            </w:r>
          </w:p>
        </w:tc>
        <w:tc>
          <w:tcPr>
            <w:vAlign w:val="center"/>
          </w:tcPr>
          <w:p>
            <w:pPr>
              <w:jc w:val="center"/>
            </w:pPr>
            <w:r>
              <w:rPr>
                <w:color w:val="000000"/>
                <w:sz w:val="24"/>
              </w:rPr>
              <w:t>101800533</w:t>
            </w:r>
          </w:p>
        </w:tc>
        <w:tc>
          <w:tcPr>
            <w:vAlign w:val="center"/>
          </w:tcPr>
          <w:p>
            <w:pPr>
              <w:jc w:val="center"/>
            </w:pPr>
            <w:r>
              <w:rPr>
                <w:color w:val="000000"/>
                <w:sz w:val="24"/>
              </w:rPr>
              <w:t>18洛阳城投MTN001</w:t>
            </w:r>
          </w:p>
        </w:tc>
        <w:tc>
          <w:tcPr>
            <w:vAlign w:val="center"/>
          </w:tcPr>
          <w:p>
            <w:pPr>
              <w:jc w:val="right"/>
            </w:pPr>
            <w:r>
              <w:rPr>
                <w:color w:val="000000"/>
                <w:sz w:val="24"/>
              </w:rPr>
              <w:t>200,000</w:t>
            </w:r>
          </w:p>
        </w:tc>
        <w:tc>
          <w:tcPr>
            <w:vAlign w:val="center"/>
          </w:tcPr>
          <w:p>
            <w:pPr>
              <w:jc w:val="right"/>
            </w:pPr>
            <w:r>
              <w:rPr>
                <w:color w:val="000000"/>
                <w:sz w:val="24"/>
              </w:rPr>
              <w:t>20,732,000.00</w:t>
            </w:r>
          </w:p>
        </w:tc>
        <w:tc>
          <w:tcPr>
            <w:vAlign w:val="center"/>
          </w:tcPr>
          <w:p>
            <w:pPr>
              <w:jc w:val="right"/>
            </w:pPr>
            <w:r>
              <w:rPr>
                <w:color w:val="000000"/>
                <w:sz w:val="24"/>
              </w:rPr>
              <w:t>5.95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9,722.26</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197,930.28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7,702,381.28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7,910,033.82</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交银丰晟收益债券A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交银丰晟收益债券C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776,663.43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776,663.43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1、中国证监会准予交银施罗德丰晟收益债券型证券投资基金募集注册的文件；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2、《交银施罗德丰晟收益债券型证券投资基金基金合同》；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3、《交银施罗德丰晟收益债券型证券投资基金招募说明书》；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4、《交银施罗德丰晟收益债券型证券投资基金托管协议》；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5、关于申请募集注册交银施罗德丰晟收益债券型证券投资基金的法律意见书；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8、报告期内交银施罗德丰晟收益债券型证券投资基金在指定报刊上各项公告的原稿。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交银施罗德丰晟收益债券型证券投资基金2020年第1季度报告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