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交银施罗德理财21天债券型证券投资基金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2020年第1季度报告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2020年3月31日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二〇二〇年四月二十二日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本报告期自2020年1月1日起至3月31日止。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交银理财21天债券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519716</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2012年11月5日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14,272,779,094.02</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本基金属于债券型证券投资基金，长期风险收益水平低于股票型基金、混合型基金，高于货币市场型证券投资基金。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交银理财21天债券A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交银理财21天债券B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519716</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519717</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8,176,127.99</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14,264,602,966.03</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2020年1月1日-</w:t>
            </w:r>
            <w:proofErr w:type="spellStart"/>
            <w:r w:rsidRPr="000E4C40">
              <w:rPr>
                <w:color w:val="000000"/>
                <w:sz w:val="24"/>
              </w:rPr>
              <w:t/>
            </w:r>
            <w:proofErr w:type="spellEnd"/>
            <w:r w:rsidRPr="000E4C40">
              <w:rPr>
                <w:color w:val="000000"/>
                <w:sz w:val="24"/>
              </w:rPr>
              <w:t>2020年3月31日)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交银理财21天债券A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交银理财21天债券B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52,175.99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102,096,022.13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52,175.99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102,096,022.13</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8,176,127.99</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14,264,602,966.03</w:t>
            </w:r>
          </w:p>
        </w:tc>
      </w:tr>
    </w:tbl>
    <w:p>
      <w:pPr>
        <w:autoSpaceDE w:val="0"/>
        <w:autoSpaceDN w:val="0"/>
        <w:adjustRightInd w:val="0"/>
        <w:spacing w:before="29" w:line="288" w:lineRule="auto"/>
        <w:jc w:val="left"/>
        <w:rPr>
          <w:color w:val="000000"/>
          <w:sz w:val="24"/>
        </w:rPr>
      </w:pPr>
      <w:r>
        <w:rPr>
          <w:color w:val="000000"/>
          <w:sz w:val="24"/>
        </w:rPr>
        <w:t>注：1、自2013年1月9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在计算主要财务指标时，A类基金份额与分类前基金连续计算，B类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交银理财21天债券A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0.6330%</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0.3366%</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0.2964%</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交银理财21天债券B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0.7055%</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0.3366%</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0.3689%</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注：1、本表净值收益率数据所取的基金运作周期为基金分类日为起始日的运作周期。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交银施罗德理财21天债券型证券投资基金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2012年11月5日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2020年3月31日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交银理财21天债券A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注：图示日期为2012年11月5日至2020年3月31日。本基金建仓期为自基金合同生效日起的6个月。截至建仓期结束，本基金各项资产配置比例符合基金合同及招募说明书有关投资比例的约定。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交银理财21天债券B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注：图示日期为2013年1月9日至2020年3月31日。本基金建仓期为自基金合同生效日起的6个月。截至建仓期结束，本基金各项资产配置比例符合基金合同及招募说明书有关投资比例的约定。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2015-05-27</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2020年3月31日，十年国债和十年国开债分别收于2.59%和2.95%，较2019年底分别下行55bp和63bp。</w:t>
      </w:r>
    </w:p>
    <w:p>
      <w:pPr>
        <w:spacing w:before="29" w:line="288" w:lineRule="auto"/>
        <w:ind w:firstLine="480" w:firstLineChars="200"/>
        <w:rPr>
          <w:color w:val="000000"/>
          <w:sz w:val="24"/>
        </w:rPr>
      </w:pPr>
      <w:r>
        <w:rPr>
          <w:color w:val="000000"/>
          <w:sz w:val="24"/>
        </w:rPr>
        <w:t>在货币政策宽松的格局下，货币市场工具利率大幅下行，三个月股份制银行的存款利率下行到1.7%附近。受此影响，货币市场基金的收益率也明显回落。</w:t>
      </w:r>
    </w:p>
    <w:p>
      <w:pPr>
        <w:spacing w:before="29" w:line="288" w:lineRule="auto"/>
        <w:ind w:firstLine="480" w:firstLineChars="200"/>
        <w:rPr>
          <w:color w:val="000000"/>
          <w:sz w:val="24"/>
        </w:rPr>
      </w:pPr>
      <w:r>
        <w:rPr>
          <w:color w:val="000000"/>
          <w:sz w:val="24"/>
        </w:rPr>
        <w:t>基金操作方面，我们仍旧保持短久期的操作思路，适当运用杠杆增厚组合收益，多投资于估值波动较小的银行存款与回购等。由于同业存单利率下行幅度较大，高等级信用债的性价比相对更优，组合适当增配了高等级信用债，组合整体流动性良好。</w:t>
      </w:r>
    </w:p>
    <w:p>
      <w:pPr>
        <w:spacing w:before="29" w:line="288" w:lineRule="auto"/>
        <w:ind w:firstLine="480" w:firstLineChars="200"/>
        <w:rPr>
          <w:color w:val="000000"/>
          <w:sz w:val="24"/>
        </w:rPr>
      </w:pPr>
      <w:r>
        <w:rPr>
          <w:color w:val="000000"/>
          <w:sz w:val="24"/>
        </w:rPr>
        <w:t>展望2020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8,274,398,317.23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55.80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8,094,398,317.23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54.59</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180,000,000.00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1.21</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3,835,066,152.59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25.86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2,676,714,829.66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18.05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42,680,355.72</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0.29</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14,828,859,655.20</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5.52</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540,063,329.97</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3.78</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56</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110</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53</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本基金合同约定：“本基金投资组合的平均剩余期限在每个交易日均不得超过141天”。本报告期内，本基金未发生超标情况。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44.40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3.78</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15.89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26.72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6.40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10.20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103.60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3.78</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389,478,436.84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2.73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350,312,342.80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2.45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350,312,342.80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2.45</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202,070,644.98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1.42</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2,163,849,222.67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15.16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40,157,546.08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0.28</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4,948,530,123.86</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34.67</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8,094,398,317.23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56.71</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011902758</w:t>
            </w:r>
          </w:p>
        </w:tc>
        <w:tc>
          <w:tcPr>
            <w:vAlign w:val="center"/>
          </w:tcPr>
          <w:p>
            <w:pPr>
              <w:jc w:val="center"/>
            </w:pPr>
            <w:r>
              <w:rPr>
                <w:color w:val="000000"/>
                <w:sz w:val="24"/>
              </w:rPr>
              <w:t>19邮政SCP004</w:t>
            </w:r>
          </w:p>
        </w:tc>
        <w:tc>
          <w:tcPr>
            <w:vAlign w:val="center"/>
          </w:tcPr>
          <w:p>
            <w:pPr>
              <w:jc w:val="right"/>
            </w:pPr>
            <w:r>
              <w:rPr>
                <w:color w:val="000000"/>
                <w:sz w:val="24"/>
              </w:rPr>
              <w:t>3,000,000</w:t>
            </w:r>
          </w:p>
        </w:tc>
        <w:tc>
          <w:tcPr>
            <w:vAlign w:val="center"/>
          </w:tcPr>
          <w:p>
            <w:pPr>
              <w:jc w:val="right"/>
            </w:pPr>
            <w:r>
              <w:rPr>
                <w:color w:val="000000"/>
                <w:sz w:val="24"/>
              </w:rPr>
              <w:t>299,699,796.86</w:t>
            </w:r>
          </w:p>
        </w:tc>
        <w:tc>
          <w:tcPr>
            <w:vAlign w:val="center"/>
          </w:tcPr>
          <w:p>
            <w:pPr>
              <w:jc w:val="right"/>
            </w:pPr>
            <w:r>
              <w:rPr>
                <w:color w:val="000000"/>
                <w:sz w:val="24"/>
              </w:rPr>
              <w:t>2.10</w:t>
            </w:r>
          </w:p>
        </w:tc>
      </w:tr>
      <w:tr>
        <w:tc>
          <w:tcPr>
            <w:vAlign w:val="center"/>
          </w:tcPr>
          <w:p>
            <w:pPr>
              <w:jc w:val="center"/>
            </w:pPr>
            <w:r>
              <w:rPr>
                <w:color w:val="000000"/>
                <w:sz w:val="24"/>
              </w:rPr>
              <w:t>2</w:t>
            </w:r>
          </w:p>
        </w:tc>
        <w:tc>
          <w:tcPr>
            <w:vAlign w:val="center"/>
          </w:tcPr>
          <w:p>
            <w:pPr>
              <w:jc w:val="center"/>
            </w:pPr>
            <w:r>
              <w:rPr>
                <w:color w:val="000000"/>
                <w:sz w:val="24"/>
              </w:rPr>
              <w:t>170205</w:t>
            </w:r>
          </w:p>
        </w:tc>
        <w:tc>
          <w:tcPr>
            <w:vAlign w:val="center"/>
          </w:tcPr>
          <w:p>
            <w:pPr>
              <w:jc w:val="center"/>
            </w:pPr>
            <w:r>
              <w:rPr>
                <w:color w:val="000000"/>
                <w:sz w:val="24"/>
              </w:rPr>
              <w:t>17国开05</w:t>
            </w:r>
          </w:p>
        </w:tc>
        <w:tc>
          <w:tcPr>
            <w:vAlign w:val="center"/>
          </w:tcPr>
          <w:p>
            <w:pPr>
              <w:jc w:val="right"/>
            </w:pPr>
            <w:r>
              <w:rPr>
                <w:color w:val="000000"/>
                <w:sz w:val="24"/>
              </w:rPr>
              <w:t>2,700,000</w:t>
            </w:r>
          </w:p>
        </w:tc>
        <w:tc>
          <w:tcPr>
            <w:vAlign w:val="center"/>
          </w:tcPr>
          <w:p>
            <w:pPr>
              <w:jc w:val="right"/>
            </w:pPr>
            <w:r>
              <w:rPr>
                <w:color w:val="000000"/>
                <w:sz w:val="24"/>
              </w:rPr>
              <w:t>270,215,023.23</w:t>
            </w:r>
          </w:p>
        </w:tc>
        <w:tc>
          <w:tcPr>
            <w:vAlign w:val="center"/>
          </w:tcPr>
          <w:p>
            <w:pPr>
              <w:jc w:val="right"/>
            </w:pPr>
            <w:r>
              <w:rPr>
                <w:color w:val="000000"/>
                <w:sz w:val="24"/>
              </w:rPr>
              <w:t>1.89</w:t>
            </w:r>
          </w:p>
        </w:tc>
      </w:tr>
      <w:tr>
        <w:tc>
          <w:tcPr>
            <w:vAlign w:val="center"/>
          </w:tcPr>
          <w:p>
            <w:pPr>
              <w:jc w:val="center"/>
            </w:pPr>
            <w:r>
              <w:rPr>
                <w:color w:val="000000"/>
                <w:sz w:val="24"/>
              </w:rPr>
              <w:t>3</w:t>
            </w:r>
          </w:p>
        </w:tc>
        <w:tc>
          <w:tcPr>
            <w:vAlign w:val="center"/>
          </w:tcPr>
          <w:p>
            <w:pPr>
              <w:jc w:val="center"/>
            </w:pPr>
            <w:r>
              <w:rPr>
                <w:color w:val="000000"/>
                <w:sz w:val="24"/>
              </w:rPr>
              <w:t>011902485</w:t>
            </w:r>
          </w:p>
        </w:tc>
        <w:tc>
          <w:tcPr>
            <w:vAlign w:val="center"/>
          </w:tcPr>
          <w:p>
            <w:pPr>
              <w:jc w:val="center"/>
            </w:pPr>
            <w:r>
              <w:rPr>
                <w:color w:val="000000"/>
                <w:sz w:val="24"/>
              </w:rPr>
              <w:t>19京基投SCP002</w:t>
            </w:r>
          </w:p>
        </w:tc>
        <w:tc>
          <w:tcPr>
            <w:vAlign w:val="center"/>
          </w:tcPr>
          <w:p>
            <w:pPr>
              <w:jc w:val="right"/>
            </w:pPr>
            <w:r>
              <w:rPr>
                <w:color w:val="000000"/>
                <w:sz w:val="24"/>
              </w:rPr>
              <w:t>2,700,000</w:t>
            </w:r>
          </w:p>
        </w:tc>
        <w:tc>
          <w:tcPr>
            <w:vAlign w:val="center"/>
          </w:tcPr>
          <w:p>
            <w:pPr>
              <w:jc w:val="right"/>
            </w:pPr>
            <w:r>
              <w:rPr>
                <w:color w:val="000000"/>
                <w:sz w:val="24"/>
              </w:rPr>
              <w:t>269,887,983.47</w:t>
            </w:r>
          </w:p>
        </w:tc>
        <w:tc>
          <w:tcPr>
            <w:vAlign w:val="center"/>
          </w:tcPr>
          <w:p>
            <w:pPr>
              <w:jc w:val="right"/>
            </w:pPr>
            <w:r>
              <w:rPr>
                <w:color w:val="000000"/>
                <w:sz w:val="24"/>
              </w:rPr>
              <w:t>1.89</w:t>
            </w:r>
          </w:p>
        </w:tc>
      </w:tr>
      <w:tr>
        <w:tc>
          <w:tcPr>
            <w:vAlign w:val="center"/>
          </w:tcPr>
          <w:p>
            <w:pPr>
              <w:jc w:val="center"/>
            </w:pPr>
            <w:r>
              <w:rPr>
                <w:color w:val="000000"/>
                <w:sz w:val="24"/>
              </w:rPr>
              <w:t>4</w:t>
            </w:r>
          </w:p>
        </w:tc>
        <w:tc>
          <w:tcPr>
            <w:vAlign w:val="center"/>
          </w:tcPr>
          <w:p>
            <w:pPr>
              <w:jc w:val="center"/>
            </w:pPr>
            <w:r>
              <w:rPr>
                <w:color w:val="000000"/>
                <w:sz w:val="24"/>
              </w:rPr>
              <w:t>111909143</w:t>
            </w:r>
          </w:p>
        </w:tc>
        <w:tc>
          <w:tcPr>
            <w:vAlign w:val="center"/>
          </w:tcPr>
          <w:p>
            <w:pPr>
              <w:jc w:val="center"/>
            </w:pPr>
            <w:r>
              <w:rPr>
                <w:color w:val="000000"/>
                <w:sz w:val="24"/>
              </w:rPr>
              <w:t>19浦发银行CD143</w:t>
            </w:r>
          </w:p>
        </w:tc>
        <w:tc>
          <w:tcPr>
            <w:vAlign w:val="center"/>
          </w:tcPr>
          <w:p>
            <w:pPr>
              <w:jc w:val="right"/>
            </w:pPr>
            <w:r>
              <w:rPr>
                <w:color w:val="000000"/>
                <w:sz w:val="24"/>
              </w:rPr>
              <w:t>2,500,000</w:t>
            </w:r>
          </w:p>
        </w:tc>
        <w:tc>
          <w:tcPr>
            <w:vAlign w:val="center"/>
          </w:tcPr>
          <w:p>
            <w:pPr>
              <w:jc w:val="right"/>
            </w:pPr>
            <w:r>
              <w:rPr>
                <w:color w:val="000000"/>
                <w:sz w:val="24"/>
              </w:rPr>
              <w:t>249,075,229.85</w:t>
            </w:r>
          </w:p>
        </w:tc>
        <w:tc>
          <w:tcPr>
            <w:vAlign w:val="center"/>
          </w:tcPr>
          <w:p>
            <w:pPr>
              <w:jc w:val="right"/>
            </w:pPr>
            <w:r>
              <w:rPr>
                <w:color w:val="000000"/>
                <w:sz w:val="24"/>
              </w:rPr>
              <w:t>1.75</w:t>
            </w:r>
          </w:p>
        </w:tc>
      </w:tr>
      <w:tr>
        <w:tc>
          <w:tcPr>
            <w:vAlign w:val="center"/>
          </w:tcPr>
          <w:p>
            <w:pPr>
              <w:jc w:val="center"/>
            </w:pPr>
            <w:r>
              <w:rPr>
                <w:color w:val="000000"/>
                <w:sz w:val="24"/>
              </w:rPr>
              <w:t>5</w:t>
            </w:r>
          </w:p>
        </w:tc>
        <w:tc>
          <w:tcPr>
            <w:vAlign w:val="center"/>
          </w:tcPr>
          <w:p>
            <w:pPr>
              <w:jc w:val="center"/>
            </w:pPr>
            <w:r>
              <w:rPr>
                <w:color w:val="000000"/>
                <w:sz w:val="24"/>
              </w:rPr>
              <w:t>111915231</w:t>
            </w:r>
          </w:p>
        </w:tc>
        <w:tc>
          <w:tcPr>
            <w:vAlign w:val="center"/>
          </w:tcPr>
          <w:p>
            <w:pPr>
              <w:jc w:val="center"/>
            </w:pPr>
            <w:r>
              <w:rPr>
                <w:color w:val="000000"/>
                <w:sz w:val="24"/>
              </w:rPr>
              <w:t>19民生银行CD231</w:t>
            </w:r>
          </w:p>
        </w:tc>
        <w:tc>
          <w:tcPr>
            <w:vAlign w:val="center"/>
          </w:tcPr>
          <w:p>
            <w:pPr>
              <w:jc w:val="right"/>
            </w:pPr>
            <w:r>
              <w:rPr>
                <w:color w:val="000000"/>
                <w:sz w:val="24"/>
              </w:rPr>
              <w:t>2,500,000</w:t>
            </w:r>
          </w:p>
        </w:tc>
        <w:tc>
          <w:tcPr>
            <w:vAlign w:val="center"/>
          </w:tcPr>
          <w:p>
            <w:pPr>
              <w:jc w:val="right"/>
            </w:pPr>
            <w:r>
              <w:rPr>
                <w:color w:val="000000"/>
                <w:sz w:val="24"/>
              </w:rPr>
              <w:t>248,338,770.94</w:t>
            </w:r>
          </w:p>
        </w:tc>
        <w:tc>
          <w:tcPr>
            <w:vAlign w:val="center"/>
          </w:tcPr>
          <w:p>
            <w:pPr>
              <w:jc w:val="right"/>
            </w:pPr>
            <w:r>
              <w:rPr>
                <w:color w:val="000000"/>
                <w:sz w:val="24"/>
              </w:rPr>
              <w:t>1.74</w:t>
            </w:r>
          </w:p>
        </w:tc>
      </w:tr>
      <w:tr>
        <w:tc>
          <w:tcPr>
            <w:vAlign w:val="center"/>
          </w:tcPr>
          <w:p>
            <w:pPr>
              <w:jc w:val="center"/>
            </w:pPr>
            <w:r>
              <w:rPr>
                <w:color w:val="000000"/>
                <w:sz w:val="24"/>
              </w:rPr>
              <w:t>6</w:t>
            </w:r>
          </w:p>
        </w:tc>
        <w:tc>
          <w:tcPr>
            <w:vAlign w:val="center"/>
          </w:tcPr>
          <w:p>
            <w:pPr>
              <w:jc w:val="center"/>
            </w:pPr>
            <w:r>
              <w:rPr>
                <w:color w:val="000000"/>
                <w:sz w:val="24"/>
              </w:rPr>
              <w:t>111908128</w:t>
            </w:r>
          </w:p>
        </w:tc>
        <w:tc>
          <w:tcPr>
            <w:vAlign w:val="center"/>
          </w:tcPr>
          <w:p>
            <w:pPr>
              <w:jc w:val="center"/>
            </w:pPr>
            <w:r>
              <w:rPr>
                <w:color w:val="000000"/>
                <w:sz w:val="24"/>
              </w:rPr>
              <w:t>19中信银行CD128</w:t>
            </w:r>
          </w:p>
        </w:tc>
        <w:tc>
          <w:tcPr>
            <w:vAlign w:val="center"/>
          </w:tcPr>
          <w:p>
            <w:pPr>
              <w:jc w:val="right"/>
            </w:pPr>
            <w:r>
              <w:rPr>
                <w:color w:val="000000"/>
                <w:sz w:val="24"/>
              </w:rPr>
              <w:t>2,500,000</w:t>
            </w:r>
          </w:p>
        </w:tc>
        <w:tc>
          <w:tcPr>
            <w:vAlign w:val="center"/>
          </w:tcPr>
          <w:p>
            <w:pPr>
              <w:jc w:val="right"/>
            </w:pPr>
            <w:r>
              <w:rPr>
                <w:color w:val="000000"/>
                <w:sz w:val="24"/>
              </w:rPr>
              <w:t>248,237,873.35</w:t>
            </w:r>
          </w:p>
        </w:tc>
        <w:tc>
          <w:tcPr>
            <w:vAlign w:val="center"/>
          </w:tcPr>
          <w:p>
            <w:pPr>
              <w:jc w:val="right"/>
            </w:pPr>
            <w:r>
              <w:rPr>
                <w:color w:val="000000"/>
                <w:sz w:val="24"/>
              </w:rPr>
              <w:t>1.74</w:t>
            </w:r>
          </w:p>
        </w:tc>
      </w:tr>
      <w:tr>
        <w:tc>
          <w:tcPr>
            <w:vAlign w:val="center"/>
          </w:tcPr>
          <w:p>
            <w:pPr>
              <w:jc w:val="center"/>
            </w:pPr>
            <w:r>
              <w:rPr>
                <w:color w:val="000000"/>
                <w:sz w:val="24"/>
              </w:rPr>
              <w:t>7</w:t>
            </w:r>
          </w:p>
        </w:tc>
        <w:tc>
          <w:tcPr>
            <w:vAlign w:val="center"/>
          </w:tcPr>
          <w:p>
            <w:pPr>
              <w:jc w:val="center"/>
            </w:pPr>
            <w:r>
              <w:rPr>
                <w:color w:val="000000"/>
                <w:sz w:val="24"/>
              </w:rPr>
              <w:t>111909199</w:t>
            </w:r>
          </w:p>
        </w:tc>
        <w:tc>
          <w:tcPr>
            <w:vAlign w:val="center"/>
          </w:tcPr>
          <w:p>
            <w:pPr>
              <w:jc w:val="center"/>
            </w:pPr>
            <w:r>
              <w:rPr>
                <w:color w:val="000000"/>
                <w:sz w:val="24"/>
              </w:rPr>
              <w:t>19浦发银行CD199</w:t>
            </w:r>
          </w:p>
        </w:tc>
        <w:tc>
          <w:tcPr>
            <w:vAlign w:val="center"/>
          </w:tcPr>
          <w:p>
            <w:pPr>
              <w:jc w:val="right"/>
            </w:pPr>
            <w:r>
              <w:rPr>
                <w:color w:val="000000"/>
                <w:sz w:val="24"/>
              </w:rPr>
              <w:t>2,500,000</w:t>
            </w:r>
          </w:p>
        </w:tc>
        <w:tc>
          <w:tcPr>
            <w:vAlign w:val="center"/>
          </w:tcPr>
          <w:p>
            <w:pPr>
              <w:jc w:val="right"/>
            </w:pPr>
            <w:r>
              <w:rPr>
                <w:color w:val="000000"/>
                <w:sz w:val="24"/>
              </w:rPr>
              <w:t>248,237,873.35</w:t>
            </w:r>
          </w:p>
        </w:tc>
        <w:tc>
          <w:tcPr>
            <w:vAlign w:val="center"/>
          </w:tcPr>
          <w:p>
            <w:pPr>
              <w:jc w:val="right"/>
            </w:pPr>
            <w:r>
              <w:rPr>
                <w:color w:val="000000"/>
                <w:sz w:val="24"/>
              </w:rPr>
              <w:t>1.74</w:t>
            </w:r>
          </w:p>
        </w:tc>
      </w:tr>
      <w:tr>
        <w:tc>
          <w:tcPr>
            <w:vAlign w:val="center"/>
          </w:tcPr>
          <w:p>
            <w:pPr>
              <w:jc w:val="center"/>
            </w:pPr>
            <w:r>
              <w:rPr>
                <w:color w:val="000000"/>
                <w:sz w:val="24"/>
              </w:rPr>
              <w:t>8</w:t>
            </w:r>
          </w:p>
        </w:tc>
        <w:tc>
          <w:tcPr>
            <w:vAlign w:val="center"/>
          </w:tcPr>
          <w:p>
            <w:pPr>
              <w:jc w:val="center"/>
            </w:pPr>
            <w:r>
              <w:rPr>
                <w:color w:val="000000"/>
                <w:sz w:val="24"/>
              </w:rPr>
              <w:t>011902702</w:t>
            </w:r>
          </w:p>
        </w:tc>
        <w:tc>
          <w:tcPr>
            <w:vAlign w:val="center"/>
          </w:tcPr>
          <w:p>
            <w:pPr>
              <w:jc w:val="center"/>
            </w:pPr>
            <w:r>
              <w:rPr>
                <w:color w:val="000000"/>
                <w:sz w:val="24"/>
              </w:rPr>
              <w:t>19电网SCP009</w:t>
            </w:r>
          </w:p>
        </w:tc>
        <w:tc>
          <w:tcPr>
            <w:vAlign w:val="center"/>
          </w:tcPr>
          <w:p>
            <w:pPr>
              <w:jc w:val="right"/>
            </w:pPr>
            <w:r>
              <w:rPr>
                <w:color w:val="000000"/>
                <w:sz w:val="24"/>
              </w:rPr>
              <w:t>2,100,000</w:t>
            </w:r>
          </w:p>
        </w:tc>
        <w:tc>
          <w:tcPr>
            <w:vAlign w:val="center"/>
          </w:tcPr>
          <w:p>
            <w:pPr>
              <w:jc w:val="right"/>
            </w:pPr>
            <w:r>
              <w:rPr>
                <w:color w:val="000000"/>
                <w:sz w:val="24"/>
              </w:rPr>
              <w:t>209,863,069.58</w:t>
            </w:r>
          </w:p>
        </w:tc>
        <w:tc>
          <w:tcPr>
            <w:vAlign w:val="center"/>
          </w:tcPr>
          <w:p>
            <w:pPr>
              <w:jc w:val="right"/>
            </w:pPr>
            <w:r>
              <w:rPr>
                <w:color w:val="000000"/>
                <w:sz w:val="24"/>
              </w:rPr>
              <w:t>1.47</w:t>
            </w:r>
          </w:p>
        </w:tc>
      </w:tr>
      <w:tr>
        <w:tc>
          <w:tcPr>
            <w:vAlign w:val="center"/>
          </w:tcPr>
          <w:p>
            <w:pPr>
              <w:jc w:val="center"/>
            </w:pPr>
            <w:r>
              <w:rPr>
                <w:color w:val="000000"/>
                <w:sz w:val="24"/>
              </w:rPr>
              <w:t>9</w:t>
            </w:r>
          </w:p>
        </w:tc>
        <w:tc>
          <w:tcPr>
            <w:vAlign w:val="center"/>
          </w:tcPr>
          <w:p>
            <w:pPr>
              <w:jc w:val="center"/>
            </w:pPr>
            <w:r>
              <w:rPr>
                <w:color w:val="000000"/>
                <w:sz w:val="24"/>
              </w:rPr>
              <w:t>111911064</w:t>
            </w:r>
          </w:p>
        </w:tc>
        <w:tc>
          <w:tcPr>
            <w:vAlign w:val="center"/>
          </w:tcPr>
          <w:p>
            <w:pPr>
              <w:jc w:val="center"/>
            </w:pPr>
            <w:r>
              <w:rPr>
                <w:color w:val="000000"/>
                <w:sz w:val="24"/>
              </w:rPr>
              <w:t>19平安银行CD064</w:t>
            </w:r>
          </w:p>
        </w:tc>
        <w:tc>
          <w:tcPr>
            <w:vAlign w:val="center"/>
          </w:tcPr>
          <w:p>
            <w:pPr>
              <w:jc w:val="right"/>
            </w:pPr>
            <w:r>
              <w:rPr>
                <w:color w:val="000000"/>
                <w:sz w:val="24"/>
              </w:rPr>
              <w:t>2,100,000</w:t>
            </w:r>
          </w:p>
        </w:tc>
        <w:tc>
          <w:tcPr>
            <w:vAlign w:val="center"/>
          </w:tcPr>
          <w:p>
            <w:pPr>
              <w:jc w:val="right"/>
            </w:pPr>
            <w:r>
              <w:rPr>
                <w:color w:val="000000"/>
                <w:sz w:val="24"/>
              </w:rPr>
              <w:t>209,241,207.14</w:t>
            </w:r>
          </w:p>
        </w:tc>
        <w:tc>
          <w:tcPr>
            <w:vAlign w:val="center"/>
          </w:tcPr>
          <w:p>
            <w:pPr>
              <w:jc w:val="right"/>
            </w:pPr>
            <w:r>
              <w:rPr>
                <w:color w:val="000000"/>
                <w:sz w:val="24"/>
              </w:rPr>
              <w:t>1.47</w:t>
            </w:r>
          </w:p>
        </w:tc>
      </w:tr>
      <w:tr>
        <w:tc>
          <w:tcPr>
            <w:vAlign w:val="center"/>
          </w:tcPr>
          <w:p>
            <w:pPr>
              <w:jc w:val="center"/>
            </w:pPr>
            <w:r>
              <w:rPr>
                <w:color w:val="000000"/>
                <w:sz w:val="24"/>
              </w:rPr>
              <w:t>10</w:t>
            </w:r>
          </w:p>
        </w:tc>
        <w:tc>
          <w:tcPr>
            <w:vAlign w:val="center"/>
          </w:tcPr>
          <w:p>
            <w:pPr>
              <w:jc w:val="center"/>
            </w:pPr>
            <w:r>
              <w:rPr>
                <w:color w:val="000000"/>
                <w:sz w:val="24"/>
              </w:rPr>
              <w:t>111918379</w:t>
            </w:r>
          </w:p>
        </w:tc>
        <w:tc>
          <w:tcPr>
            <w:vAlign w:val="center"/>
          </w:tcPr>
          <w:p>
            <w:pPr>
              <w:jc w:val="center"/>
            </w:pPr>
            <w:r>
              <w:rPr>
                <w:color w:val="000000"/>
                <w:sz w:val="24"/>
              </w:rPr>
              <w:t>19华夏银行CD379</w:t>
            </w:r>
          </w:p>
        </w:tc>
        <w:tc>
          <w:tcPr>
            <w:vAlign w:val="center"/>
          </w:tcPr>
          <w:p>
            <w:pPr>
              <w:jc w:val="right"/>
            </w:pPr>
            <w:r>
              <w:rPr>
                <w:color w:val="000000"/>
                <w:sz w:val="24"/>
              </w:rPr>
              <w:t>2,100,000</w:t>
            </w:r>
          </w:p>
        </w:tc>
        <w:tc>
          <w:tcPr>
            <w:vAlign w:val="center"/>
          </w:tcPr>
          <w:p>
            <w:pPr>
              <w:jc w:val="right"/>
            </w:pPr>
            <w:r>
              <w:rPr>
                <w:color w:val="000000"/>
                <w:sz w:val="24"/>
              </w:rPr>
              <w:t>206,980,581.75</w:t>
            </w:r>
          </w:p>
        </w:tc>
        <w:tc>
          <w:tcPr>
            <w:vAlign w:val="center"/>
          </w:tcPr>
          <w:p>
            <w:pPr>
              <w:jc w:val="right"/>
            </w:pPr>
            <w:r>
              <w:rPr>
                <w:color w:val="000000"/>
                <w:sz w:val="24"/>
              </w:rPr>
              <w:t>1.45</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0.1731%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0.0609%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0.1156%</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168000</w:t>
            </w:r>
          </w:p>
        </w:tc>
        <w:tc>
          <w:tcPr>
            <w:vAlign w:val="center"/>
          </w:tcPr>
          <w:p>
            <w:pPr>
              <w:jc w:val="center"/>
            </w:pPr>
            <w:r>
              <w:rPr>
                <w:color w:val="000000"/>
                <w:sz w:val="24"/>
              </w:rPr>
              <w:t>4如日A01</w:t>
            </w:r>
          </w:p>
        </w:tc>
        <w:tc>
          <w:tcPr>
            <w:vAlign w:val="center"/>
          </w:tcPr>
          <w:p>
            <w:pPr>
              <w:jc w:val="right"/>
            </w:pPr>
            <w:r>
              <w:rPr>
                <w:color w:val="000000"/>
                <w:sz w:val="24"/>
              </w:rPr>
              <w:t>1,800,000</w:t>
            </w:r>
          </w:p>
        </w:tc>
        <w:tc>
          <w:tcPr>
            <w:vAlign w:val="center"/>
          </w:tcPr>
          <w:p>
            <w:pPr>
              <w:jc w:val="right"/>
            </w:pPr>
            <w:r>
              <w:rPr>
                <w:color w:val="000000"/>
                <w:sz w:val="24"/>
              </w:rPr>
              <w:t>180,000,000.00</w:t>
            </w:r>
          </w:p>
        </w:tc>
        <w:tc>
          <w:tcPr>
            <w:vAlign w:val="center"/>
          </w:tcPr>
          <w:p>
            <w:pPr>
              <w:jc w:val="right"/>
            </w:pPr>
            <w:r>
              <w:rPr>
                <w:color w:val="000000"/>
                <w:sz w:val="24"/>
              </w:rPr>
              <w:t>1.26</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42,680,355.72</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42,680,355.72</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交银理财21天债券A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交银理财21天债券B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8,442,470.97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14,460,298,601.72</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51,718.65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104,304,364.31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318,061.63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300,000,000.00</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8,176,127.99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14,264,602,966.03</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 xml:space="preserve"> 2、如果本报告期间发生转换出、份额类别调整业务，则总赎回份额中包含该业务。</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
      </w:r>
      <w:proofErr w:type="gramStart"/>
      <w:r>
        <w:rPr>
          <w:rFonts w:ascii="宋体" w:hAnsi="宋体" w:hint="eastAsia"/>
          <w:b/>
          <w:bCs/>
          <w:color w:val="000000"/>
          <w:kern w:val="0"/>
          <w:sz w:val="24"/>
        </w:rPr>
        <w:t/>
      </w:r>
      <w:proofErr w:type="gramEnd"/>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3,659,286,945.14</w:t>
            </w:r>
          </w:p>
        </w:tc>
        <w:tc>
          <w:tcPr>
            <w:vAlign w:val="center"/>
          </w:tcPr>
          <w:p>
            <w:pPr>
              <w:jc w:val="center"/>
            </w:pPr>
            <w:r>
              <w:rPr>
                <w:rFonts w:ascii="宋体" w:hAnsi="宋体" w:hint="eastAsia"/>
                <w:color w:val="000000"/>
                <w:kern w:val="0"/>
                <w:szCs w:val="21"/>
              </w:rPr>
              <w:t>28,086,548.92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3,687,373,494.06</w:t>
            </w:r>
          </w:p>
        </w:tc>
        <w:tc>
          <w:tcPr>
            <w:vAlign w:val="center"/>
          </w:tcPr>
          <w:p>
            <w:pPr>
              <w:jc w:val="center"/>
            </w:pPr>
            <w:r>
              <w:rPr>
                <w:rFonts w:ascii="宋体" w:hAnsi="宋体" w:hint="eastAsia"/>
                <w:color w:val="000000"/>
                <w:kern w:val="0"/>
                <w:szCs w:val="21"/>
              </w:rPr>
              <w:t>25.84%</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1、中国证监会批准交银施罗德理财21天债券型证券投资基金募集的文件； </w:t>
      </w:r>
    </w:p>
    <w:p>
      <w:pPr>
        <w:spacing w:before="29" w:line="288" w:lineRule="auto"/>
        <w:ind w:firstLine="480" w:firstLineChars="200"/>
        <w:rPr>
          <w:color w:val="000000"/>
          <w:sz w:val="24"/>
        </w:rPr>
      </w:pPr>
      <w:r>
        <w:rPr>
          <w:color w:val="000000"/>
          <w:sz w:val="24"/>
        </w:rPr>
        <w:t xml:space="preserve">2、《交银施罗德理财21天债券型证券投资基金基金合同》； </w:t>
      </w:r>
    </w:p>
    <w:p>
      <w:pPr>
        <w:spacing w:before="29" w:line="288" w:lineRule="auto"/>
        <w:ind w:firstLine="480" w:firstLineChars="200"/>
        <w:rPr>
          <w:color w:val="000000"/>
          <w:sz w:val="24"/>
        </w:rPr>
      </w:pPr>
      <w:r>
        <w:rPr>
          <w:color w:val="000000"/>
          <w:sz w:val="24"/>
        </w:rPr>
        <w:t xml:space="preserve">3、《交银施罗德理财21天债券型证券投资基金招募说明书》； </w:t>
      </w:r>
    </w:p>
    <w:p>
      <w:pPr>
        <w:spacing w:before="29" w:line="288" w:lineRule="auto"/>
        <w:ind w:firstLine="480" w:firstLineChars="200"/>
        <w:rPr>
          <w:color w:val="000000"/>
          <w:sz w:val="24"/>
        </w:rPr>
      </w:pPr>
      <w:r>
        <w:rPr>
          <w:color w:val="000000"/>
          <w:sz w:val="24"/>
        </w:rPr>
        <w:t xml:space="preserve">4、《交银施罗德理财21天债券型证券投资基金托管协议》； </w:t>
      </w:r>
    </w:p>
    <w:p>
      <w:pPr>
        <w:spacing w:before="29" w:line="288" w:lineRule="auto"/>
        <w:ind w:firstLine="480" w:firstLineChars="200"/>
        <w:rPr>
          <w:color w:val="000000"/>
          <w:sz w:val="24"/>
        </w:rPr>
      </w:pPr>
      <w:r>
        <w:rPr>
          <w:color w:val="000000"/>
          <w:sz w:val="24"/>
        </w:rPr>
        <w:t xml:space="preserve">5、关于募集交银施罗德理财21天债券型证券投资基金之法律意见书；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8、报告期内交银施罗德理财21天债券型证券投资基金在指定报刊上各项公告的原稿。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交银施罗德理财21天债券型证券投资基金</w:t>
    </w:r>
    <w:proofErr w:type="spellStart"/>
    <w:r w:rsidRPr="003E676C">
      <w:rPr>
        <w:sz w:val="24"/>
        <w:szCs w:val="24"/>
      </w:rPr>
      <w:t/>
    </w:r>
    <w:proofErr w:type="spellEnd"/>
    <w:r w:rsidRPr="003E676C">
      <w:rPr>
        <w:sz w:val="24"/>
        <w:szCs w:val="24"/>
      </w:rPr>
      <w:t>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