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交银施罗德创新成长混合型证券投资基金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交银创新成长混合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006223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006223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2018年9月27日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223,911,378.02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沪深300指数收益率×50%+恒生指数收益率×30%+中证综合债券指数收益率×20%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20,408,944.05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10,071,477.76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0.0542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359,343,556.26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1.6048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6.54%</w:t>
            </w:r>
          </w:p>
        </w:tc>
        <w:tc>
          <w:tcPr>
            <w:vAlign w:val="center"/>
          </w:tcPr>
          <w:p>
            <w:pPr>
              <w:jc w:val="center"/>
            </w:pPr>
            <w:r>
              <w:rPr>
                <w:color w:val="000000"/>
                <w:sz w:val="24"/>
                <w:szCs w:val="24"/>
              </w:rPr>
              <w:t>2.22%</w:t>
            </w:r>
          </w:p>
        </w:tc>
        <w:tc>
          <w:tcPr>
            <w:vAlign w:val="center"/>
          </w:tcPr>
          <w:p>
            <w:pPr>
              <w:jc w:val="center"/>
            </w:pPr>
            <w:r>
              <w:rPr>
                <w:color w:val="000000"/>
                <w:sz w:val="24"/>
                <w:szCs w:val="24"/>
              </w:rPr>
              <w:t>-9.37%</w:t>
            </w:r>
          </w:p>
        </w:tc>
        <w:tc>
          <w:tcPr>
            <w:vAlign w:val="center"/>
          </w:tcPr>
          <w:p>
            <w:pPr>
              <w:jc w:val="center"/>
            </w:pPr>
            <w:r>
              <w:rPr>
                <w:color w:val="000000"/>
                <w:sz w:val="24"/>
                <w:szCs w:val="24"/>
              </w:rPr>
              <w:t>1.53%</w:t>
            </w:r>
          </w:p>
        </w:tc>
        <w:tc>
          <w:tcPr>
            <w:vAlign w:val="center"/>
          </w:tcPr>
          <w:p>
            <w:pPr>
              <w:jc w:val="center"/>
            </w:pPr>
            <w:r>
              <w:rPr>
                <w:color w:val="000000"/>
                <w:sz w:val="24"/>
                <w:szCs w:val="24"/>
              </w:rPr>
              <w:t>15.91%</w:t>
            </w:r>
          </w:p>
        </w:tc>
        <w:tc>
          <w:tcPr>
            <w:vAlign w:val="center"/>
          </w:tcPr>
          <w:p>
            <w:pPr>
              <w:jc w:val="center"/>
            </w:pPr>
            <w:r>
              <w:rPr>
                <w:color w:val="000000"/>
                <w:sz w:val="24"/>
                <w:szCs w:val="24"/>
              </w:rPr>
              <w:t>0.69%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交银施罗德创新成长混合型证券投资基金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2018年9月27日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周中</w:t>
            </w:r>
          </w:p>
        </w:tc>
        <w:tc>
          <w:tcPr>
            <w:vAlign w:val="center"/>
          </w:tcPr>
          <w:p>
            <w:pPr>
              <w:jc w:val="center"/>
            </w:pPr>
            <w:r>
              <w:rPr>
                <w:color w:val="000000"/>
                <w:sz w:val="24"/>
                <w:szCs w:val="24"/>
              </w:rPr>
              <w:t>交银环球精选混合(QDII)、交银创新成长混合的基金经理</w:t>
            </w:r>
          </w:p>
        </w:tc>
        <w:tc>
          <w:tcPr>
            <w:vAlign w:val="center"/>
          </w:tcPr>
          <w:p>
            <w:pPr>
              <w:jc w:val="center"/>
            </w:pPr>
            <w:r>
              <w:rPr>
                <w:color w:val="000000"/>
                <w:sz w:val="24"/>
                <w:szCs w:val="24"/>
              </w:rPr>
              <w:t>2018-09-27</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周中先生，中国国籍，复旦大学金融学硕士。历任野村证券亚太区股票研究部研究助理，中银国际证券研究部研究员、高级经理，瑞银证券研究部行业分析师、董事。2015年加入交银施罗德基金管理有限公司。2015年12月12日至2019年9月19日担任交银施罗德全球自然资源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2020年一季度市场经受了新冠疫情的冲击，全球经济受到影响。中国A股市场因为国内疫情控制相对较好，A股走势显著强于全球其他市场。港股由于受到海外流动性影响更大，因此下跌幅度大于A股。</w:t>
      </w:r>
    </w:p>
    <w:p>
      <w:pPr>
        <w:spacing w:before="29" w:line="288" w:lineRule="auto"/>
        <w:ind w:firstLine="480" w:firstLineChars="200"/>
        <w:rPr>
          <w:color w:val="000000"/>
          <w:sz w:val="24"/>
          <w:szCs w:val="24"/>
        </w:rPr>
      </w:pPr>
      <w:r>
        <w:rPr>
          <w:color w:val="000000"/>
          <w:sz w:val="24"/>
          <w:szCs w:val="24"/>
        </w:rPr>
        <w:t>历史上每次危机都证明了：长期成长空间大的行业中那些足够优秀的企业（负债低/自由现金流好/消费者粘性高/护城河深）能够扛过危机并且在未来为投资者提供更好的回报，危机是这些公司脱颖而出的机会。股市因为外部冲击下跌，投资者逐步买入优质的公司是提高长期回报率的主要方式。</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我们对市场整体并不悲观，一方面国内疫情结束较早，经济金融恢复也会较早。另外我认为价格是非常重要的理由，毕竟A股和H股在全球主要市场来看PE/PB都是比较低的，尤其是考虑成长潜力就更加如此。中国在2016年开始去杠杆，资本市场经历了2016年和2018年两年比较大的调整，市场整体杠杆率下降较大，实体经济杠杆率也总体平稳。受到疫情冲击，全球经济增长速度势必放缓，预计企业盈利可能开始出现较大压力，未来市场一定会是分化较大的，一些受益疫情的公司可能会有短期弹性，一些短期受损但是长期竞争力不变或者强化的公司会有很好的长期买点出现。我们将持续关注互联网、软件服务、电子、消费品以及创新药等行业的优质上市公司。</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311,461,716.19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82.67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311,461,716.19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82.67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181,379.70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181,379.70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59,487,755.15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5,637,100.88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376,767,951.92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7,248,000.00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3,248,000.00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126,550,932.33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10,259,147.31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3,764,347.40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51,293,591.87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5,130,000.00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4,986,000.00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1,959,513.78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11,385,000.00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4,359,000.00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230,183,532.69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64.06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房地产</w:t>
            </w:r>
          </w:p>
        </w:tc>
        <w:tc>
          <w:tcPr>
            <w:vAlign w:val="center"/>
          </w:tcPr>
          <w:p>
            <w:pPr>
              <w:jc w:val="center"/>
            </w:pPr>
            <w:r>
              <w:rPr>
                <w:color w:val="000000"/>
                <w:sz w:val="24"/>
              </w:rPr>
              <w:t>7,414,675.50</w:t>
            </w:r>
          </w:p>
        </w:tc>
        <w:tc>
          <w:tcPr>
            <w:vAlign w:val="center"/>
          </w:tcPr>
          <w:p>
            <w:pPr>
              <w:jc w:val="center"/>
            </w:pPr>
            <w:r>
              <w:rPr>
                <w:color w:val="000000"/>
                <w:sz w:val="24"/>
              </w:rPr>
              <w:t>2.06</w:t>
            </w:r>
          </w:p>
        </w:tc>
      </w:tr>
      <w:tr>
        <w:tc>
          <w:tcPr>
            <w:vAlign w:val="center"/>
          </w:tcPr>
          <w:p>
            <w:pPr>
              <w:jc w:val="center"/>
            </w:pPr>
            <w:r>
              <w:rPr>
                <w:color w:val="000000"/>
                <w:sz w:val="24"/>
              </w:rPr>
              <w:t>非日常生活消费品</w:t>
            </w:r>
          </w:p>
        </w:tc>
        <w:tc>
          <w:tcPr>
            <w:vAlign w:val="center"/>
          </w:tcPr>
          <w:p>
            <w:pPr>
              <w:jc w:val="center"/>
            </w:pPr>
            <w:r>
              <w:rPr>
                <w:color w:val="000000"/>
                <w:sz w:val="24"/>
              </w:rPr>
              <w:t>12,643,780.60</w:t>
            </w:r>
          </w:p>
        </w:tc>
        <w:tc>
          <w:tcPr>
            <w:vAlign w:val="center"/>
          </w:tcPr>
          <w:p>
            <w:pPr>
              <w:jc w:val="center"/>
            </w:pPr>
            <w:r>
              <w:rPr>
                <w:color w:val="000000"/>
                <w:sz w:val="24"/>
              </w:rPr>
              <w:t>3.52</w:t>
            </w:r>
          </w:p>
        </w:tc>
      </w:tr>
      <w:tr>
        <w:tc>
          <w:tcPr>
            <w:vAlign w:val="center"/>
          </w:tcPr>
          <w:p>
            <w:pPr>
              <w:jc w:val="center"/>
            </w:pPr>
            <w:r>
              <w:rPr>
                <w:color w:val="000000"/>
                <w:sz w:val="24"/>
              </w:rPr>
              <w:t>通讯服务</w:t>
            </w:r>
          </w:p>
        </w:tc>
        <w:tc>
          <w:tcPr>
            <w:vAlign w:val="center"/>
          </w:tcPr>
          <w:p>
            <w:pPr>
              <w:jc w:val="center"/>
            </w:pPr>
            <w:r>
              <w:rPr>
                <w:color w:val="000000"/>
                <w:sz w:val="24"/>
              </w:rPr>
              <w:t>30,570,209.12</w:t>
            </w:r>
          </w:p>
        </w:tc>
        <w:tc>
          <w:tcPr>
            <w:vAlign w:val="center"/>
          </w:tcPr>
          <w:p>
            <w:pPr>
              <w:jc w:val="center"/>
            </w:pPr>
            <w:r>
              <w:rPr>
                <w:color w:val="000000"/>
                <w:sz w:val="24"/>
              </w:rPr>
              <w:t>8.51</w:t>
            </w:r>
          </w:p>
        </w:tc>
      </w:tr>
      <w:tr>
        <w:tc>
          <w:tcPr>
            <w:vAlign w:val="center"/>
          </w:tcPr>
          <w:p>
            <w:pPr>
              <w:jc w:val="center"/>
            </w:pPr>
            <w:r>
              <w:rPr>
                <w:color w:val="000000"/>
                <w:sz w:val="24"/>
              </w:rPr>
              <w:t>信息技术</w:t>
            </w:r>
          </w:p>
        </w:tc>
        <w:tc>
          <w:tcPr>
            <w:vAlign w:val="center"/>
          </w:tcPr>
          <w:p>
            <w:pPr>
              <w:jc w:val="center"/>
            </w:pPr>
            <w:r>
              <w:rPr>
                <w:color w:val="000000"/>
                <w:sz w:val="24"/>
              </w:rPr>
              <w:t>21,703,481.58</w:t>
            </w:r>
          </w:p>
        </w:tc>
        <w:tc>
          <w:tcPr>
            <w:vAlign w:val="center"/>
          </w:tcPr>
          <w:p>
            <w:pPr>
              <w:jc w:val="center"/>
            </w:pPr>
            <w:r>
              <w:rPr>
                <w:color w:val="000000"/>
                <w:sz w:val="24"/>
              </w:rPr>
              <w:t>6.04</w:t>
            </w:r>
          </w:p>
        </w:tc>
      </w:tr>
      <w:tr>
        <w:tc>
          <w:tcPr>
            <w:vAlign w:val="center"/>
          </w:tcPr>
          <w:p>
            <w:pPr>
              <w:jc w:val="center"/>
            </w:pPr>
            <w:r>
              <w:rPr>
                <w:color w:val="000000"/>
                <w:sz w:val="24"/>
              </w:rPr>
              <w:t>医疗保健</w:t>
            </w:r>
          </w:p>
        </w:tc>
        <w:tc>
          <w:tcPr>
            <w:vAlign w:val="center"/>
          </w:tcPr>
          <w:p>
            <w:pPr>
              <w:jc w:val="center"/>
            </w:pPr>
            <w:r>
              <w:rPr>
                <w:color w:val="000000"/>
                <w:sz w:val="24"/>
              </w:rPr>
              <w:t>6,675,492.20</w:t>
            </w:r>
          </w:p>
        </w:tc>
        <w:tc>
          <w:tcPr>
            <w:vAlign w:val="center"/>
          </w:tcPr>
          <w:p>
            <w:pPr>
              <w:jc w:val="center"/>
            </w:pPr>
            <w:r>
              <w:rPr>
                <w:color w:val="000000"/>
                <w:sz w:val="24"/>
              </w:rPr>
              <w:t>1.86</w:t>
            </w:r>
          </w:p>
        </w:tc>
      </w:tr>
      <w:tr>
        <w:tc>
          <w:tcPr>
            <w:vAlign w:val="center"/>
          </w:tcPr>
          <w:p>
            <w:pPr>
              <w:jc w:val="center"/>
            </w:pPr>
            <w:r>
              <w:rPr>
                <w:color w:val="000000"/>
                <w:sz w:val="24"/>
              </w:rPr>
              <w:t>原材料</w:t>
            </w:r>
          </w:p>
        </w:tc>
        <w:tc>
          <w:tcPr>
            <w:vAlign w:val="center"/>
          </w:tcPr>
          <w:p>
            <w:pPr>
              <w:jc w:val="center"/>
            </w:pPr>
            <w:r>
              <w:rPr>
                <w:color w:val="000000"/>
                <w:sz w:val="24"/>
              </w:rPr>
              <w:t>2,270,544.50</w:t>
            </w:r>
          </w:p>
        </w:tc>
        <w:tc>
          <w:tcPr>
            <w:vAlign w:val="center"/>
          </w:tcPr>
          <w:p>
            <w:pPr>
              <w:jc w:val="center"/>
            </w:pPr>
            <w:r>
              <w:rPr>
                <w:color w:val="000000"/>
                <w:sz w:val="24"/>
              </w:rPr>
              <w:t>0.63</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81,278,183.50</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22.62</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00700.HK</w:t>
            </w:r>
          </w:p>
        </w:tc>
        <w:tc>
          <w:tcPr>
            <w:vAlign w:val="center"/>
          </w:tcPr>
          <w:p>
            <w:pPr>
              <w:jc w:val="center"/>
            </w:pPr>
            <w:r>
              <w:rPr>
                <w:color w:val="000000"/>
                <w:sz w:val="24"/>
                <w:szCs w:val="24"/>
              </w:rPr>
              <w:t>腾讯控股</w:t>
            </w:r>
          </w:p>
        </w:tc>
        <w:tc>
          <w:tcPr>
            <w:vAlign w:val="center"/>
          </w:tcPr>
          <w:p>
            <w:pPr>
              <w:jc w:val="right"/>
            </w:pPr>
            <w:r>
              <w:rPr>
                <w:color w:val="000000"/>
                <w:sz w:val="24"/>
                <w:szCs w:val="24"/>
              </w:rPr>
              <w:t>88,000</w:t>
            </w:r>
          </w:p>
        </w:tc>
        <w:tc>
          <w:tcPr>
            <w:vAlign w:val="center"/>
          </w:tcPr>
          <w:p>
            <w:pPr>
              <w:jc w:val="right"/>
            </w:pPr>
            <w:r>
              <w:rPr>
                <w:color w:val="000000"/>
                <w:sz w:val="24"/>
                <w:szCs w:val="24"/>
              </w:rPr>
              <w:t>30,570,209.12</w:t>
            </w:r>
          </w:p>
        </w:tc>
        <w:tc>
          <w:tcPr>
            <w:vAlign w:val="center"/>
          </w:tcPr>
          <w:p>
            <w:pPr>
              <w:jc w:val="right"/>
            </w:pPr>
            <w:r>
              <w:rPr>
                <w:color w:val="000000"/>
                <w:sz w:val="24"/>
                <w:szCs w:val="24"/>
              </w:rPr>
              <w:t>8.51</w:t>
            </w:r>
          </w:p>
        </w:tc>
      </w:tr>
      <w:tr>
        <w:tc>
          <w:tcPr>
            <w:vAlign w:val="center"/>
          </w:tcPr>
          <w:p>
            <w:pPr>
              <w:jc w:val="center"/>
            </w:pPr>
            <w:r>
              <w:rPr>
                <w:color w:val="000000"/>
                <w:sz w:val="24"/>
                <w:szCs w:val="24"/>
              </w:rPr>
              <w:t>2</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800,000</w:t>
            </w:r>
          </w:p>
        </w:tc>
        <w:tc>
          <w:tcPr>
            <w:vAlign w:val="center"/>
          </w:tcPr>
          <w:p>
            <w:pPr>
              <w:jc w:val="right"/>
            </w:pPr>
            <w:r>
              <w:rPr>
                <w:color w:val="000000"/>
                <w:sz w:val="24"/>
                <w:szCs w:val="24"/>
              </w:rPr>
              <w:t>16,152,000.00</w:t>
            </w:r>
          </w:p>
        </w:tc>
        <w:tc>
          <w:tcPr>
            <w:vAlign w:val="center"/>
          </w:tcPr>
          <w:p>
            <w:pPr>
              <w:jc w:val="right"/>
            </w:pPr>
            <w:r>
              <w:rPr>
                <w:color w:val="000000"/>
                <w:sz w:val="24"/>
                <w:szCs w:val="24"/>
              </w:rPr>
              <w:t>4.49</w:t>
            </w:r>
          </w:p>
        </w:tc>
      </w:tr>
      <w:tr>
        <w:tc>
          <w:tcPr>
            <w:vAlign w:val="center"/>
          </w:tcPr>
          <w:p>
            <w:pPr>
              <w:jc w:val="center"/>
            </w:pPr>
            <w:r>
              <w:rPr>
                <w:color w:val="000000"/>
                <w:sz w:val="24"/>
                <w:szCs w:val="24"/>
              </w:rPr>
              <w:t>3</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399,996</w:t>
            </w:r>
          </w:p>
        </w:tc>
        <w:tc>
          <w:tcPr>
            <w:vAlign w:val="center"/>
          </w:tcPr>
          <w:p>
            <w:pPr>
              <w:jc w:val="right"/>
            </w:pPr>
            <w:r>
              <w:rPr>
                <w:color w:val="000000"/>
                <w:sz w:val="24"/>
                <w:szCs w:val="24"/>
              </w:rPr>
              <w:t>13,431,865.68</w:t>
            </w:r>
          </w:p>
        </w:tc>
        <w:tc>
          <w:tcPr>
            <w:vAlign w:val="center"/>
          </w:tcPr>
          <w:p>
            <w:pPr>
              <w:jc w:val="right"/>
            </w:pPr>
            <w:r>
              <w:rPr>
                <w:color w:val="000000"/>
                <w:sz w:val="24"/>
                <w:szCs w:val="24"/>
              </w:rPr>
              <w:t>3.74</w:t>
            </w:r>
          </w:p>
        </w:tc>
      </w:tr>
      <w:tr>
        <w:tc>
          <w:tcPr>
            <w:vAlign w:val="center"/>
          </w:tcPr>
          <w:p>
            <w:pPr>
              <w:jc w:val="center"/>
            </w:pPr>
            <w:r>
              <w:rPr>
                <w:color w:val="000000"/>
                <w:sz w:val="24"/>
                <w:szCs w:val="24"/>
              </w:rPr>
              <w:t>4</w:t>
            </w:r>
          </w:p>
        </w:tc>
        <w:tc>
          <w:tcPr>
            <w:vAlign w:val="center"/>
          </w:tcPr>
          <w:p>
            <w:pPr>
              <w:jc w:val="center"/>
            </w:pPr>
            <w:r>
              <w:rPr>
                <w:color w:val="000000"/>
                <w:sz w:val="24"/>
                <w:szCs w:val="24"/>
              </w:rPr>
              <w:t>603195</w:t>
            </w:r>
          </w:p>
        </w:tc>
        <w:tc>
          <w:tcPr>
            <w:vAlign w:val="center"/>
          </w:tcPr>
          <w:p>
            <w:pPr>
              <w:jc w:val="center"/>
            </w:pPr>
            <w:r>
              <w:rPr>
                <w:color w:val="000000"/>
                <w:sz w:val="24"/>
                <w:szCs w:val="24"/>
              </w:rPr>
              <w:t>公牛集团</w:t>
            </w:r>
          </w:p>
        </w:tc>
        <w:tc>
          <w:tcPr>
            <w:vAlign w:val="center"/>
          </w:tcPr>
          <w:p>
            <w:pPr>
              <w:jc w:val="right"/>
            </w:pPr>
            <w:r>
              <w:rPr>
                <w:color w:val="000000"/>
                <w:sz w:val="24"/>
                <w:szCs w:val="24"/>
              </w:rPr>
              <w:t>80,000</w:t>
            </w:r>
          </w:p>
        </w:tc>
        <w:tc>
          <w:tcPr>
            <w:vAlign w:val="center"/>
          </w:tcPr>
          <w:p>
            <w:pPr>
              <w:jc w:val="right"/>
            </w:pPr>
            <w:r>
              <w:rPr>
                <w:color w:val="000000"/>
                <w:sz w:val="24"/>
                <w:szCs w:val="24"/>
              </w:rPr>
              <w:t>12,397,600.00</w:t>
            </w:r>
          </w:p>
        </w:tc>
        <w:tc>
          <w:tcPr>
            <w:vAlign w:val="center"/>
          </w:tcPr>
          <w:p>
            <w:pPr>
              <w:jc w:val="right"/>
            </w:pPr>
            <w:r>
              <w:rPr>
                <w:color w:val="000000"/>
                <w:sz w:val="24"/>
                <w:szCs w:val="24"/>
              </w:rPr>
              <w:t>3.45</w:t>
            </w:r>
          </w:p>
        </w:tc>
      </w:tr>
      <w:tr>
        <w:tc>
          <w:tcPr>
            <w:vAlign w:val="center"/>
          </w:tcPr>
          <w:p>
            <w:pPr>
              <w:jc w:val="center"/>
            </w:pPr>
            <w:r>
              <w:rPr>
                <w:color w:val="000000"/>
                <w:sz w:val="24"/>
                <w:szCs w:val="24"/>
              </w:rPr>
              <w:t>5</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500,000</w:t>
            </w:r>
          </w:p>
        </w:tc>
        <w:tc>
          <w:tcPr>
            <w:vAlign w:val="center"/>
          </w:tcPr>
          <w:p>
            <w:pPr>
              <w:jc w:val="right"/>
            </w:pPr>
            <w:r>
              <w:rPr>
                <w:color w:val="000000"/>
                <w:sz w:val="24"/>
                <w:szCs w:val="24"/>
              </w:rPr>
              <w:t>11,385,000.00</w:t>
            </w:r>
          </w:p>
        </w:tc>
        <w:tc>
          <w:tcPr>
            <w:vAlign w:val="center"/>
          </w:tcPr>
          <w:p>
            <w:pPr>
              <w:jc w:val="right"/>
            </w:pPr>
            <w:r>
              <w:rPr>
                <w:color w:val="000000"/>
                <w:sz w:val="24"/>
                <w:szCs w:val="24"/>
              </w:rPr>
              <w:t>3.17</w:t>
            </w:r>
          </w:p>
        </w:tc>
      </w:tr>
      <w:tr>
        <w:tc>
          <w:tcPr>
            <w:vAlign w:val="center"/>
          </w:tcPr>
          <w:p>
            <w:pPr>
              <w:jc w:val="center"/>
            </w:pPr>
            <w:r>
              <w:rPr>
                <w:color w:val="000000"/>
                <w:sz w:val="24"/>
                <w:szCs w:val="24"/>
              </w:rPr>
              <w:t>6</w:t>
            </w:r>
          </w:p>
        </w:tc>
        <w:tc>
          <w:tcPr>
            <w:vAlign w:val="center"/>
          </w:tcPr>
          <w:p>
            <w:pPr>
              <w:jc w:val="center"/>
            </w:pPr>
            <w:r>
              <w:rPr>
                <w:color w:val="000000"/>
                <w:sz w:val="24"/>
                <w:szCs w:val="24"/>
              </w:rPr>
              <w:t>03888.HK</w:t>
            </w:r>
          </w:p>
        </w:tc>
        <w:tc>
          <w:tcPr>
            <w:vAlign w:val="center"/>
          </w:tcPr>
          <w:p>
            <w:pPr>
              <w:jc w:val="center"/>
            </w:pPr>
            <w:r>
              <w:rPr>
                <w:color w:val="000000"/>
                <w:sz w:val="24"/>
                <w:szCs w:val="24"/>
              </w:rPr>
              <w:t>金山软件</w:t>
            </w:r>
          </w:p>
        </w:tc>
        <w:tc>
          <w:tcPr>
            <w:vAlign w:val="center"/>
          </w:tcPr>
          <w:p>
            <w:pPr>
              <w:jc w:val="right"/>
            </w:pPr>
            <w:r>
              <w:rPr>
                <w:color w:val="000000"/>
                <w:sz w:val="24"/>
                <w:szCs w:val="24"/>
              </w:rPr>
              <w:t>478,000</w:t>
            </w:r>
          </w:p>
        </w:tc>
        <w:tc>
          <w:tcPr>
            <w:vAlign w:val="center"/>
          </w:tcPr>
          <w:p>
            <w:pPr>
              <w:jc w:val="right"/>
            </w:pPr>
            <w:r>
              <w:rPr>
                <w:color w:val="000000"/>
                <w:sz w:val="24"/>
                <w:szCs w:val="24"/>
              </w:rPr>
              <w:t>11,049,739.58</w:t>
            </w:r>
          </w:p>
        </w:tc>
        <w:tc>
          <w:tcPr>
            <w:vAlign w:val="center"/>
          </w:tcPr>
          <w:p>
            <w:pPr>
              <w:jc w:val="right"/>
            </w:pPr>
            <w:r>
              <w:rPr>
                <w:color w:val="000000"/>
                <w:sz w:val="24"/>
                <w:szCs w:val="24"/>
              </w:rPr>
              <w:t>3.07</w:t>
            </w:r>
          </w:p>
        </w:tc>
      </w:tr>
      <w:tr>
        <w:tc>
          <w:tcPr>
            <w:vAlign w:val="center"/>
          </w:tcPr>
          <w:p>
            <w:pPr>
              <w:jc w:val="center"/>
            </w:pPr>
            <w:r>
              <w:rPr>
                <w:color w:val="000000"/>
                <w:sz w:val="24"/>
                <w:szCs w:val="24"/>
              </w:rPr>
              <w:t>7</w:t>
            </w:r>
          </w:p>
        </w:tc>
        <w:tc>
          <w:tcPr>
            <w:vAlign w:val="center"/>
          </w:tcPr>
          <w:p>
            <w:pPr>
              <w:jc w:val="center"/>
            </w:pPr>
            <w:r>
              <w:rPr>
                <w:color w:val="000000"/>
                <w:sz w:val="24"/>
                <w:szCs w:val="24"/>
              </w:rPr>
              <w:t>03690.HK</w:t>
            </w:r>
          </w:p>
        </w:tc>
        <w:tc>
          <w:tcPr>
            <w:vAlign w:val="center"/>
          </w:tcPr>
          <w:p>
            <w:pPr>
              <w:jc w:val="center"/>
            </w:pPr>
            <w:r>
              <w:rPr>
                <w:color w:val="000000"/>
                <w:sz w:val="24"/>
                <w:szCs w:val="24"/>
              </w:rPr>
              <w:t>美团点评－Ｗ</w:t>
            </w:r>
          </w:p>
        </w:tc>
        <w:tc>
          <w:tcPr>
            <w:vAlign w:val="center"/>
          </w:tcPr>
          <w:p>
            <w:pPr>
              <w:jc w:val="right"/>
            </w:pPr>
            <w:r>
              <w:rPr>
                <w:color w:val="000000"/>
                <w:sz w:val="24"/>
                <w:szCs w:val="24"/>
              </w:rPr>
              <w:t>120,000</w:t>
            </w:r>
          </w:p>
        </w:tc>
        <w:tc>
          <w:tcPr>
            <w:vAlign w:val="center"/>
          </w:tcPr>
          <w:p>
            <w:pPr>
              <w:jc w:val="right"/>
            </w:pPr>
            <w:r>
              <w:rPr>
                <w:color w:val="000000"/>
                <w:sz w:val="24"/>
                <w:szCs w:val="24"/>
              </w:rPr>
              <w:t>10,268,160.60</w:t>
            </w:r>
          </w:p>
        </w:tc>
        <w:tc>
          <w:tcPr>
            <w:vAlign w:val="center"/>
          </w:tcPr>
          <w:p>
            <w:pPr>
              <w:jc w:val="right"/>
            </w:pPr>
            <w:r>
              <w:rPr>
                <w:color w:val="000000"/>
                <w:sz w:val="24"/>
                <w:szCs w:val="24"/>
              </w:rPr>
              <w:t>2.86</w:t>
            </w:r>
          </w:p>
        </w:tc>
      </w:tr>
      <w:tr>
        <w:tc>
          <w:tcPr>
            <w:vAlign w:val="center"/>
          </w:tcPr>
          <w:p>
            <w:pPr>
              <w:jc w:val="center"/>
            </w:pPr>
            <w:r>
              <w:rPr>
                <w:color w:val="000000"/>
                <w:sz w:val="24"/>
                <w:szCs w:val="24"/>
              </w:rPr>
              <w:t>8</w:t>
            </w:r>
          </w:p>
        </w:tc>
        <w:tc>
          <w:tcPr>
            <w:vAlign w:val="center"/>
          </w:tcPr>
          <w:p>
            <w:pPr>
              <w:jc w:val="center"/>
            </w:pPr>
            <w:r>
              <w:rPr>
                <w:color w:val="000000"/>
                <w:sz w:val="24"/>
                <w:szCs w:val="24"/>
              </w:rPr>
              <w:t>601933</w:t>
            </w:r>
          </w:p>
        </w:tc>
        <w:tc>
          <w:tcPr>
            <w:vAlign w:val="center"/>
          </w:tcPr>
          <w:p>
            <w:pPr>
              <w:jc w:val="center"/>
            </w:pPr>
            <w:r>
              <w:rPr>
                <w:color w:val="000000"/>
                <w:sz w:val="24"/>
                <w:szCs w:val="24"/>
              </w:rPr>
              <w:t>永辉超市</w:t>
            </w:r>
          </w:p>
        </w:tc>
        <w:tc>
          <w:tcPr>
            <w:vAlign w:val="center"/>
          </w:tcPr>
          <w:p>
            <w:pPr>
              <w:jc w:val="right"/>
            </w:pPr>
            <w:r>
              <w:rPr>
                <w:color w:val="000000"/>
                <w:sz w:val="24"/>
                <w:szCs w:val="24"/>
              </w:rPr>
              <w:t>1,000,000</w:t>
            </w:r>
          </w:p>
        </w:tc>
        <w:tc>
          <w:tcPr>
            <w:vAlign w:val="center"/>
          </w:tcPr>
          <w:p>
            <w:pPr>
              <w:jc w:val="right"/>
            </w:pPr>
            <w:r>
              <w:rPr>
                <w:color w:val="000000"/>
                <w:sz w:val="24"/>
                <w:szCs w:val="24"/>
              </w:rPr>
              <w:t>10,240,000.00</w:t>
            </w:r>
          </w:p>
        </w:tc>
        <w:tc>
          <w:tcPr>
            <w:vAlign w:val="center"/>
          </w:tcPr>
          <w:p>
            <w:pPr>
              <w:jc w:val="right"/>
            </w:pPr>
            <w:r>
              <w:rPr>
                <w:color w:val="000000"/>
                <w:sz w:val="24"/>
                <w:szCs w:val="24"/>
              </w:rPr>
              <w:t>2.85</w:t>
            </w:r>
          </w:p>
        </w:tc>
      </w:tr>
      <w:tr>
        <w:tc>
          <w:tcPr>
            <w:vAlign w:val="center"/>
          </w:tcPr>
          <w:p>
            <w:pPr>
              <w:jc w:val="center"/>
            </w:pPr>
            <w:r>
              <w:rPr>
                <w:color w:val="000000"/>
                <w:sz w:val="24"/>
                <w:szCs w:val="24"/>
              </w:rPr>
              <w:t>9</w:t>
            </w:r>
          </w:p>
        </w:tc>
        <w:tc>
          <w:tcPr>
            <w:vAlign w:val="center"/>
          </w:tcPr>
          <w:p>
            <w:pPr>
              <w:jc w:val="center"/>
            </w:pPr>
            <w:r>
              <w:rPr>
                <w:color w:val="000000"/>
                <w:sz w:val="24"/>
                <w:szCs w:val="24"/>
              </w:rPr>
              <w:t>02382.HK</w:t>
            </w:r>
          </w:p>
        </w:tc>
        <w:tc>
          <w:tcPr>
            <w:vAlign w:val="center"/>
          </w:tcPr>
          <w:p>
            <w:pPr>
              <w:jc w:val="center"/>
            </w:pPr>
            <w:r>
              <w:rPr>
                <w:color w:val="000000"/>
                <w:sz w:val="24"/>
                <w:szCs w:val="24"/>
              </w:rPr>
              <w:t>舜宇光学科技</w:t>
            </w:r>
          </w:p>
        </w:tc>
        <w:tc>
          <w:tcPr>
            <w:vAlign w:val="center"/>
          </w:tcPr>
          <w:p>
            <w:pPr>
              <w:jc w:val="right"/>
            </w:pPr>
            <w:r>
              <w:rPr>
                <w:color w:val="000000"/>
                <w:sz w:val="24"/>
                <w:szCs w:val="24"/>
              </w:rPr>
              <w:t>100,000</w:t>
            </w:r>
          </w:p>
        </w:tc>
        <w:tc>
          <w:tcPr>
            <w:vAlign w:val="center"/>
          </w:tcPr>
          <w:p>
            <w:pPr>
              <w:jc w:val="right"/>
            </w:pPr>
            <w:r>
              <w:rPr>
                <w:color w:val="000000"/>
                <w:sz w:val="24"/>
                <w:szCs w:val="24"/>
              </w:rPr>
              <w:t>9,539,028.00</w:t>
            </w:r>
          </w:p>
        </w:tc>
        <w:tc>
          <w:tcPr>
            <w:vAlign w:val="center"/>
          </w:tcPr>
          <w:p>
            <w:pPr>
              <w:jc w:val="right"/>
            </w:pPr>
            <w:r>
              <w:rPr>
                <w:color w:val="000000"/>
                <w:sz w:val="24"/>
                <w:szCs w:val="24"/>
              </w:rPr>
              <w:t>2.65</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250,000</w:t>
            </w:r>
          </w:p>
        </w:tc>
        <w:tc>
          <w:tcPr>
            <w:vAlign w:val="center"/>
          </w:tcPr>
          <w:p>
            <w:pPr>
              <w:jc w:val="right"/>
            </w:pPr>
            <w:r>
              <w:rPr>
                <w:color w:val="000000"/>
                <w:sz w:val="24"/>
                <w:szCs w:val="24"/>
              </w:rPr>
              <w:t>8,507,500.00</w:t>
            </w:r>
          </w:p>
        </w:tc>
        <w:tc>
          <w:tcPr>
            <w:vAlign w:val="center"/>
          </w:tcPr>
          <w:p>
            <w:pPr>
              <w:jc w:val="right"/>
            </w:pPr>
            <w:r>
              <w:rPr>
                <w:color w:val="000000"/>
                <w:sz w:val="24"/>
                <w:szCs w:val="24"/>
              </w:rPr>
              <w:t>2.37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181,379.70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0.05</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181,379.70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1,791</w:t>
            </w:r>
          </w:p>
        </w:tc>
        <w:tc>
          <w:tcPr>
            <w:vAlign w:val="center"/>
          </w:tcPr>
          <w:p>
            <w:pPr>
              <w:jc w:val="right"/>
            </w:pPr>
            <w:r>
              <w:rPr>
                <w:color w:val="000000"/>
                <w:sz w:val="24"/>
                <w:szCs w:val="24"/>
              </w:rPr>
              <w:t>179,100.00</w:t>
            </w:r>
          </w:p>
        </w:tc>
        <w:tc>
          <w:tcPr>
            <w:vAlign w:val="center"/>
          </w:tcPr>
          <w:p>
            <w:pPr>
              <w:jc w:val="right"/>
            </w:pPr>
            <w:r>
              <w:rPr>
                <w:color w:val="000000"/>
                <w:sz w:val="24"/>
                <w:szCs w:val="24"/>
              </w:rPr>
              <w:t>0.05</w:t>
            </w:r>
          </w:p>
        </w:tc>
      </w:tr>
      <w:tr>
        <w:tc>
          <w:tcPr>
            <w:vAlign w:val="center"/>
          </w:tcPr>
          <w:p>
            <w:pPr>
              <w:jc w:val="center"/>
            </w:pPr>
            <w:r>
              <w:rPr>
                <w:color w:val="000000"/>
                <w:sz w:val="24"/>
                <w:szCs w:val="24"/>
              </w:rPr>
              <w:t>2</w:t>
            </w:r>
          </w:p>
        </w:tc>
        <w:tc>
          <w:tcPr>
            <w:vAlign w:val="center"/>
          </w:tcPr>
          <w:p>
            <w:pPr>
              <w:jc w:val="center"/>
            </w:pPr>
            <w:r>
              <w:rPr>
                <w:color w:val="000000"/>
                <w:sz w:val="24"/>
                <w:szCs w:val="24"/>
              </w:rPr>
              <w:t>128098</w:t>
            </w:r>
          </w:p>
        </w:tc>
        <w:tc>
          <w:tcPr>
            <w:vAlign w:val="center"/>
          </w:tcPr>
          <w:p>
            <w:pPr>
              <w:jc w:val="center"/>
            </w:pPr>
            <w:r>
              <w:rPr>
                <w:color w:val="000000"/>
                <w:sz w:val="24"/>
                <w:szCs w:val="24"/>
              </w:rPr>
              <w:t>康弘转债</w:t>
            </w:r>
          </w:p>
        </w:tc>
        <w:tc>
          <w:tcPr>
            <w:vAlign w:val="center"/>
          </w:tcPr>
          <w:p>
            <w:pPr>
              <w:jc w:val="right"/>
            </w:pPr>
            <w:r>
              <w:rPr>
                <w:color w:val="000000"/>
                <w:sz w:val="24"/>
                <w:szCs w:val="24"/>
              </w:rPr>
              <w:t>10</w:t>
            </w:r>
          </w:p>
        </w:tc>
        <w:tc>
          <w:tcPr>
            <w:vAlign w:val="center"/>
          </w:tcPr>
          <w:p>
            <w:pPr>
              <w:jc w:val="right"/>
            </w:pPr>
            <w:r>
              <w:rPr>
                <w:color w:val="000000"/>
                <w:sz w:val="24"/>
                <w:szCs w:val="24"/>
              </w:rPr>
              <w:t>1,279.70</w:t>
            </w:r>
          </w:p>
        </w:tc>
        <w:tc>
          <w:tcPr>
            <w:vAlign w:val="center"/>
          </w:tcPr>
          <w:p>
            <w:pPr>
              <w:jc w:val="right"/>
            </w:pPr>
            <w:r>
              <w:rPr>
                <w:color w:val="000000"/>
                <w:sz w:val="24"/>
                <w:szCs w:val="24"/>
              </w:rPr>
              <w:t>0.00</w:t>
            </w:r>
          </w:p>
        </w:tc>
      </w:tr>
      <w:tr>
        <w:tc>
          <w:tcPr>
            <w:vAlign w:val="center"/>
          </w:tcPr>
          <w:p>
            <w:pPr>
              <w:jc w:val="center"/>
            </w:pPr>
            <w:r>
              <w:rPr>
                <w:color w:val="000000"/>
                <w:sz w:val="24"/>
                <w:szCs w:val="24"/>
              </w:rPr>
              <w:t>3</w:t>
            </w:r>
          </w:p>
        </w:tc>
        <w:tc>
          <w:tcPr>
            <w:vAlign w:val="center"/>
          </w:tcPr>
          <w:p>
            <w:pPr>
              <w:jc w:val="center"/>
            </w:pPr>
            <w:r>
              <w:rPr>
                <w:color w:val="000000"/>
                <w:sz w:val="24"/>
                <w:szCs w:val="24"/>
              </w:rPr>
              <w:t>113569</w:t>
            </w:r>
          </w:p>
        </w:tc>
        <w:tc>
          <w:tcPr>
            <w:vAlign w:val="center"/>
          </w:tcPr>
          <w:p>
            <w:pPr>
              <w:jc w:val="center"/>
            </w:pPr>
            <w:r>
              <w:rPr>
                <w:color w:val="000000"/>
                <w:sz w:val="24"/>
                <w:szCs w:val="24"/>
              </w:rPr>
              <w:t>科达转债</w:t>
            </w:r>
          </w:p>
        </w:tc>
        <w:tc>
          <w:tcPr>
            <w:vAlign w:val="center"/>
          </w:tcPr>
          <w:p>
            <w:pPr>
              <w:jc w:val="right"/>
            </w:pPr>
            <w:r>
              <w:rPr>
                <w:color w:val="000000"/>
                <w:sz w:val="24"/>
                <w:szCs w:val="24"/>
              </w:rPr>
              <w:t>10</w:t>
            </w:r>
          </w:p>
        </w:tc>
        <w:tc>
          <w:tcPr>
            <w:vAlign w:val="center"/>
          </w:tcPr>
          <w:p>
            <w:pPr>
              <w:jc w:val="right"/>
            </w:pPr>
            <w:r>
              <w:rPr>
                <w:color w:val="000000"/>
                <w:sz w:val="24"/>
                <w:szCs w:val="24"/>
              </w:rPr>
              <w:t>1,000.00</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430,899.99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4,587,852.28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6,360.15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611,988.46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5,637,100.88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165,712,717.23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122,953,927.83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64,755,267.04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223,911,378.02</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1、中国证监会准予交银施罗德创新成长混合型证券投资基金募集注册的文件；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2、《交银施罗德创新成长混合型证券投资基金基金合同》；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3、《交银施罗德创新成长混合型证券投资基金招募说明书》；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4、《交银施罗德创新成长混合型证券投资基金托管协议》；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5、关于申请募集注册交银施罗德创新成长混合型证券投资基金的法律意见书；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8、报告期内交银施罗德创新成长混合型证券投资基金在指定报刊上各项公告的原稿。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交银施罗德创新成长混合型证券投资基金2020年第1季度报告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