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交银施罗德创新成长混合型证券投资基金</w:t>
      </w:r>
    </w:p>
    <w:p w:rsidP="00C15CAC" w:rsidR="002279D3" w:rsidRDefault="002279D3" w:rsidRPr="0081286B">
      <w:pPr>
        <w:spacing w:before="29" w:line="288" w:lineRule="auto"/>
        <w:jc w:val="center"/>
        <w:rPr>
          <w:b/>
          <w:sz w:val="36"/>
          <w:szCs w:val="36"/>
        </w:rPr>
      </w:pPr>
      <w:r w:rsidRPr="0081286B">
        <w:rPr>
          <w:b/>
          <w:sz w:val="36"/>
          <w:szCs w:val="36"/>
        </w:rPr>
        <w:t>2020年第1季度报告</w:t>
      </w:r>
    </w:p>
    <w:p w:rsidP="00C15CAC" w:rsidR="004061AC" w:rsidRDefault="00655CD8" w:rsidRPr="0081286B">
      <w:pPr>
        <w:spacing w:before="29" w:line="288" w:lineRule="auto"/>
        <w:jc w:val="center"/>
        <w:rPr>
          <w:b/>
          <w:sz w:val="36"/>
          <w:szCs w:val="36"/>
        </w:rPr>
      </w:pPr>
      <w:r w:rsidRPr="0081286B">
        <w:rPr>
          <w:b/>
          <w:sz w:val="36"/>
          <w:szCs w:val="36"/>
        </w:rPr>
        <w:t>2020年3月31日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中信银行股份有限公司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二〇二〇年四月二十二日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基金托管人中信银行股份有限公司根据本基金合同规定，于2020年4月21日复核了本报告中的财务指标、净值表现和投资组合报告等内容，保证复核内容不存在虚假记载、误导性陈述或者重大遗漏。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本报告期自2020年1月1日起至3月31日止。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交银创新成长混合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006223</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006223</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2018年9月27日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223,911,378.02</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本基金通过优化资产配置和灵活运用多种投资策略，把握港股通资本市场开放政策下的投资机会，力争实现基金资产的稳定增值。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将综合考虑国家经济政策、经济周期、各行业的相对估值水平和行业竞争格局等因素，运用修正后的投资时钟分析框架，自上而下调整基金大类资产配置和股票行业配置策略，确定债券组合久期和债券类别配置；在严谨深入的股票和债券研究分析基础上，自下而上精选个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沪深300指数收益率×50%+恒生指数收益率×30%+中证综合债券指数收益率×20%</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pPr>
              <w:adjustRightInd w:val="0"/>
              <w:spacing w:before="29" w:line="288" w:lineRule="auto"/>
              <w:ind w:left="17"/>
              <w:jc w:val="left"/>
              <w:rPr>
                <w:color w:val="000000"/>
                <w:sz w:val="24"/>
                <w:szCs w:val="24"/>
              </w:rPr>
            </w:pPr>
            <w:r>
              <w:rPr>
                <w:color w:val="000000"/>
                <w:kern w:val="0"/>
                <w:sz w:val="24"/>
                <w:szCs w:val="24"/>
              </w:rPr>
              <w:t>本基金是一只混合型基金，其预期风险和预期收益高于债券型基金和货币市场基金，低于股票型基金。</w:t>
            </w:r>
          </w:p>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本基金可投资港股通标的股票，会面临港股通机制下因投资环境、投资标的、市场制度以及交易规则等差异带来的特有风险。</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中信银行股份有限公司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(2020年1月1日-2020年3月31日)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20,408,944.05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10,071,477.76</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0.0542</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359,343,556.26</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1.6048</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注：1、上述基金业绩指标不包括持有人认购或交易基金的各项费用，计入费用后的实际收益水平要低于所列数字；</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6.54%</w:t>
            </w:r>
          </w:p>
        </w:tc>
        <w:tc>
          <w:tcPr>
            <w:vAlign w:val="center"/>
          </w:tcPr>
          <w:p>
            <w:pPr>
              <w:jc w:val="center"/>
            </w:pPr>
            <w:r>
              <w:rPr>
                <w:color w:val="000000"/>
                <w:sz w:val="24"/>
                <w:szCs w:val="24"/>
              </w:rPr>
              <w:t>2.22%</w:t>
            </w:r>
          </w:p>
        </w:tc>
        <w:tc>
          <w:tcPr>
            <w:vAlign w:val="center"/>
          </w:tcPr>
          <w:p>
            <w:pPr>
              <w:jc w:val="center"/>
            </w:pPr>
            <w:r>
              <w:rPr>
                <w:color w:val="000000"/>
                <w:sz w:val="24"/>
                <w:szCs w:val="24"/>
              </w:rPr>
              <w:t>-9.37%</w:t>
            </w:r>
          </w:p>
        </w:tc>
        <w:tc>
          <w:tcPr>
            <w:vAlign w:val="center"/>
          </w:tcPr>
          <w:p>
            <w:pPr>
              <w:jc w:val="center"/>
            </w:pPr>
            <w:r>
              <w:rPr>
                <w:color w:val="000000"/>
                <w:sz w:val="24"/>
                <w:szCs w:val="24"/>
              </w:rPr>
              <w:t>1.53%</w:t>
            </w:r>
          </w:p>
        </w:tc>
        <w:tc>
          <w:tcPr>
            <w:vAlign w:val="center"/>
          </w:tcPr>
          <w:p>
            <w:pPr>
              <w:jc w:val="center"/>
            </w:pPr>
            <w:r>
              <w:rPr>
                <w:color w:val="000000"/>
                <w:sz w:val="24"/>
                <w:szCs w:val="24"/>
              </w:rPr>
              <w:t>15.91%</w:t>
            </w:r>
          </w:p>
        </w:tc>
        <w:tc>
          <w:tcPr>
            <w:vAlign w:val="center"/>
          </w:tcPr>
          <w:p>
            <w:pPr>
              <w:jc w:val="center"/>
            </w:pPr>
            <w:r>
              <w:rPr>
                <w:color w:val="000000"/>
                <w:sz w:val="24"/>
                <w:szCs w:val="24"/>
              </w:rPr>
              <w:t>0.69%</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交银施罗德创新成长混合型证券投资基金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2018年9月27日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2020年3月31日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周中</w:t>
            </w:r>
          </w:p>
        </w:tc>
        <w:tc>
          <w:tcPr>
            <w:vAlign w:val="center"/>
          </w:tcPr>
          <w:p>
            <w:pPr>
              <w:jc w:val="center"/>
            </w:pPr>
            <w:r>
              <w:rPr>
                <w:color w:val="000000"/>
                <w:sz w:val="24"/>
                <w:szCs w:val="24"/>
              </w:rPr>
              <w:t>交银环球精选混合(QDII)、交银创新成长混合的基金经理</w:t>
            </w:r>
          </w:p>
        </w:tc>
        <w:tc>
          <w:tcPr>
            <w:vAlign w:val="center"/>
          </w:tcPr>
          <w:p>
            <w:pPr>
              <w:jc w:val="center"/>
            </w:pPr>
            <w:r>
              <w:rPr>
                <w:color w:val="000000"/>
                <w:sz w:val="24"/>
                <w:szCs w:val="24"/>
              </w:rPr>
              <w:t>2018-09-27</w:t>
            </w:r>
          </w:p>
        </w:tc>
        <w:tc>
          <w:tcPr>
            <w:vAlign w:val="center"/>
          </w:tcPr>
          <w:p>
            <w:pPr>
              <w:jc w:val="center"/>
            </w:pPr>
            <w:r>
              <w:rPr>
                <w:color w:val="000000"/>
                <w:sz w:val="24"/>
                <w:szCs w:val="24"/>
              </w:rPr>
              <w:t>-</w:t>
            </w:r>
          </w:p>
        </w:tc>
        <w:tc>
          <w:tcPr>
            <w:vAlign w:val="center"/>
          </w:tcPr>
          <w:p>
            <w:pPr>
              <w:jc w:val="center"/>
            </w:pPr>
            <w:r>
              <w:rPr>
                <w:color w:val="000000"/>
                <w:sz w:val="24"/>
                <w:szCs w:val="24"/>
              </w:rPr>
              <w:t>11年</w:t>
            </w:r>
          </w:p>
        </w:tc>
        <w:tc>
          <w:tcPr>
            <w:vAlign w:val="center"/>
          </w:tcPr>
          <w:p>
            <w:pPr>
              <w:jc w:val="both"/>
            </w:pPr>
            <w:r>
              <w:rPr>
                <w:color w:val="000000"/>
                <w:sz w:val="24"/>
                <w:szCs w:val="24"/>
              </w:rPr>
              <w:t>周中先生，中国国籍，复旦大学金融学硕士。历任野村证券亚太区股票研究部研究助理，中银国际证券研究部研究员、高级经理，瑞银证券研究部行业分析师、董事。2015年加入交银施罗德基金管理有限公司。2015年12月12日至2019年9月19日担任交银施罗德全球自然资源证券投资基金的基金经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2020年一季度市场经受了新冠疫情的冲击，全球经济受到影响。中国A股市场因为国内疫情控制相对较好，A股走势显著强于全球其他市场。港股由于受到海外流动性影响更大，因此下跌幅度大于A股。</w:t>
      </w:r>
    </w:p>
    <w:p>
      <w:pPr>
        <w:spacing w:before="29" w:line="288" w:lineRule="auto"/>
        <w:ind w:firstLine="480" w:firstLineChars="200"/>
        <w:rPr>
          <w:color w:val="000000"/>
          <w:sz w:val="24"/>
          <w:szCs w:val="24"/>
        </w:rPr>
      </w:pPr>
      <w:r>
        <w:rPr>
          <w:color w:val="000000"/>
          <w:sz w:val="24"/>
          <w:szCs w:val="24"/>
        </w:rPr>
        <w:t>历史上每次危机都证明了：长期成长空间大的行业中那些足够优秀的企业（负债低/自由现金流好/消费者粘性高/护城河深）能够扛过危机并且在未来为投资者提供更好的回报，危机是这些公司脱颖而出的机会。股市因为外部冲击下跌，投资者逐步买入优质的公司是提高长期回报率的主要方式。</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2020年二季度，我们对市场整体并不悲观，一方面国内疫情结束较早，经济金融恢复也会较早。另外我认为价格是非常重要的理由，毕竟A股和H股在全球主要市场来看PE/PB都是比较低的，尤其是考虑成长潜力就更加如此。中国在2016年开始去杠杆，资本市场经历了2016年和2018年两年比较大的调整，市场整体杠杆率下降较大，实体经济杠杆率也总体平稳。受到疫情冲击，全球经济增长速度势必放缓，预计企业盈利可能开始出现较大压力，未来市场一定会是分化较大的，一些受益疫情的公司可能会有短期弹性，一些短期受损但是长期竞争力不变或者强化的公司会有很好的长期买点出现。我们将持续关注互联网、软件服务、电子、消费品以及创新药等行业的优质上市公司。</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311,461,716.19</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82.67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311,461,716.19</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82.67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181,379.70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0.05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181,379.70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0.05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59,487,755.15</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15.79</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5,637,100.88</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1.50</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376,767,951.92</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7,248,000.00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2.02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3,248,000.00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0.90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126,550,932.33</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35.22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10,259,147.31</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2.85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3,764,347.40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51,293,591.87</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14.27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5,130,000.00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1.43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4,986,000.00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1.39</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1,959,513.78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0.55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11,385,000.00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3.17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4,359,000.00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1.21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230,183,532.69</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64.06</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tbl>
      <w:tblPr>
        <w:tblW w:type="dxa" w:w="8634"/>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2397"/>
        <w:gridCol w:w="3119"/>
        <w:gridCol w:w="3118"/>
      </w:tblGrid>
      <w:tr w:rsidR="00F51C4E" w:rsidRPr="00FF0BBF" w:rsidTr="00AD114B">
        <w:trPr>
          <w:jc w:val="center"/>
        </w:trPr>
        <w:tc>
          <w:tcPr>
            <w:tcW w:type="dxa" w:w="2397"/>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行业类别</w:t>
            </w:r>
            <w:r w:rsidRPr="00FF0BBF">
              <w:rPr>
                <w:color w:val="000000"/>
                <w:sz w:val="24"/>
              </w:rPr>
              <w:t/>
            </w:r>
          </w:p>
        </w:tc>
        <w:tc>
          <w:tcPr>
            <w:tcW w:type="dxa" w:w="3119"/>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公允价值（人民币）</w:t>
            </w:r>
          </w:p>
        </w:tc>
        <w:tc>
          <w:tcPr>
            <w:tcW w:type="dxa" w:w="3118"/>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占基金资产净值比例（</w:t>
            </w:r>
            <w:r w:rsidRPr="00FF0BBF">
              <w:rPr>
                <w:rFonts w:hint="eastAsia"/>
                <w:color w:val="000000"/>
                <w:sz w:val="24"/>
              </w:rPr>
              <w:t>%</w:t>
            </w:r>
            <w:r w:rsidRPr="00FF0BBF">
              <w:rPr>
                <w:rFonts w:hint="eastAsia"/>
                <w:color w:val="000000"/>
                <w:sz w:val="24"/>
              </w:rPr>
              <w:t>）</w:t>
            </w:r>
          </w:p>
        </w:tc>
      </w:tr>
      <w:tr>
        <w:tc>
          <w:tcPr>
            <w:vAlign w:val="center"/>
          </w:tcPr>
          <w:p>
            <w:pPr>
              <w:jc w:val="center"/>
            </w:pPr>
            <w:r>
              <w:rPr>
                <w:color w:val="000000"/>
                <w:sz w:val="24"/>
              </w:rPr>
              <w:t>房地产</w:t>
            </w:r>
          </w:p>
        </w:tc>
        <w:tc>
          <w:tcPr>
            <w:vAlign w:val="center"/>
          </w:tcPr>
          <w:p>
            <w:pPr>
              <w:jc w:val="center"/>
            </w:pPr>
            <w:r>
              <w:rPr>
                <w:color w:val="000000"/>
                <w:sz w:val="24"/>
              </w:rPr>
              <w:t>7,414,675.50</w:t>
            </w:r>
          </w:p>
        </w:tc>
        <w:tc>
          <w:tcPr>
            <w:vAlign w:val="center"/>
          </w:tcPr>
          <w:p>
            <w:pPr>
              <w:jc w:val="center"/>
            </w:pPr>
            <w:r>
              <w:rPr>
                <w:color w:val="000000"/>
                <w:sz w:val="24"/>
              </w:rPr>
              <w:t>2.06</w:t>
            </w:r>
          </w:p>
        </w:tc>
      </w:tr>
      <w:tr>
        <w:tc>
          <w:tcPr>
            <w:vAlign w:val="center"/>
          </w:tcPr>
          <w:p>
            <w:pPr>
              <w:jc w:val="center"/>
            </w:pPr>
            <w:r>
              <w:rPr>
                <w:color w:val="000000"/>
                <w:sz w:val="24"/>
              </w:rPr>
              <w:t>非日常生活消费品</w:t>
            </w:r>
          </w:p>
        </w:tc>
        <w:tc>
          <w:tcPr>
            <w:vAlign w:val="center"/>
          </w:tcPr>
          <w:p>
            <w:pPr>
              <w:jc w:val="center"/>
            </w:pPr>
            <w:r>
              <w:rPr>
                <w:color w:val="000000"/>
                <w:sz w:val="24"/>
              </w:rPr>
              <w:t>12,643,780.60</w:t>
            </w:r>
          </w:p>
        </w:tc>
        <w:tc>
          <w:tcPr>
            <w:vAlign w:val="center"/>
          </w:tcPr>
          <w:p>
            <w:pPr>
              <w:jc w:val="center"/>
            </w:pPr>
            <w:r>
              <w:rPr>
                <w:color w:val="000000"/>
                <w:sz w:val="24"/>
              </w:rPr>
              <w:t>3.52</w:t>
            </w:r>
          </w:p>
        </w:tc>
      </w:tr>
      <w:tr>
        <w:tc>
          <w:tcPr>
            <w:vAlign w:val="center"/>
          </w:tcPr>
          <w:p>
            <w:pPr>
              <w:jc w:val="center"/>
            </w:pPr>
            <w:r>
              <w:rPr>
                <w:color w:val="000000"/>
                <w:sz w:val="24"/>
              </w:rPr>
              <w:t>通讯服务</w:t>
            </w:r>
          </w:p>
        </w:tc>
        <w:tc>
          <w:tcPr>
            <w:vAlign w:val="center"/>
          </w:tcPr>
          <w:p>
            <w:pPr>
              <w:jc w:val="center"/>
            </w:pPr>
            <w:r>
              <w:rPr>
                <w:color w:val="000000"/>
                <w:sz w:val="24"/>
              </w:rPr>
              <w:t>30,570,209.12</w:t>
            </w:r>
          </w:p>
        </w:tc>
        <w:tc>
          <w:tcPr>
            <w:vAlign w:val="center"/>
          </w:tcPr>
          <w:p>
            <w:pPr>
              <w:jc w:val="center"/>
            </w:pPr>
            <w:r>
              <w:rPr>
                <w:color w:val="000000"/>
                <w:sz w:val="24"/>
              </w:rPr>
              <w:t>8.51</w:t>
            </w:r>
          </w:p>
        </w:tc>
      </w:tr>
      <w:tr>
        <w:tc>
          <w:tcPr>
            <w:vAlign w:val="center"/>
          </w:tcPr>
          <w:p>
            <w:pPr>
              <w:jc w:val="center"/>
            </w:pPr>
            <w:r>
              <w:rPr>
                <w:color w:val="000000"/>
                <w:sz w:val="24"/>
              </w:rPr>
              <w:t>信息技术</w:t>
            </w:r>
          </w:p>
        </w:tc>
        <w:tc>
          <w:tcPr>
            <w:vAlign w:val="center"/>
          </w:tcPr>
          <w:p>
            <w:pPr>
              <w:jc w:val="center"/>
            </w:pPr>
            <w:r>
              <w:rPr>
                <w:color w:val="000000"/>
                <w:sz w:val="24"/>
              </w:rPr>
              <w:t>21,703,481.58</w:t>
            </w:r>
          </w:p>
        </w:tc>
        <w:tc>
          <w:tcPr>
            <w:vAlign w:val="center"/>
          </w:tcPr>
          <w:p>
            <w:pPr>
              <w:jc w:val="center"/>
            </w:pPr>
            <w:r>
              <w:rPr>
                <w:color w:val="000000"/>
                <w:sz w:val="24"/>
              </w:rPr>
              <w:t>6.04</w:t>
            </w:r>
          </w:p>
        </w:tc>
      </w:tr>
      <w:tr>
        <w:tc>
          <w:tcPr>
            <w:vAlign w:val="center"/>
          </w:tcPr>
          <w:p>
            <w:pPr>
              <w:jc w:val="center"/>
            </w:pPr>
            <w:r>
              <w:rPr>
                <w:color w:val="000000"/>
                <w:sz w:val="24"/>
              </w:rPr>
              <w:t>医疗保健</w:t>
            </w:r>
          </w:p>
        </w:tc>
        <w:tc>
          <w:tcPr>
            <w:vAlign w:val="center"/>
          </w:tcPr>
          <w:p>
            <w:pPr>
              <w:jc w:val="center"/>
            </w:pPr>
            <w:r>
              <w:rPr>
                <w:color w:val="000000"/>
                <w:sz w:val="24"/>
              </w:rPr>
              <w:t>6,675,492.20</w:t>
            </w:r>
          </w:p>
        </w:tc>
        <w:tc>
          <w:tcPr>
            <w:vAlign w:val="center"/>
          </w:tcPr>
          <w:p>
            <w:pPr>
              <w:jc w:val="center"/>
            </w:pPr>
            <w:r>
              <w:rPr>
                <w:color w:val="000000"/>
                <w:sz w:val="24"/>
              </w:rPr>
              <w:t>1.86</w:t>
            </w:r>
          </w:p>
        </w:tc>
      </w:tr>
      <w:tr>
        <w:tc>
          <w:tcPr>
            <w:vAlign w:val="center"/>
          </w:tcPr>
          <w:p>
            <w:pPr>
              <w:jc w:val="center"/>
            </w:pPr>
            <w:r>
              <w:rPr>
                <w:color w:val="000000"/>
                <w:sz w:val="24"/>
              </w:rPr>
              <w:t>原材料</w:t>
            </w:r>
          </w:p>
        </w:tc>
        <w:tc>
          <w:tcPr>
            <w:vAlign w:val="center"/>
          </w:tcPr>
          <w:p>
            <w:pPr>
              <w:jc w:val="center"/>
            </w:pPr>
            <w:r>
              <w:rPr>
                <w:color w:val="000000"/>
                <w:sz w:val="24"/>
              </w:rPr>
              <w:t>2,270,544.50</w:t>
            </w:r>
          </w:p>
        </w:tc>
        <w:tc>
          <w:tcPr>
            <w:vAlign w:val="center"/>
          </w:tcPr>
          <w:p>
            <w:pPr>
              <w:jc w:val="center"/>
            </w:pPr>
            <w:r>
              <w:rPr>
                <w:color w:val="000000"/>
                <w:sz w:val="24"/>
              </w:rPr>
              <w:t>0.63</w:t>
            </w:r>
          </w:p>
        </w:tc>
      </w:tr>
      <w:tr w:rsidR="00F51C4E" w:rsidRPr="00FF0BBF" w:rsidTr="00AD114B">
        <w:trPr>
          <w:jc w:val="center"/>
        </w:trPr>
        <w:tc>
          <w:tcPr>
            <w:tcW w:type="dxa" w:w="2397"/>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合计</w:t>
            </w:r>
          </w:p>
        </w:tc>
        <w:tc>
          <w:tcPr>
            <w:tcW w:type="dxa" w:w="3119"/>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
            </w:r>
            <w:r w:rsidRPr="00FF0BBF">
              <w:rPr>
                <w:color w:val="000000"/>
                <w:sz w:val="24"/>
              </w:rPr>
              <w:t/>
            </w:r>
            <w:r w:rsidRPr="00FF0BBF">
              <w:rPr>
                <w:rFonts w:hint="eastAsia"/>
                <w:color w:val="000000"/>
                <w:sz w:val="24"/>
              </w:rPr>
              <w:t>81,278,183.50</w:t>
            </w:r>
          </w:p>
        </w:tc>
        <w:tc>
          <w:tcPr>
            <w:tcW w:type="dxa" w:w="3118"/>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
            </w:r>
            <w:r w:rsidRPr="00FF0BBF">
              <w:rPr>
                <w:color w:val="000000"/>
                <w:sz w:val="24"/>
              </w:rPr>
              <w:t/>
            </w:r>
            <w:r w:rsidRPr="00FF0BBF">
              <w:rPr>
                <w:rFonts w:hint="eastAsia"/>
                <w:color w:val="000000"/>
                <w:sz w:val="24"/>
              </w:rPr>
              <w:t>22.62</w:t>
            </w:r>
          </w:p>
        </w:tc>
      </w:tr>
    </w:tbl>
    <w:p w:rsidP="00F51C4E" w:rsidR="00F51C4E" w:rsidRDefault="00F51C4E">
      <w:pPr>
        <w:spacing w:before="29" w:line="360" w:lineRule="auto"/>
        <w:ind w:left="17"/>
        <w:rPr>
          <w:color w:val="000000"/>
          <w:sz w:val="24"/>
        </w:rPr>
      </w:pPr>
      <w:r w:rsidRPr="00FF0BBF">
        <w:rPr>
          <w:color w:val="000000"/>
          <w:sz w:val="24"/>
        </w:rPr>
        <w:t>注：以上分类采用全球行业分类标准（GICS）。</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00700.HK</w:t>
            </w:r>
          </w:p>
        </w:tc>
        <w:tc>
          <w:tcPr>
            <w:vAlign w:val="center"/>
          </w:tcPr>
          <w:p>
            <w:pPr>
              <w:jc w:val="center"/>
            </w:pPr>
            <w:r>
              <w:rPr>
                <w:color w:val="000000"/>
                <w:sz w:val="24"/>
                <w:szCs w:val="24"/>
              </w:rPr>
              <w:t>腾讯控股</w:t>
            </w:r>
          </w:p>
        </w:tc>
        <w:tc>
          <w:tcPr>
            <w:vAlign w:val="center"/>
          </w:tcPr>
          <w:p>
            <w:pPr>
              <w:jc w:val="right"/>
            </w:pPr>
            <w:r>
              <w:rPr>
                <w:color w:val="000000"/>
                <w:sz w:val="24"/>
                <w:szCs w:val="24"/>
              </w:rPr>
              <w:t>88,000</w:t>
            </w:r>
          </w:p>
        </w:tc>
        <w:tc>
          <w:tcPr>
            <w:vAlign w:val="center"/>
          </w:tcPr>
          <w:p>
            <w:pPr>
              <w:jc w:val="right"/>
            </w:pPr>
            <w:r>
              <w:rPr>
                <w:color w:val="000000"/>
                <w:sz w:val="24"/>
                <w:szCs w:val="24"/>
              </w:rPr>
              <w:t>30,570,209.12</w:t>
            </w:r>
          </w:p>
        </w:tc>
        <w:tc>
          <w:tcPr>
            <w:vAlign w:val="center"/>
          </w:tcPr>
          <w:p>
            <w:pPr>
              <w:jc w:val="right"/>
            </w:pPr>
            <w:r>
              <w:rPr>
                <w:color w:val="000000"/>
                <w:sz w:val="24"/>
                <w:szCs w:val="24"/>
              </w:rPr>
              <w:t>8.51</w:t>
            </w:r>
          </w:p>
        </w:tc>
      </w:tr>
      <w:tr>
        <w:tc>
          <w:tcPr>
            <w:vAlign w:val="center"/>
          </w:tcPr>
          <w:p>
            <w:pPr>
              <w:jc w:val="center"/>
            </w:pPr>
            <w:r>
              <w:rPr>
                <w:color w:val="000000"/>
                <w:sz w:val="24"/>
                <w:szCs w:val="24"/>
              </w:rPr>
              <w:t>2</w:t>
            </w:r>
          </w:p>
        </w:tc>
        <w:tc>
          <w:tcPr>
            <w:vAlign w:val="center"/>
          </w:tcPr>
          <w:p>
            <w:pPr>
              <w:jc w:val="center"/>
            </w:pPr>
            <w:r>
              <w:rPr>
                <w:color w:val="000000"/>
                <w:sz w:val="24"/>
                <w:szCs w:val="24"/>
              </w:rPr>
              <w:t>002216</w:t>
            </w:r>
          </w:p>
        </w:tc>
        <w:tc>
          <w:tcPr>
            <w:vAlign w:val="center"/>
          </w:tcPr>
          <w:p>
            <w:pPr>
              <w:jc w:val="center"/>
            </w:pPr>
            <w:r>
              <w:rPr>
                <w:color w:val="000000"/>
                <w:sz w:val="24"/>
                <w:szCs w:val="24"/>
              </w:rPr>
              <w:t>三全食品</w:t>
            </w:r>
          </w:p>
        </w:tc>
        <w:tc>
          <w:tcPr>
            <w:vAlign w:val="center"/>
          </w:tcPr>
          <w:p>
            <w:pPr>
              <w:jc w:val="right"/>
            </w:pPr>
            <w:r>
              <w:rPr>
                <w:color w:val="000000"/>
                <w:sz w:val="24"/>
                <w:szCs w:val="24"/>
              </w:rPr>
              <w:t>800,000</w:t>
            </w:r>
          </w:p>
        </w:tc>
        <w:tc>
          <w:tcPr>
            <w:vAlign w:val="center"/>
          </w:tcPr>
          <w:p>
            <w:pPr>
              <w:jc w:val="right"/>
            </w:pPr>
            <w:r>
              <w:rPr>
                <w:color w:val="000000"/>
                <w:sz w:val="24"/>
                <w:szCs w:val="24"/>
              </w:rPr>
              <w:t>16,152,000.00</w:t>
            </w:r>
          </w:p>
        </w:tc>
        <w:tc>
          <w:tcPr>
            <w:vAlign w:val="center"/>
          </w:tcPr>
          <w:p>
            <w:pPr>
              <w:jc w:val="right"/>
            </w:pPr>
            <w:r>
              <w:rPr>
                <w:color w:val="000000"/>
                <w:sz w:val="24"/>
                <w:szCs w:val="24"/>
              </w:rPr>
              <w:t>4.49</w:t>
            </w:r>
          </w:p>
        </w:tc>
      </w:tr>
      <w:tr>
        <w:tc>
          <w:tcPr>
            <w:vAlign w:val="center"/>
          </w:tcPr>
          <w:p>
            <w:pPr>
              <w:jc w:val="center"/>
            </w:pPr>
            <w:r>
              <w:rPr>
                <w:color w:val="000000"/>
                <w:sz w:val="24"/>
                <w:szCs w:val="24"/>
              </w:rPr>
              <w:t>3</w:t>
            </w:r>
          </w:p>
        </w:tc>
        <w:tc>
          <w:tcPr>
            <w:vAlign w:val="center"/>
          </w:tcPr>
          <w:p>
            <w:pPr>
              <w:jc w:val="center"/>
            </w:pPr>
            <w:r>
              <w:rPr>
                <w:color w:val="000000"/>
                <w:sz w:val="24"/>
                <w:szCs w:val="24"/>
              </w:rPr>
              <w:t>600529</w:t>
            </w:r>
          </w:p>
        </w:tc>
        <w:tc>
          <w:tcPr>
            <w:vAlign w:val="center"/>
          </w:tcPr>
          <w:p>
            <w:pPr>
              <w:jc w:val="center"/>
            </w:pPr>
            <w:r>
              <w:rPr>
                <w:color w:val="000000"/>
                <w:sz w:val="24"/>
                <w:szCs w:val="24"/>
              </w:rPr>
              <w:t>山东药玻</w:t>
            </w:r>
          </w:p>
        </w:tc>
        <w:tc>
          <w:tcPr>
            <w:vAlign w:val="center"/>
          </w:tcPr>
          <w:p>
            <w:pPr>
              <w:jc w:val="right"/>
            </w:pPr>
            <w:r>
              <w:rPr>
                <w:color w:val="000000"/>
                <w:sz w:val="24"/>
                <w:szCs w:val="24"/>
              </w:rPr>
              <w:t>399,996</w:t>
            </w:r>
          </w:p>
        </w:tc>
        <w:tc>
          <w:tcPr>
            <w:vAlign w:val="center"/>
          </w:tcPr>
          <w:p>
            <w:pPr>
              <w:jc w:val="right"/>
            </w:pPr>
            <w:r>
              <w:rPr>
                <w:color w:val="000000"/>
                <w:sz w:val="24"/>
                <w:szCs w:val="24"/>
              </w:rPr>
              <w:t>13,431,865.68</w:t>
            </w:r>
          </w:p>
        </w:tc>
        <w:tc>
          <w:tcPr>
            <w:vAlign w:val="center"/>
          </w:tcPr>
          <w:p>
            <w:pPr>
              <w:jc w:val="right"/>
            </w:pPr>
            <w:r>
              <w:rPr>
                <w:color w:val="000000"/>
                <w:sz w:val="24"/>
                <w:szCs w:val="24"/>
              </w:rPr>
              <w:t>3.74</w:t>
            </w:r>
          </w:p>
        </w:tc>
      </w:tr>
      <w:tr>
        <w:tc>
          <w:tcPr>
            <w:vAlign w:val="center"/>
          </w:tcPr>
          <w:p>
            <w:pPr>
              <w:jc w:val="center"/>
            </w:pPr>
            <w:r>
              <w:rPr>
                <w:color w:val="000000"/>
                <w:sz w:val="24"/>
                <w:szCs w:val="24"/>
              </w:rPr>
              <w:t>4</w:t>
            </w:r>
          </w:p>
        </w:tc>
        <w:tc>
          <w:tcPr>
            <w:vAlign w:val="center"/>
          </w:tcPr>
          <w:p>
            <w:pPr>
              <w:jc w:val="center"/>
            </w:pPr>
            <w:r>
              <w:rPr>
                <w:color w:val="000000"/>
                <w:sz w:val="24"/>
                <w:szCs w:val="24"/>
              </w:rPr>
              <w:t>603195</w:t>
            </w:r>
          </w:p>
        </w:tc>
        <w:tc>
          <w:tcPr>
            <w:vAlign w:val="center"/>
          </w:tcPr>
          <w:p>
            <w:pPr>
              <w:jc w:val="center"/>
            </w:pPr>
            <w:r>
              <w:rPr>
                <w:color w:val="000000"/>
                <w:sz w:val="24"/>
                <w:szCs w:val="24"/>
              </w:rPr>
              <w:t>公牛集团</w:t>
            </w:r>
          </w:p>
        </w:tc>
        <w:tc>
          <w:tcPr>
            <w:vAlign w:val="center"/>
          </w:tcPr>
          <w:p>
            <w:pPr>
              <w:jc w:val="right"/>
            </w:pPr>
            <w:r>
              <w:rPr>
                <w:color w:val="000000"/>
                <w:sz w:val="24"/>
                <w:szCs w:val="24"/>
              </w:rPr>
              <w:t>80,000</w:t>
            </w:r>
          </w:p>
        </w:tc>
        <w:tc>
          <w:tcPr>
            <w:vAlign w:val="center"/>
          </w:tcPr>
          <w:p>
            <w:pPr>
              <w:jc w:val="right"/>
            </w:pPr>
            <w:r>
              <w:rPr>
                <w:color w:val="000000"/>
                <w:sz w:val="24"/>
                <w:szCs w:val="24"/>
              </w:rPr>
              <w:t>12,397,600.00</w:t>
            </w:r>
          </w:p>
        </w:tc>
        <w:tc>
          <w:tcPr>
            <w:vAlign w:val="center"/>
          </w:tcPr>
          <w:p>
            <w:pPr>
              <w:jc w:val="right"/>
            </w:pPr>
            <w:r>
              <w:rPr>
                <w:color w:val="000000"/>
                <w:sz w:val="24"/>
                <w:szCs w:val="24"/>
              </w:rPr>
              <w:t>3.45</w:t>
            </w:r>
          </w:p>
        </w:tc>
      </w:tr>
      <w:tr>
        <w:tc>
          <w:tcPr>
            <w:vAlign w:val="center"/>
          </w:tcPr>
          <w:p>
            <w:pPr>
              <w:jc w:val="center"/>
            </w:pPr>
            <w:r>
              <w:rPr>
                <w:color w:val="000000"/>
                <w:sz w:val="24"/>
                <w:szCs w:val="24"/>
              </w:rPr>
              <w:t>5</w:t>
            </w:r>
          </w:p>
        </w:tc>
        <w:tc>
          <w:tcPr>
            <w:vAlign w:val="center"/>
          </w:tcPr>
          <w:p>
            <w:pPr>
              <w:jc w:val="center"/>
            </w:pPr>
            <w:r>
              <w:rPr>
                <w:color w:val="000000"/>
                <w:sz w:val="24"/>
                <w:szCs w:val="24"/>
              </w:rPr>
              <w:t>002607</w:t>
            </w:r>
          </w:p>
        </w:tc>
        <w:tc>
          <w:tcPr>
            <w:vAlign w:val="center"/>
          </w:tcPr>
          <w:p>
            <w:pPr>
              <w:jc w:val="center"/>
            </w:pPr>
            <w:r>
              <w:rPr>
                <w:color w:val="000000"/>
                <w:sz w:val="24"/>
                <w:szCs w:val="24"/>
              </w:rPr>
              <w:t>中公教育</w:t>
            </w:r>
          </w:p>
        </w:tc>
        <w:tc>
          <w:tcPr>
            <w:vAlign w:val="center"/>
          </w:tcPr>
          <w:p>
            <w:pPr>
              <w:jc w:val="right"/>
            </w:pPr>
            <w:r>
              <w:rPr>
                <w:color w:val="000000"/>
                <w:sz w:val="24"/>
                <w:szCs w:val="24"/>
              </w:rPr>
              <w:t>500,000</w:t>
            </w:r>
          </w:p>
        </w:tc>
        <w:tc>
          <w:tcPr>
            <w:vAlign w:val="center"/>
          </w:tcPr>
          <w:p>
            <w:pPr>
              <w:jc w:val="right"/>
            </w:pPr>
            <w:r>
              <w:rPr>
                <w:color w:val="000000"/>
                <w:sz w:val="24"/>
                <w:szCs w:val="24"/>
              </w:rPr>
              <w:t>11,385,000.00</w:t>
            </w:r>
          </w:p>
        </w:tc>
        <w:tc>
          <w:tcPr>
            <w:vAlign w:val="center"/>
          </w:tcPr>
          <w:p>
            <w:pPr>
              <w:jc w:val="right"/>
            </w:pPr>
            <w:r>
              <w:rPr>
                <w:color w:val="000000"/>
                <w:sz w:val="24"/>
                <w:szCs w:val="24"/>
              </w:rPr>
              <w:t>3.17</w:t>
            </w:r>
          </w:p>
        </w:tc>
      </w:tr>
      <w:tr>
        <w:tc>
          <w:tcPr>
            <w:vAlign w:val="center"/>
          </w:tcPr>
          <w:p>
            <w:pPr>
              <w:jc w:val="center"/>
            </w:pPr>
            <w:r>
              <w:rPr>
                <w:color w:val="000000"/>
                <w:sz w:val="24"/>
                <w:szCs w:val="24"/>
              </w:rPr>
              <w:t>6</w:t>
            </w:r>
          </w:p>
        </w:tc>
        <w:tc>
          <w:tcPr>
            <w:vAlign w:val="center"/>
          </w:tcPr>
          <w:p>
            <w:pPr>
              <w:jc w:val="center"/>
            </w:pPr>
            <w:r>
              <w:rPr>
                <w:color w:val="000000"/>
                <w:sz w:val="24"/>
                <w:szCs w:val="24"/>
              </w:rPr>
              <w:t>03888.HK</w:t>
            </w:r>
          </w:p>
        </w:tc>
        <w:tc>
          <w:tcPr>
            <w:vAlign w:val="center"/>
          </w:tcPr>
          <w:p>
            <w:pPr>
              <w:jc w:val="center"/>
            </w:pPr>
            <w:r>
              <w:rPr>
                <w:color w:val="000000"/>
                <w:sz w:val="24"/>
                <w:szCs w:val="24"/>
              </w:rPr>
              <w:t>金山软件</w:t>
            </w:r>
          </w:p>
        </w:tc>
        <w:tc>
          <w:tcPr>
            <w:vAlign w:val="center"/>
          </w:tcPr>
          <w:p>
            <w:pPr>
              <w:jc w:val="right"/>
            </w:pPr>
            <w:r>
              <w:rPr>
                <w:color w:val="000000"/>
                <w:sz w:val="24"/>
                <w:szCs w:val="24"/>
              </w:rPr>
              <w:t>478,000</w:t>
            </w:r>
          </w:p>
        </w:tc>
        <w:tc>
          <w:tcPr>
            <w:vAlign w:val="center"/>
          </w:tcPr>
          <w:p>
            <w:pPr>
              <w:jc w:val="right"/>
            </w:pPr>
            <w:r>
              <w:rPr>
                <w:color w:val="000000"/>
                <w:sz w:val="24"/>
                <w:szCs w:val="24"/>
              </w:rPr>
              <w:t>11,049,739.58</w:t>
            </w:r>
          </w:p>
        </w:tc>
        <w:tc>
          <w:tcPr>
            <w:vAlign w:val="center"/>
          </w:tcPr>
          <w:p>
            <w:pPr>
              <w:jc w:val="right"/>
            </w:pPr>
            <w:r>
              <w:rPr>
                <w:color w:val="000000"/>
                <w:sz w:val="24"/>
                <w:szCs w:val="24"/>
              </w:rPr>
              <w:t>3.07</w:t>
            </w:r>
          </w:p>
        </w:tc>
      </w:tr>
      <w:tr>
        <w:tc>
          <w:tcPr>
            <w:vAlign w:val="center"/>
          </w:tcPr>
          <w:p>
            <w:pPr>
              <w:jc w:val="center"/>
            </w:pPr>
            <w:r>
              <w:rPr>
                <w:color w:val="000000"/>
                <w:sz w:val="24"/>
                <w:szCs w:val="24"/>
              </w:rPr>
              <w:t>7</w:t>
            </w:r>
          </w:p>
        </w:tc>
        <w:tc>
          <w:tcPr>
            <w:vAlign w:val="center"/>
          </w:tcPr>
          <w:p>
            <w:pPr>
              <w:jc w:val="center"/>
            </w:pPr>
            <w:r>
              <w:rPr>
                <w:color w:val="000000"/>
                <w:sz w:val="24"/>
                <w:szCs w:val="24"/>
              </w:rPr>
              <w:t>03690.HK</w:t>
            </w:r>
          </w:p>
        </w:tc>
        <w:tc>
          <w:tcPr>
            <w:vAlign w:val="center"/>
          </w:tcPr>
          <w:p>
            <w:pPr>
              <w:jc w:val="center"/>
            </w:pPr>
            <w:r>
              <w:rPr>
                <w:color w:val="000000"/>
                <w:sz w:val="24"/>
                <w:szCs w:val="24"/>
              </w:rPr>
              <w:t>美团点评－Ｗ</w:t>
            </w:r>
          </w:p>
        </w:tc>
        <w:tc>
          <w:tcPr>
            <w:vAlign w:val="center"/>
          </w:tcPr>
          <w:p>
            <w:pPr>
              <w:jc w:val="right"/>
            </w:pPr>
            <w:r>
              <w:rPr>
                <w:color w:val="000000"/>
                <w:sz w:val="24"/>
                <w:szCs w:val="24"/>
              </w:rPr>
              <w:t>120,000</w:t>
            </w:r>
          </w:p>
        </w:tc>
        <w:tc>
          <w:tcPr>
            <w:vAlign w:val="center"/>
          </w:tcPr>
          <w:p>
            <w:pPr>
              <w:jc w:val="right"/>
            </w:pPr>
            <w:r>
              <w:rPr>
                <w:color w:val="000000"/>
                <w:sz w:val="24"/>
                <w:szCs w:val="24"/>
              </w:rPr>
              <w:t>10,268,160.60</w:t>
            </w:r>
          </w:p>
        </w:tc>
        <w:tc>
          <w:tcPr>
            <w:vAlign w:val="center"/>
          </w:tcPr>
          <w:p>
            <w:pPr>
              <w:jc w:val="right"/>
            </w:pPr>
            <w:r>
              <w:rPr>
                <w:color w:val="000000"/>
                <w:sz w:val="24"/>
                <w:szCs w:val="24"/>
              </w:rPr>
              <w:t>2.86</w:t>
            </w:r>
          </w:p>
        </w:tc>
      </w:tr>
      <w:tr>
        <w:tc>
          <w:tcPr>
            <w:vAlign w:val="center"/>
          </w:tcPr>
          <w:p>
            <w:pPr>
              <w:jc w:val="center"/>
            </w:pPr>
            <w:r>
              <w:rPr>
                <w:color w:val="000000"/>
                <w:sz w:val="24"/>
                <w:szCs w:val="24"/>
              </w:rPr>
              <w:t>8</w:t>
            </w:r>
          </w:p>
        </w:tc>
        <w:tc>
          <w:tcPr>
            <w:vAlign w:val="center"/>
          </w:tcPr>
          <w:p>
            <w:pPr>
              <w:jc w:val="center"/>
            </w:pPr>
            <w:r>
              <w:rPr>
                <w:color w:val="000000"/>
                <w:sz w:val="24"/>
                <w:szCs w:val="24"/>
              </w:rPr>
              <w:t>601933</w:t>
            </w:r>
          </w:p>
        </w:tc>
        <w:tc>
          <w:tcPr>
            <w:vAlign w:val="center"/>
          </w:tcPr>
          <w:p>
            <w:pPr>
              <w:jc w:val="center"/>
            </w:pPr>
            <w:r>
              <w:rPr>
                <w:color w:val="000000"/>
                <w:sz w:val="24"/>
                <w:szCs w:val="24"/>
              </w:rPr>
              <w:t>永辉超市</w:t>
            </w:r>
          </w:p>
        </w:tc>
        <w:tc>
          <w:tcPr>
            <w:vAlign w:val="center"/>
          </w:tcPr>
          <w:p>
            <w:pPr>
              <w:jc w:val="right"/>
            </w:pPr>
            <w:r>
              <w:rPr>
                <w:color w:val="000000"/>
                <w:sz w:val="24"/>
                <w:szCs w:val="24"/>
              </w:rPr>
              <w:t>1,000,000</w:t>
            </w:r>
          </w:p>
        </w:tc>
        <w:tc>
          <w:tcPr>
            <w:vAlign w:val="center"/>
          </w:tcPr>
          <w:p>
            <w:pPr>
              <w:jc w:val="right"/>
            </w:pPr>
            <w:r>
              <w:rPr>
                <w:color w:val="000000"/>
                <w:sz w:val="24"/>
                <w:szCs w:val="24"/>
              </w:rPr>
              <w:t>10,240,000.00</w:t>
            </w:r>
          </w:p>
        </w:tc>
        <w:tc>
          <w:tcPr>
            <w:vAlign w:val="center"/>
          </w:tcPr>
          <w:p>
            <w:pPr>
              <w:jc w:val="right"/>
            </w:pPr>
            <w:r>
              <w:rPr>
                <w:color w:val="000000"/>
                <w:sz w:val="24"/>
                <w:szCs w:val="24"/>
              </w:rPr>
              <w:t>2.85</w:t>
            </w:r>
          </w:p>
        </w:tc>
      </w:tr>
      <w:tr>
        <w:tc>
          <w:tcPr>
            <w:vAlign w:val="center"/>
          </w:tcPr>
          <w:p>
            <w:pPr>
              <w:jc w:val="center"/>
            </w:pPr>
            <w:r>
              <w:rPr>
                <w:color w:val="000000"/>
                <w:sz w:val="24"/>
                <w:szCs w:val="24"/>
              </w:rPr>
              <w:t>9</w:t>
            </w:r>
          </w:p>
        </w:tc>
        <w:tc>
          <w:tcPr>
            <w:vAlign w:val="center"/>
          </w:tcPr>
          <w:p>
            <w:pPr>
              <w:jc w:val="center"/>
            </w:pPr>
            <w:r>
              <w:rPr>
                <w:color w:val="000000"/>
                <w:sz w:val="24"/>
                <w:szCs w:val="24"/>
              </w:rPr>
              <w:t>02382.HK</w:t>
            </w:r>
          </w:p>
        </w:tc>
        <w:tc>
          <w:tcPr>
            <w:vAlign w:val="center"/>
          </w:tcPr>
          <w:p>
            <w:pPr>
              <w:jc w:val="center"/>
            </w:pPr>
            <w:r>
              <w:rPr>
                <w:color w:val="000000"/>
                <w:sz w:val="24"/>
                <w:szCs w:val="24"/>
              </w:rPr>
              <w:t>舜宇光学科技</w:t>
            </w:r>
          </w:p>
        </w:tc>
        <w:tc>
          <w:tcPr>
            <w:vAlign w:val="center"/>
          </w:tcPr>
          <w:p>
            <w:pPr>
              <w:jc w:val="right"/>
            </w:pPr>
            <w:r>
              <w:rPr>
                <w:color w:val="000000"/>
                <w:sz w:val="24"/>
                <w:szCs w:val="24"/>
              </w:rPr>
              <w:t>100,000</w:t>
            </w:r>
          </w:p>
        </w:tc>
        <w:tc>
          <w:tcPr>
            <w:vAlign w:val="center"/>
          </w:tcPr>
          <w:p>
            <w:pPr>
              <w:jc w:val="right"/>
            </w:pPr>
            <w:r>
              <w:rPr>
                <w:color w:val="000000"/>
                <w:sz w:val="24"/>
                <w:szCs w:val="24"/>
              </w:rPr>
              <w:t>9,539,028.00</w:t>
            </w:r>
          </w:p>
        </w:tc>
        <w:tc>
          <w:tcPr>
            <w:vAlign w:val="center"/>
          </w:tcPr>
          <w:p>
            <w:pPr>
              <w:jc w:val="right"/>
            </w:pPr>
            <w:r>
              <w:rPr>
                <w:color w:val="000000"/>
                <w:sz w:val="24"/>
                <w:szCs w:val="24"/>
              </w:rPr>
              <w:t>2.65</w:t>
            </w:r>
          </w:p>
        </w:tc>
      </w:tr>
      <w:tr>
        <w:tc>
          <w:tcPr>
            <w:vAlign w:val="center"/>
          </w:tcPr>
          <w:p>
            <w:pPr>
              <w:jc w:val="center"/>
            </w:pPr>
            <w:r>
              <w:rPr>
                <w:color w:val="000000"/>
                <w:sz w:val="24"/>
                <w:szCs w:val="24"/>
              </w:rPr>
              <w:t>10</w:t>
            </w:r>
          </w:p>
        </w:tc>
        <w:tc>
          <w:tcPr>
            <w:vAlign w:val="center"/>
          </w:tcPr>
          <w:p>
            <w:pPr>
              <w:jc w:val="center"/>
            </w:pPr>
            <w:r>
              <w:rPr>
                <w:color w:val="000000"/>
                <w:sz w:val="24"/>
                <w:szCs w:val="24"/>
              </w:rPr>
              <w:t>002271</w:t>
            </w:r>
          </w:p>
        </w:tc>
        <w:tc>
          <w:tcPr>
            <w:vAlign w:val="center"/>
          </w:tcPr>
          <w:p>
            <w:pPr>
              <w:jc w:val="center"/>
            </w:pPr>
            <w:r>
              <w:rPr>
                <w:color w:val="000000"/>
                <w:sz w:val="24"/>
                <w:szCs w:val="24"/>
              </w:rPr>
              <w:t>东方雨虹</w:t>
            </w:r>
          </w:p>
        </w:tc>
        <w:tc>
          <w:tcPr>
            <w:vAlign w:val="center"/>
          </w:tcPr>
          <w:p>
            <w:pPr>
              <w:jc w:val="right"/>
            </w:pPr>
            <w:r>
              <w:rPr>
                <w:color w:val="000000"/>
                <w:sz w:val="24"/>
                <w:szCs w:val="24"/>
              </w:rPr>
              <w:t>250,000</w:t>
            </w:r>
          </w:p>
        </w:tc>
        <w:tc>
          <w:tcPr>
            <w:vAlign w:val="center"/>
          </w:tcPr>
          <w:p>
            <w:pPr>
              <w:jc w:val="right"/>
            </w:pPr>
            <w:r>
              <w:rPr>
                <w:color w:val="000000"/>
                <w:sz w:val="24"/>
                <w:szCs w:val="24"/>
              </w:rPr>
              <w:t>8,507,500.00</w:t>
            </w:r>
          </w:p>
        </w:tc>
        <w:tc>
          <w:tcPr>
            <w:vAlign w:val="center"/>
          </w:tcPr>
          <w:p>
            <w:pPr>
              <w:jc w:val="right"/>
            </w:pPr>
            <w:r>
              <w:rPr>
                <w:color w:val="000000"/>
                <w:sz w:val="24"/>
                <w:szCs w:val="24"/>
              </w:rPr>
              <w:t>2.37</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181,379.70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0.05</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181,379.70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0.05</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128102</w:t>
            </w:r>
          </w:p>
        </w:tc>
        <w:tc>
          <w:tcPr>
            <w:vAlign w:val="center"/>
          </w:tcPr>
          <w:p>
            <w:pPr>
              <w:jc w:val="center"/>
            </w:pPr>
            <w:r>
              <w:rPr>
                <w:color w:val="000000"/>
                <w:sz w:val="24"/>
                <w:szCs w:val="24"/>
              </w:rPr>
              <w:t>海大转债</w:t>
            </w:r>
          </w:p>
        </w:tc>
        <w:tc>
          <w:tcPr>
            <w:vAlign w:val="center"/>
          </w:tcPr>
          <w:p>
            <w:pPr>
              <w:jc w:val="right"/>
            </w:pPr>
            <w:r>
              <w:rPr>
                <w:color w:val="000000"/>
                <w:sz w:val="24"/>
                <w:szCs w:val="24"/>
              </w:rPr>
              <w:t>1,791</w:t>
            </w:r>
          </w:p>
        </w:tc>
        <w:tc>
          <w:tcPr>
            <w:vAlign w:val="center"/>
          </w:tcPr>
          <w:p>
            <w:pPr>
              <w:jc w:val="right"/>
            </w:pPr>
            <w:r>
              <w:rPr>
                <w:color w:val="000000"/>
                <w:sz w:val="24"/>
                <w:szCs w:val="24"/>
              </w:rPr>
              <w:t>179,100.00</w:t>
            </w:r>
          </w:p>
        </w:tc>
        <w:tc>
          <w:tcPr>
            <w:vAlign w:val="center"/>
          </w:tcPr>
          <w:p>
            <w:pPr>
              <w:jc w:val="right"/>
            </w:pPr>
            <w:r>
              <w:rPr>
                <w:color w:val="000000"/>
                <w:sz w:val="24"/>
                <w:szCs w:val="24"/>
              </w:rPr>
              <w:t>0.05</w:t>
            </w:r>
          </w:p>
        </w:tc>
      </w:tr>
      <w:tr>
        <w:tc>
          <w:tcPr>
            <w:vAlign w:val="center"/>
          </w:tcPr>
          <w:p>
            <w:pPr>
              <w:jc w:val="center"/>
            </w:pPr>
            <w:r>
              <w:rPr>
                <w:color w:val="000000"/>
                <w:sz w:val="24"/>
                <w:szCs w:val="24"/>
              </w:rPr>
              <w:t>2</w:t>
            </w:r>
          </w:p>
        </w:tc>
        <w:tc>
          <w:tcPr>
            <w:vAlign w:val="center"/>
          </w:tcPr>
          <w:p>
            <w:pPr>
              <w:jc w:val="center"/>
            </w:pPr>
            <w:r>
              <w:rPr>
                <w:color w:val="000000"/>
                <w:sz w:val="24"/>
                <w:szCs w:val="24"/>
              </w:rPr>
              <w:t>128098</w:t>
            </w:r>
          </w:p>
        </w:tc>
        <w:tc>
          <w:tcPr>
            <w:vAlign w:val="center"/>
          </w:tcPr>
          <w:p>
            <w:pPr>
              <w:jc w:val="center"/>
            </w:pPr>
            <w:r>
              <w:rPr>
                <w:color w:val="000000"/>
                <w:sz w:val="24"/>
                <w:szCs w:val="24"/>
              </w:rPr>
              <w:t>康弘转债</w:t>
            </w:r>
          </w:p>
        </w:tc>
        <w:tc>
          <w:tcPr>
            <w:vAlign w:val="center"/>
          </w:tcPr>
          <w:p>
            <w:pPr>
              <w:jc w:val="right"/>
            </w:pPr>
            <w:r>
              <w:rPr>
                <w:color w:val="000000"/>
                <w:sz w:val="24"/>
                <w:szCs w:val="24"/>
              </w:rPr>
              <w:t>10</w:t>
            </w:r>
          </w:p>
        </w:tc>
        <w:tc>
          <w:tcPr>
            <w:vAlign w:val="center"/>
          </w:tcPr>
          <w:p>
            <w:pPr>
              <w:jc w:val="right"/>
            </w:pPr>
            <w:r>
              <w:rPr>
                <w:color w:val="000000"/>
                <w:sz w:val="24"/>
                <w:szCs w:val="24"/>
              </w:rPr>
              <w:t>1,279.70</w:t>
            </w:r>
          </w:p>
        </w:tc>
        <w:tc>
          <w:tcPr>
            <w:vAlign w:val="center"/>
          </w:tcPr>
          <w:p>
            <w:pPr>
              <w:jc w:val="right"/>
            </w:pPr>
            <w:r>
              <w:rPr>
                <w:color w:val="000000"/>
                <w:sz w:val="24"/>
                <w:szCs w:val="24"/>
              </w:rPr>
              <w:t>0.00</w:t>
            </w:r>
          </w:p>
        </w:tc>
      </w:tr>
      <w:tr>
        <w:tc>
          <w:tcPr>
            <w:vAlign w:val="center"/>
          </w:tcPr>
          <w:p>
            <w:pPr>
              <w:jc w:val="center"/>
            </w:pPr>
            <w:r>
              <w:rPr>
                <w:color w:val="000000"/>
                <w:sz w:val="24"/>
                <w:szCs w:val="24"/>
              </w:rPr>
              <w:t>3</w:t>
            </w:r>
          </w:p>
        </w:tc>
        <w:tc>
          <w:tcPr>
            <w:vAlign w:val="center"/>
          </w:tcPr>
          <w:p>
            <w:pPr>
              <w:jc w:val="center"/>
            </w:pPr>
            <w:r>
              <w:rPr>
                <w:color w:val="000000"/>
                <w:sz w:val="24"/>
                <w:szCs w:val="24"/>
              </w:rPr>
              <w:t>113569</w:t>
            </w:r>
          </w:p>
        </w:tc>
        <w:tc>
          <w:tcPr>
            <w:vAlign w:val="center"/>
          </w:tcPr>
          <w:p>
            <w:pPr>
              <w:jc w:val="center"/>
            </w:pPr>
            <w:r>
              <w:rPr>
                <w:color w:val="000000"/>
                <w:sz w:val="24"/>
                <w:szCs w:val="24"/>
              </w:rPr>
              <w:t>科达转债</w:t>
            </w:r>
          </w:p>
        </w:tc>
        <w:tc>
          <w:tcPr>
            <w:vAlign w:val="center"/>
          </w:tcPr>
          <w:p>
            <w:pPr>
              <w:jc w:val="right"/>
            </w:pPr>
            <w:r>
              <w:rPr>
                <w:color w:val="000000"/>
                <w:sz w:val="24"/>
                <w:szCs w:val="24"/>
              </w:rPr>
              <w:t>10</w:t>
            </w:r>
          </w:p>
        </w:tc>
        <w:tc>
          <w:tcPr>
            <w:vAlign w:val="center"/>
          </w:tcPr>
          <w:p>
            <w:pPr>
              <w:jc w:val="right"/>
            </w:pPr>
            <w:r>
              <w:rPr>
                <w:color w:val="000000"/>
                <w:sz w:val="24"/>
                <w:szCs w:val="24"/>
              </w:rPr>
              <w:t>1,000.00</w:t>
            </w:r>
          </w:p>
        </w:tc>
        <w:tc>
          <w:tcPr>
            <w:vAlign w:val="center"/>
          </w:tcPr>
          <w:p>
            <w:pPr>
              <w:jc w:val="right"/>
            </w:pPr>
            <w:r>
              <w:rPr>
                <w:color w:val="000000"/>
                <w:sz w:val="24"/>
                <w:szCs w:val="24"/>
              </w:rPr>
              <w:t>0.00</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430,899.99</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4,587,852.28</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6,360.15</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611,988.46</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5,637,100.88</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165,712,717.23</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122,953,927.83</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64,755,267.04</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223,911,378.02</w:t>
            </w:r>
          </w:p>
        </w:tc>
      </w:tr>
    </w:tbl>
    <w:p>
      <w:pPr>
        <w:autoSpaceDE w:val="0"/>
        <w:autoSpaceDN w:val="0"/>
        <w:adjustRightInd w:val="0"/>
        <w:spacing w:before="29" w:line="288" w:lineRule="auto"/>
        <w:jc w:val="left"/>
        <w:rPr>
          <w:color w:val="000000"/>
          <w:sz w:val="24"/>
          <w:szCs w:val="24"/>
        </w:rPr>
      </w:pPr>
      <w:r>
        <w:rPr>
          <w:color w:val="000000"/>
          <w:sz w:val="24"/>
          <w:szCs w:val="24"/>
        </w:rPr>
        <w:t>注：1、如果本报告期间发生转换入、红利再投业务，则总申购份额中包含该业务；</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1、中国证监会准予交银施罗德创新成长混合型证券投资基金募集注册的文件； </w:t>
      </w:r>
    </w:p>
    <w:p>
      <w:pPr>
        <w:spacing w:before="29" w:line="288" w:lineRule="auto"/>
        <w:ind w:firstLine="480" w:firstLineChars="200"/>
        <w:rPr>
          <w:color w:val="000000"/>
          <w:sz w:val="24"/>
          <w:szCs w:val="24"/>
        </w:rPr>
      </w:pPr>
      <w:r>
        <w:rPr>
          <w:color w:val="000000"/>
          <w:sz w:val="24"/>
          <w:szCs w:val="24"/>
        </w:rPr>
        <w:t xml:space="preserve">2、《交银施罗德创新成长混合型证券投资基金基金合同》；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3、《交银施罗德创新成长混合型证券投资基金招募说明书》；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4、《交银施罗德创新成长混合型证券投资基金托管协议》； </w:t>
      </w:r>
    </w:p>
    <w:p>
      <w:pPr>
        <w:spacing w:before="29" w:line="288" w:lineRule="auto"/>
        <w:ind w:firstLine="480" w:firstLineChars="200"/>
        <w:rPr>
          <w:color w:val="000000"/>
          <w:sz w:val="24"/>
          <w:szCs w:val="24"/>
        </w:rPr>
      </w:pPr>
      <w:r>
        <w:rPr>
          <w:color w:val="000000"/>
          <w:sz w:val="24"/>
          <w:szCs w:val="24"/>
        </w:rPr>
        <w:t xml:space="preserve">5、关于申请募集注册交银施罗德创新成长混合型证券投资基金的法律意见书；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8、报告期内交银施罗德创新成长混合型证券投资基金在指定报刊上各项公告的原稿。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交银施罗德创新成长混合型证券投资基金2020年第1季度报告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