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交银施罗德多策略回报灵活配置混合型证券投资基金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2020年第1季度报告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2020年3月31日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中国农业银行股份有限公司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二〇二〇年四月二十二日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基金托管人中国农业银行股份有限公司根据本基金合同规定，于2020年4月21日复核了本报告中的财务指标、净值表现和投资组合报告等内容，保证复核内容不存在虚假记载、误导性陈述或者重大遗漏。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本报告期自2020年1月1日起至3月31日止。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交银多策略回报灵活配置混合</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519755</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2015年6月2日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628,751,868.30</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本基金通过灵活运用多种投资策略，充分挖掘和利用市场中潜在的投资机会，在控制下行风险的前提下，力争为投资者提供长期稳健的投资回报。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50%×沪深300指数收益率+50%×中债综合全价指数收益率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交银多策略回报灵活配置混合A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交银多策略回报灵活配置混合C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519755</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519761</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509,904,288.57</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118,847,579.73</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(2020年1月1日-2020年3月31日)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交银多策略回报灵活配置混合A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交银多策略回报灵活配置混合C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12,166,959.71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3,759,760.58</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4,682,943.18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1,902,931.56</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0.0119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0.0154</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675,834,570.28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157,913,737.66</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1.325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1.329</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注：1、上述基金A类业绩指标不包括持有人认购或交易基金的各项费用，计入费用后的实际收益水平要低于所列数字；</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交银多策略回报灵活配置混合A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1.22%</w:t>
            </w:r>
          </w:p>
        </w:tc>
        <w:tc>
          <w:tcPr>
            <w:vAlign w:val="center"/>
          </w:tcPr>
          <w:p>
            <w:pPr>
              <w:jc w:val="center"/>
            </w:pPr>
            <w:r>
              <w:rPr>
                <w:color w:val="000000"/>
                <w:sz w:val="24"/>
              </w:rPr>
              <w:t>0.25%</w:t>
            </w:r>
          </w:p>
        </w:tc>
        <w:tc>
          <w:tcPr>
            <w:vAlign w:val="center"/>
          </w:tcPr>
          <w:p>
            <w:pPr>
              <w:jc w:val="center"/>
            </w:pPr>
            <w:r>
              <w:rPr>
                <w:color w:val="000000"/>
                <w:sz w:val="24"/>
              </w:rPr>
              <w:t>-3.98%</w:t>
            </w:r>
          </w:p>
        </w:tc>
        <w:tc>
          <w:tcPr>
            <w:vAlign w:val="center"/>
          </w:tcPr>
          <w:p>
            <w:pPr>
              <w:jc w:val="center"/>
            </w:pPr>
            <w:r>
              <w:rPr>
                <w:color w:val="000000"/>
                <w:sz w:val="24"/>
              </w:rPr>
              <w:t>0.95%</w:t>
            </w:r>
          </w:p>
        </w:tc>
        <w:tc>
          <w:tcPr>
            <w:vAlign w:val="center"/>
          </w:tcPr>
          <w:p>
            <w:pPr>
              <w:jc w:val="center"/>
            </w:pPr>
            <w:r>
              <w:rPr>
                <w:color w:val="000000"/>
                <w:sz w:val="24"/>
              </w:rPr>
              <w:t>5.20%</w:t>
            </w:r>
          </w:p>
        </w:tc>
        <w:tc>
          <w:tcPr>
            <w:vAlign w:val="center"/>
          </w:tcPr>
          <w:p>
            <w:pPr>
              <w:jc w:val="center"/>
            </w:pPr>
            <w:r>
              <w:rPr>
                <w:color w:val="000000"/>
                <w:sz w:val="24"/>
              </w:rPr>
              <w:t>-0.70%</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交银多策略回报灵活配置混合C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1.22%</w:t>
            </w:r>
          </w:p>
        </w:tc>
        <w:tc>
          <w:tcPr>
            <w:vAlign w:val="center"/>
          </w:tcPr>
          <w:p>
            <w:pPr>
              <w:jc w:val="center"/>
            </w:pPr>
            <w:r>
              <w:rPr>
                <w:color w:val="000000"/>
                <w:sz w:val="24"/>
              </w:rPr>
              <w:t>0.25%</w:t>
            </w:r>
          </w:p>
        </w:tc>
        <w:tc>
          <w:tcPr>
            <w:vAlign w:val="center"/>
          </w:tcPr>
          <w:p>
            <w:pPr>
              <w:jc w:val="center"/>
            </w:pPr>
            <w:r>
              <w:rPr>
                <w:color w:val="000000"/>
                <w:sz w:val="24"/>
              </w:rPr>
              <w:t>-3.98%</w:t>
            </w:r>
          </w:p>
        </w:tc>
        <w:tc>
          <w:tcPr>
            <w:vAlign w:val="center"/>
          </w:tcPr>
          <w:p>
            <w:pPr>
              <w:jc w:val="center"/>
            </w:pPr>
            <w:r>
              <w:rPr>
                <w:color w:val="000000"/>
                <w:sz w:val="24"/>
              </w:rPr>
              <w:t>0.95%</w:t>
            </w:r>
          </w:p>
        </w:tc>
        <w:tc>
          <w:tcPr>
            <w:vAlign w:val="center"/>
          </w:tcPr>
          <w:p>
            <w:pPr>
              <w:jc w:val="center"/>
            </w:pPr>
            <w:r>
              <w:rPr>
                <w:color w:val="000000"/>
                <w:sz w:val="24"/>
              </w:rPr>
              <w:t>5.20%</w:t>
            </w:r>
          </w:p>
        </w:tc>
        <w:tc>
          <w:tcPr>
            <w:vAlign w:val="center"/>
          </w:tcPr>
          <w:p>
            <w:pPr>
              <w:jc w:val="center"/>
            </w:pPr>
            <w:r>
              <w:rPr>
                <w:color w:val="000000"/>
                <w:sz w:val="24"/>
              </w:rPr>
              <w:t>-0.70%</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交银施罗德多策略回报灵活配置混合型证券投资基金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2015年6月2日</w:t>
      </w:r>
      <w:r w:rsidR="009A045B" w:rsidRPr="007F52FA">
        <w:rPr>
          <w:rFonts w:ascii="Times New Roman" w:hAnsi="Times New Roman"/>
          <w:sz w:val="24"/>
          <w:szCs w:val="24"/>
        </w:rPr>
        <w:t>至</w:t>
      </w:r>
      <w:r w:rsidRPr="007F52FA">
        <w:rPr>
          <w:rFonts w:ascii="Times New Roman" w:hAnsi="Times New Roman"/>
          <w:sz w:val="24"/>
          <w:szCs w:val="24"/>
        </w:rPr>
        <w:t>2020年3月31日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交银多策略回报灵活配置混合A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注：图示日期为2015年6月2日至2020年3月31日。本基金建仓期为自基金合同生效日起的6个月。截至建仓期结束，本基金各项资产配置比例符合基金合同及招募说明书有关投资比例的约定。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交银多策略回报灵活配置混合C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注：本基金自2015年11月19日起，开始销售C类份额，投资者提交的申购申请于2015年11月20日被确认并将有效份额登记在册。图示日期为2015年11月20日至2020年3月31日。</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李娜</w:t>
            </w:r>
          </w:p>
        </w:tc>
        <w:tc>
          <w:tcPr>
            <w:vAlign w:val="center"/>
          </w:tcPr>
          <w:p>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vAlign w:val="center"/>
          </w:tcPr>
          <w:p>
            <w:pPr>
              <w:jc w:val="center"/>
            </w:pPr>
            <w:r>
              <w:rPr>
                <w:color w:val="000000"/>
                <w:sz w:val="24"/>
              </w:rPr>
              <w:t>2015-08-04</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李娜女士，美国宾夕法尼亚大学应用数学与计算科学硕士。历任国泰基金管理有限公司研究员。2012年加入交银施罗德基金管理有限公司，历任债券分析师、基金经理助理。2017年3月2日至2018年4月10日担任交银施罗德瑞安定期开放灵活配置混合型证券投资基金基金经理。2017年2月24日至2018年7月18日担任交银施罗德瑞利定期开放灵活配置混合型证券投资基金的基金经理。2017年3月31日至2018年8月23日担任交银施罗德启通灵活配置混合型证券投资基金的基金经理。2016年12月21日至2018年11月16日担任交银施罗德瑞景定期开放灵活配置混合型证券投资基金的基金经理。2016年2月17日至2018年12月7日担任交银施罗德卓越回报灵活配置混合型证券投资基金的基金经理。2016年9月13日至2019年1月21日担任交银施罗德领先回报灵活配置混合型证券投资基金的基金经理。</w:t>
            </w:r>
          </w:p>
        </w:tc>
      </w:tr>
      <w:tr>
        <w:tc>
          <w:tcPr>
            <w:vAlign w:val="center"/>
          </w:tcPr>
          <w:p>
            <w:pPr>
              <w:jc w:val="center"/>
            </w:pPr>
            <w:r>
              <w:rPr>
                <w:color w:val="000000"/>
                <w:sz w:val="24"/>
              </w:rPr>
              <w:t>凌超</w:t>
            </w:r>
          </w:p>
        </w:tc>
        <w:tc>
          <w:tcPr>
            <w:vAlign w:val="center"/>
          </w:tcPr>
          <w:p>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rPr>
              <w:t>2019-07-20</w:t>
            </w:r>
          </w:p>
        </w:tc>
        <w:tc>
          <w:tcPr>
            <w:vAlign w:val="center"/>
          </w:tcPr>
          <w:p>
            <w:pPr>
              <w:jc w:val="center"/>
            </w:pPr>
            <w:r>
              <w:rPr>
                <w:color w:val="000000"/>
                <w:sz w:val="24"/>
              </w:rPr>
              <w:t>-</w:t>
            </w:r>
          </w:p>
        </w:tc>
        <w:tc>
          <w:tcPr>
            <w:vAlign w:val="center"/>
          </w:tcPr>
          <w:p>
            <w:pPr>
              <w:jc w:val="center"/>
            </w:pPr>
            <w:r>
              <w:rPr>
                <w:color w:val="000000"/>
                <w:sz w:val="24"/>
              </w:rPr>
              <w:t>14年</w:t>
            </w:r>
          </w:p>
        </w:tc>
        <w:tc>
          <w:tcPr>
            <w:vAlign w:val="center"/>
          </w:tcPr>
          <w:p>
            <w:pPr>
              <w:jc w:val="both"/>
            </w:pPr>
            <w:r>
              <w:rPr>
                <w:color w:val="000000"/>
                <w:sz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市场受资金面宽裕、新冠疫情等因素影响，收益率呈现趋势下行走势。一月，因市场资金面相对宽裕，债市基本维持平稳，新冠疫情开始出现，并在下半月开始日趋严重；二月伊始，国内疫情发酵，在市场资金面宽裕的背景下，债市收益率开始不断下行；进入三月，资金面进一步宽松，虽然国内疫情逐步缓解，但国外新冠疫情开始逐步发酵，全球央行开始普遍降息，受其影响债券收益率逐步降至年内低位，全月维持低位震荡。</w:t>
      </w:r>
    </w:p>
    <w:p>
      <w:pPr>
        <w:spacing w:before="29" w:line="288" w:lineRule="auto"/>
        <w:ind w:firstLine="480" w:firstLineChars="200"/>
        <w:rPr>
          <w:color w:val="000000"/>
          <w:sz w:val="24"/>
        </w:rPr>
      </w:pPr>
      <w:r>
        <w:rPr>
          <w:color w:val="000000"/>
          <w:sz w:val="24"/>
        </w:rPr>
        <w:t>一季度，权益市场前期走势较为良好，在新冠疫情逐步发酵后，出现危机式下跌模式，国际主要指数跌幅均超过20%以上，由于国内疫情控制相对及时果断，主要指数跌幅相对较少。一月，科技、传媒以及新能源车板块表现突出，二月国内新冠疫情冲击应对措施及时果断，对市场也相对冲击短暂，科技类品种依然表现亮眼。步入三月之后，国外疫情开始逐步发酵并且形势急剧恶化，主要国家股指均出现危机式快速大幅下跌，国内指数也受其情绪影响和对经济的担忧出现同步回落，但总体回落幅度相对较小，前期涨幅较大的科技类、新能源车板块出现较大幅度回调。</w:t>
      </w:r>
    </w:p>
    <w:p>
      <w:pPr>
        <w:spacing w:before="29" w:line="288" w:lineRule="auto"/>
        <w:ind w:firstLine="480" w:firstLineChars="200"/>
        <w:rPr>
          <w:color w:val="000000"/>
          <w:sz w:val="24"/>
        </w:rPr>
      </w:pPr>
      <w:r>
        <w:rPr>
          <w:color w:val="000000"/>
          <w:sz w:val="24"/>
        </w:rPr>
        <w:t>在基金操作中，债券部分我们维持中短久期高等级信用债的底仓配置，以获取稳定的票息收益。权益方面，随着市场波动率的加大，对新冠疫情冲击较大的部分传统行业和前期涨幅较大科技类品种进行了及时规避，持仓比例和品种更加趋于稳健。此外，组合积极参与权益及转债的一级申购，以增厚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二季度，在新冠疫情的冲击下，国内外经济均面临较为严峻的冲击，无论是企业还是民众的生活压力都有明显上升，宏观逆周期调控政策发力迫在眉睫。资金面维持宽松的格局下，如何传导到实体经济，解决经济增长困境和缓解就业压力将是二季度政府的主要工作重点和目标。考虑到债券收益率受疫情悲观预期影响已经处于历史低位附近，加之逆周期调控政策的逐步推出，市场悲观情绪或会有所缓和，因此我们对二季度债券市场维持低位震荡的观点，维持底仓配置中短久期高等级信用债品种，以获取票息收益，并根据市场变化动态调整组合久期。权益方面，我们将继续维持稳健品种配置，并在行业的选择中，持续关注新冠疫情对各行业的冲击影响及其受冲击程度和后期逐步恢复的情况。同时积极关注逆周期调控政策发力背景下可能受益板块的相关投资机会。我们将继续积极参加权益及转债的一级申购，以期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82,761,603.01</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9.72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82,761,603.01</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9.72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744,076,342.70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87.43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744,076,342.70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87.43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7,749,211.43</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0.91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16,446,308.17</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1.93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851,033,465.31</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1A5E45" w:rsidR="005F69E7" w:rsidRDefault="001A5E45" w:rsidRPr="005F69E7">
      <w:pPr>
        <w:jc w:val="right"/>
        <w:rPr>
          <w:sz w:val="24"/>
        </w:rPr>
      </w:pPr>
      <w:r w:rsidRPr="001A5E45">
        <w:rPr>
          <w:rFonts w:hint="eastAsia"/>
          <w:sz w:val="24"/>
        </w:rPr>
        <w:t/>
      </w:r>
      <w:r w:rsidRPr="001A5E45">
        <w:rPr>
          <w:rFonts w:hint="eastAsia"/>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firstColumn="0" w:firstRow="0" w:lastColumn="0" w:lastRow="0" w:noHBand="0" w:noVBand="0"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1A5E45" w:rsidRPr="007F52FA">
            <w:pPr>
              <w:adjustRightInd w:val="0"/>
              <w:snapToGrid w:val="0"/>
              <w:spacing w:before="29" w:line="288" w:lineRule="auto"/>
              <w:jc w:val="center"/>
              <w:rPr>
                <w:sz w:val="24"/>
              </w:rPr>
            </w:pPr>
            <w:r>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3,287,060.00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0.39</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9,713,459.86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1.17</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4,989,249.00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0.60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3,736,267.31</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0.45</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10,242,438.16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1.23</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900,673.32</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0.11</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32,793,093.97</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3.93</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17,081,808.41</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2.05</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17,552.98</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0.00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82,761,603.01</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9.93</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4,453,133</w:t>
            </w:r>
          </w:p>
        </w:tc>
        <w:tc>
          <w:tcPr>
            <w:vAlign w:val="center"/>
          </w:tcPr>
          <w:p>
            <w:pPr>
              <w:jc w:val="right"/>
            </w:pPr>
            <w:r>
              <w:rPr>
                <w:color w:val="000000"/>
                <w:sz w:val="24"/>
              </w:rPr>
              <w:t>22,933,634.95</w:t>
            </w:r>
          </w:p>
        </w:tc>
        <w:tc>
          <w:tcPr>
            <w:vAlign w:val="center"/>
          </w:tcPr>
          <w:p>
            <w:pPr>
              <w:jc w:val="right"/>
            </w:pPr>
            <w:r>
              <w:rPr>
                <w:color w:val="000000"/>
                <w:sz w:val="24"/>
              </w:rPr>
              <w:t>2.75</w:t>
            </w:r>
          </w:p>
        </w:tc>
      </w:tr>
      <w:tr>
        <w:tc>
          <w:tcPr>
            <w:vAlign w:val="center"/>
          </w:tcPr>
          <w:p>
            <w:pPr>
              <w:jc w:val="center"/>
            </w:pPr>
            <w:r>
              <w:rPr>
                <w:color w:val="000000"/>
                <w:sz w:val="24"/>
              </w:rPr>
              <w:t>2</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1,148,743</w:t>
            </w:r>
          </w:p>
        </w:tc>
        <w:tc>
          <w:tcPr>
            <w:vAlign w:val="center"/>
          </w:tcPr>
          <w:p>
            <w:pPr>
              <w:jc w:val="right"/>
            </w:pPr>
            <w:r>
              <w:rPr>
                <w:color w:val="000000"/>
                <w:sz w:val="24"/>
              </w:rPr>
              <w:t>17,081,808.41</w:t>
            </w:r>
          </w:p>
        </w:tc>
        <w:tc>
          <w:tcPr>
            <w:vAlign w:val="center"/>
          </w:tcPr>
          <w:p>
            <w:pPr>
              <w:jc w:val="right"/>
            </w:pPr>
            <w:r>
              <w:rPr>
                <w:color w:val="000000"/>
                <w:sz w:val="24"/>
              </w:rPr>
              <w:t>2.05</w:t>
            </w:r>
          </w:p>
        </w:tc>
      </w:tr>
      <w:tr>
        <w:tc>
          <w:tcPr>
            <w:vAlign w:val="center"/>
          </w:tcPr>
          <w:p>
            <w:pPr>
              <w:jc w:val="center"/>
            </w:pPr>
            <w:r>
              <w:rPr>
                <w:color w:val="000000"/>
                <w:sz w:val="24"/>
              </w:rPr>
              <w:t>3</w:t>
            </w:r>
          </w:p>
        </w:tc>
        <w:tc>
          <w:tcPr>
            <w:vAlign w:val="center"/>
          </w:tcPr>
          <w:p>
            <w:pPr>
              <w:jc w:val="center"/>
            </w:pPr>
            <w:r>
              <w:rPr>
                <w:color w:val="000000"/>
                <w:sz w:val="24"/>
              </w:rPr>
              <w:t>001965</w:t>
            </w:r>
          </w:p>
        </w:tc>
        <w:tc>
          <w:tcPr>
            <w:vAlign w:val="center"/>
          </w:tcPr>
          <w:p>
            <w:pPr>
              <w:jc w:val="center"/>
            </w:pPr>
            <w:r>
              <w:rPr>
                <w:color w:val="000000"/>
                <w:sz w:val="24"/>
              </w:rPr>
              <w:t>招商公路</w:t>
            </w:r>
          </w:p>
        </w:tc>
        <w:tc>
          <w:tcPr>
            <w:vAlign w:val="center"/>
          </w:tcPr>
          <w:p>
            <w:pPr>
              <w:jc w:val="right"/>
            </w:pPr>
            <w:r>
              <w:rPr>
                <w:color w:val="000000"/>
                <w:sz w:val="24"/>
              </w:rPr>
              <w:t>1,110,400</w:t>
            </w:r>
          </w:p>
        </w:tc>
        <w:tc>
          <w:tcPr>
            <w:vAlign w:val="center"/>
          </w:tcPr>
          <w:p>
            <w:pPr>
              <w:jc w:val="right"/>
            </w:pPr>
            <w:r>
              <w:rPr>
                <w:color w:val="000000"/>
                <w:sz w:val="24"/>
              </w:rPr>
              <w:t>7,695,072.00</w:t>
            </w:r>
          </w:p>
        </w:tc>
        <w:tc>
          <w:tcPr>
            <w:vAlign w:val="center"/>
          </w:tcPr>
          <w:p>
            <w:pPr>
              <w:jc w:val="right"/>
            </w:pPr>
            <w:r>
              <w:rPr>
                <w:color w:val="000000"/>
                <w:sz w:val="24"/>
              </w:rPr>
              <w:t>0.92</w:t>
            </w:r>
          </w:p>
        </w:tc>
      </w:tr>
      <w:tr>
        <w:tc>
          <w:tcPr>
            <w:vAlign w:val="center"/>
          </w:tcPr>
          <w:p>
            <w:pPr>
              <w:jc w:val="center"/>
            </w:pPr>
            <w:r>
              <w:rPr>
                <w:color w:val="000000"/>
                <w:sz w:val="24"/>
              </w:rPr>
              <w:t>4</w:t>
            </w:r>
          </w:p>
        </w:tc>
        <w:tc>
          <w:tcPr>
            <w:vAlign w:val="center"/>
          </w:tcPr>
          <w:p>
            <w:pPr>
              <w:jc w:val="center"/>
            </w:pPr>
            <w:r>
              <w:rPr>
                <w:color w:val="000000"/>
                <w:sz w:val="24"/>
              </w:rPr>
              <w:t>601628</w:t>
            </w:r>
          </w:p>
        </w:tc>
        <w:tc>
          <w:tcPr>
            <w:vAlign w:val="center"/>
          </w:tcPr>
          <w:p>
            <w:pPr>
              <w:jc w:val="center"/>
            </w:pPr>
            <w:r>
              <w:rPr>
                <w:color w:val="000000"/>
                <w:sz w:val="24"/>
              </w:rPr>
              <w:t>中国人寿</w:t>
            </w:r>
          </w:p>
        </w:tc>
        <w:tc>
          <w:tcPr>
            <w:vAlign w:val="center"/>
          </w:tcPr>
          <w:p>
            <w:pPr>
              <w:jc w:val="right"/>
            </w:pPr>
            <w:r>
              <w:rPr>
                <w:color w:val="000000"/>
                <w:sz w:val="24"/>
              </w:rPr>
              <w:t>148,300</w:t>
            </w:r>
          </w:p>
        </w:tc>
        <w:tc>
          <w:tcPr>
            <w:vAlign w:val="center"/>
          </w:tcPr>
          <w:p>
            <w:pPr>
              <w:jc w:val="right"/>
            </w:pPr>
            <w:r>
              <w:rPr>
                <w:color w:val="000000"/>
                <w:sz w:val="24"/>
              </w:rPr>
              <w:t>3,906,222.00</w:t>
            </w:r>
          </w:p>
        </w:tc>
        <w:tc>
          <w:tcPr>
            <w:vAlign w:val="center"/>
          </w:tcPr>
          <w:p>
            <w:pPr>
              <w:jc w:val="right"/>
            </w:pPr>
            <w:r>
              <w:rPr>
                <w:color w:val="000000"/>
                <w:sz w:val="24"/>
              </w:rPr>
              <w:t>0.47</w:t>
            </w:r>
          </w:p>
        </w:tc>
      </w:tr>
      <w:tr>
        <w:tc>
          <w:tcPr>
            <w:vAlign w:val="center"/>
          </w:tcPr>
          <w:p>
            <w:pPr>
              <w:jc w:val="center"/>
            </w:pPr>
            <w:r>
              <w:rPr>
                <w:color w:val="000000"/>
                <w:sz w:val="24"/>
              </w:rPr>
              <w:t>5</w:t>
            </w:r>
          </w:p>
        </w:tc>
        <w:tc>
          <w:tcPr>
            <w:vAlign w:val="center"/>
          </w:tcPr>
          <w:p>
            <w:pPr>
              <w:jc w:val="center"/>
            </w:pPr>
            <w:r>
              <w:rPr>
                <w:color w:val="000000"/>
                <w:sz w:val="24"/>
              </w:rPr>
              <w:t>601933</w:t>
            </w:r>
          </w:p>
        </w:tc>
        <w:tc>
          <w:tcPr>
            <w:vAlign w:val="center"/>
          </w:tcPr>
          <w:p>
            <w:pPr>
              <w:jc w:val="center"/>
            </w:pPr>
            <w:r>
              <w:rPr>
                <w:color w:val="000000"/>
                <w:sz w:val="24"/>
              </w:rPr>
              <w:t>永辉超市</w:t>
            </w:r>
          </w:p>
        </w:tc>
        <w:tc>
          <w:tcPr>
            <w:vAlign w:val="center"/>
          </w:tcPr>
          <w:p>
            <w:pPr>
              <w:jc w:val="right"/>
            </w:pPr>
            <w:r>
              <w:rPr>
                <w:color w:val="000000"/>
                <w:sz w:val="24"/>
              </w:rPr>
              <w:t>363,000</w:t>
            </w:r>
          </w:p>
        </w:tc>
        <w:tc>
          <w:tcPr>
            <w:vAlign w:val="center"/>
          </w:tcPr>
          <w:p>
            <w:pPr>
              <w:jc w:val="right"/>
            </w:pPr>
            <w:r>
              <w:rPr>
                <w:color w:val="000000"/>
                <w:sz w:val="24"/>
              </w:rPr>
              <w:t>3,717,120.00</w:t>
            </w:r>
          </w:p>
        </w:tc>
        <w:tc>
          <w:tcPr>
            <w:vAlign w:val="center"/>
          </w:tcPr>
          <w:p>
            <w:pPr>
              <w:jc w:val="right"/>
            </w:pPr>
            <w:r>
              <w:rPr>
                <w:color w:val="000000"/>
                <w:sz w:val="24"/>
              </w:rPr>
              <w:t>0.45</w:t>
            </w:r>
          </w:p>
        </w:tc>
      </w:tr>
      <w:tr>
        <w:tc>
          <w:tcPr>
            <w:vAlign w:val="center"/>
          </w:tcPr>
          <w:p>
            <w:pPr>
              <w:jc w:val="center"/>
            </w:pPr>
            <w:r>
              <w:rPr>
                <w:color w:val="000000"/>
                <w:sz w:val="24"/>
              </w:rPr>
              <w:t>6</w:t>
            </w:r>
          </w:p>
        </w:tc>
        <w:tc>
          <w:tcPr>
            <w:vAlign w:val="center"/>
          </w:tcPr>
          <w:p>
            <w:pPr>
              <w:jc w:val="center"/>
            </w:pPr>
            <w:r>
              <w:rPr>
                <w:color w:val="000000"/>
                <w:sz w:val="24"/>
              </w:rPr>
              <w:t>000538</w:t>
            </w:r>
          </w:p>
        </w:tc>
        <w:tc>
          <w:tcPr>
            <w:vAlign w:val="center"/>
          </w:tcPr>
          <w:p>
            <w:pPr>
              <w:jc w:val="center"/>
            </w:pPr>
            <w:r>
              <w:rPr>
                <w:color w:val="000000"/>
                <w:sz w:val="24"/>
              </w:rPr>
              <w:t>云南白药</w:t>
            </w:r>
          </w:p>
        </w:tc>
        <w:tc>
          <w:tcPr>
            <w:vAlign w:val="center"/>
          </w:tcPr>
          <w:p>
            <w:pPr>
              <w:jc w:val="right"/>
            </w:pPr>
            <w:r>
              <w:rPr>
                <w:color w:val="000000"/>
                <w:sz w:val="24"/>
              </w:rPr>
              <w:t>39,912</w:t>
            </w:r>
          </w:p>
        </w:tc>
        <w:tc>
          <w:tcPr>
            <w:vAlign w:val="center"/>
          </w:tcPr>
          <w:p>
            <w:pPr>
              <w:jc w:val="right"/>
            </w:pPr>
            <w:r>
              <w:rPr>
                <w:color w:val="000000"/>
                <w:sz w:val="24"/>
              </w:rPr>
              <w:t>3,414,471.60</w:t>
            </w:r>
          </w:p>
        </w:tc>
        <w:tc>
          <w:tcPr>
            <w:vAlign w:val="center"/>
          </w:tcPr>
          <w:p>
            <w:pPr>
              <w:jc w:val="right"/>
            </w:pPr>
            <w:r>
              <w:rPr>
                <w:color w:val="000000"/>
                <w:sz w:val="24"/>
              </w:rPr>
              <w:t>0.41</w:t>
            </w:r>
          </w:p>
        </w:tc>
      </w:tr>
      <w:tr>
        <w:tc>
          <w:tcPr>
            <w:vAlign w:val="center"/>
          </w:tcPr>
          <w:p>
            <w:pPr>
              <w:jc w:val="center"/>
            </w:pPr>
            <w:r>
              <w:rPr>
                <w:color w:val="000000"/>
                <w:sz w:val="24"/>
              </w:rPr>
              <w:t>7</w:t>
            </w:r>
          </w:p>
        </w:tc>
        <w:tc>
          <w:tcPr>
            <w:vAlign w:val="center"/>
          </w:tcPr>
          <w:p>
            <w:pPr>
              <w:jc w:val="center"/>
            </w:pPr>
            <w:r>
              <w:rPr>
                <w:color w:val="000000"/>
                <w:sz w:val="24"/>
              </w:rPr>
              <w:t>600028</w:t>
            </w:r>
          </w:p>
        </w:tc>
        <w:tc>
          <w:tcPr>
            <w:vAlign w:val="center"/>
          </w:tcPr>
          <w:p>
            <w:pPr>
              <w:jc w:val="center"/>
            </w:pPr>
            <w:r>
              <w:rPr>
                <w:color w:val="000000"/>
                <w:sz w:val="24"/>
              </w:rPr>
              <w:t>中国石化</w:t>
            </w:r>
          </w:p>
        </w:tc>
        <w:tc>
          <w:tcPr>
            <w:vAlign w:val="center"/>
          </w:tcPr>
          <w:p>
            <w:pPr>
              <w:jc w:val="right"/>
            </w:pPr>
            <w:r>
              <w:rPr>
                <w:color w:val="000000"/>
                <w:sz w:val="24"/>
              </w:rPr>
              <w:t>742,000</w:t>
            </w:r>
          </w:p>
        </w:tc>
        <w:tc>
          <w:tcPr>
            <w:vAlign w:val="center"/>
          </w:tcPr>
          <w:p>
            <w:pPr>
              <w:jc w:val="right"/>
            </w:pPr>
            <w:r>
              <w:rPr>
                <w:color w:val="000000"/>
                <w:sz w:val="24"/>
              </w:rPr>
              <w:t>3,287,060.00</w:t>
            </w:r>
          </w:p>
        </w:tc>
        <w:tc>
          <w:tcPr>
            <w:vAlign w:val="center"/>
          </w:tcPr>
          <w:p>
            <w:pPr>
              <w:jc w:val="right"/>
            </w:pPr>
            <w:r>
              <w:rPr>
                <w:color w:val="000000"/>
                <w:sz w:val="24"/>
              </w:rPr>
              <w:t>0.39</w:t>
            </w:r>
          </w:p>
        </w:tc>
      </w:tr>
      <w:tr>
        <w:tc>
          <w:tcPr>
            <w:vAlign w:val="center"/>
          </w:tcPr>
          <w:p>
            <w:pPr>
              <w:jc w:val="center"/>
            </w:pPr>
            <w:r>
              <w:rPr>
                <w:color w:val="000000"/>
                <w:sz w:val="24"/>
              </w:rPr>
              <w:t>8</w:t>
            </w:r>
          </w:p>
        </w:tc>
        <w:tc>
          <w:tcPr>
            <w:vAlign w:val="center"/>
          </w:tcPr>
          <w:p>
            <w:pPr>
              <w:jc w:val="center"/>
            </w:pPr>
            <w:r>
              <w:rPr>
                <w:color w:val="000000"/>
                <w:sz w:val="24"/>
              </w:rPr>
              <w:t>601668</w:t>
            </w:r>
          </w:p>
        </w:tc>
        <w:tc>
          <w:tcPr>
            <w:vAlign w:val="center"/>
          </w:tcPr>
          <w:p>
            <w:pPr>
              <w:jc w:val="center"/>
            </w:pPr>
            <w:r>
              <w:rPr>
                <w:color w:val="000000"/>
                <w:sz w:val="24"/>
              </w:rPr>
              <w:t>中国建筑</w:t>
            </w:r>
          </w:p>
        </w:tc>
        <w:tc>
          <w:tcPr>
            <w:vAlign w:val="center"/>
          </w:tcPr>
          <w:p>
            <w:pPr>
              <w:jc w:val="right"/>
            </w:pPr>
            <w:r>
              <w:rPr>
                <w:color w:val="000000"/>
                <w:sz w:val="24"/>
              </w:rPr>
              <w:t>580,200</w:t>
            </w:r>
          </w:p>
        </w:tc>
        <w:tc>
          <w:tcPr>
            <w:vAlign w:val="center"/>
          </w:tcPr>
          <w:p>
            <w:pPr>
              <w:jc w:val="right"/>
            </w:pPr>
            <w:r>
              <w:rPr>
                <w:color w:val="000000"/>
                <w:sz w:val="24"/>
              </w:rPr>
              <w:t>3,057,654.00</w:t>
            </w:r>
          </w:p>
        </w:tc>
        <w:tc>
          <w:tcPr>
            <w:vAlign w:val="center"/>
          </w:tcPr>
          <w:p>
            <w:pPr>
              <w:jc w:val="right"/>
            </w:pPr>
            <w:r>
              <w:rPr>
                <w:color w:val="000000"/>
                <w:sz w:val="24"/>
              </w:rPr>
              <w:t>0.37</w:t>
            </w:r>
          </w:p>
        </w:tc>
      </w:tr>
      <w:tr>
        <w:tc>
          <w:tcPr>
            <w:vAlign w:val="center"/>
          </w:tcPr>
          <w:p>
            <w:pPr>
              <w:jc w:val="center"/>
            </w:pPr>
            <w:r>
              <w:rPr>
                <w:color w:val="000000"/>
                <w:sz w:val="24"/>
              </w:rPr>
              <w:t>9</w:t>
            </w:r>
          </w:p>
        </w:tc>
        <w:tc>
          <w:tcPr>
            <w:vAlign w:val="center"/>
          </w:tcPr>
          <w:p>
            <w:pPr>
              <w:jc w:val="center"/>
            </w:pPr>
            <w:r>
              <w:rPr>
                <w:color w:val="000000"/>
                <w:sz w:val="24"/>
              </w:rPr>
              <w:t>600887</w:t>
            </w:r>
          </w:p>
        </w:tc>
        <w:tc>
          <w:tcPr>
            <w:vAlign w:val="center"/>
          </w:tcPr>
          <w:p>
            <w:pPr>
              <w:jc w:val="center"/>
            </w:pPr>
            <w:r>
              <w:rPr>
                <w:color w:val="000000"/>
                <w:sz w:val="24"/>
              </w:rPr>
              <w:t>伊利股份</w:t>
            </w:r>
          </w:p>
        </w:tc>
        <w:tc>
          <w:tcPr>
            <w:vAlign w:val="center"/>
          </w:tcPr>
          <w:p>
            <w:pPr>
              <w:jc w:val="right"/>
            </w:pPr>
            <w:r>
              <w:rPr>
                <w:color w:val="000000"/>
                <w:sz w:val="24"/>
              </w:rPr>
              <w:t>100,000</w:t>
            </w:r>
          </w:p>
        </w:tc>
        <w:tc>
          <w:tcPr>
            <w:vAlign w:val="center"/>
          </w:tcPr>
          <w:p>
            <w:pPr>
              <w:jc w:val="right"/>
            </w:pPr>
            <w:r>
              <w:rPr>
                <w:color w:val="000000"/>
                <w:sz w:val="24"/>
              </w:rPr>
              <w:t>2,986,000.00</w:t>
            </w:r>
          </w:p>
        </w:tc>
        <w:tc>
          <w:tcPr>
            <w:vAlign w:val="center"/>
          </w:tcPr>
          <w:p>
            <w:pPr>
              <w:jc w:val="right"/>
            </w:pPr>
            <w:r>
              <w:rPr>
                <w:color w:val="000000"/>
                <w:sz w:val="24"/>
              </w:rPr>
              <w:t>0.36</w:t>
            </w:r>
          </w:p>
        </w:tc>
      </w:tr>
      <w:tr>
        <w:tc>
          <w:tcPr>
            <w:vAlign w:val="center"/>
          </w:tcPr>
          <w:p>
            <w:pPr>
              <w:jc w:val="center"/>
            </w:pPr>
            <w:r>
              <w:rPr>
                <w:color w:val="000000"/>
                <w:sz w:val="24"/>
              </w:rPr>
              <w:t>10</w:t>
            </w:r>
          </w:p>
        </w:tc>
        <w:tc>
          <w:tcPr>
            <w:vAlign w:val="center"/>
          </w:tcPr>
          <w:p>
            <w:pPr>
              <w:jc w:val="center"/>
            </w:pPr>
            <w:r>
              <w:rPr>
                <w:color w:val="000000"/>
                <w:sz w:val="24"/>
              </w:rPr>
              <w:t>601816</w:t>
            </w:r>
          </w:p>
        </w:tc>
        <w:tc>
          <w:tcPr>
            <w:vAlign w:val="center"/>
          </w:tcPr>
          <w:p>
            <w:pPr>
              <w:jc w:val="center"/>
            </w:pPr>
            <w:r>
              <w:rPr>
                <w:color w:val="000000"/>
                <w:sz w:val="24"/>
              </w:rPr>
              <w:t>京沪高铁</w:t>
            </w:r>
          </w:p>
        </w:tc>
        <w:tc>
          <w:tcPr>
            <w:vAlign w:val="center"/>
          </w:tcPr>
          <w:p>
            <w:pPr>
              <w:jc w:val="right"/>
            </w:pPr>
            <w:r>
              <w:rPr>
                <w:color w:val="000000"/>
                <w:sz w:val="24"/>
              </w:rPr>
              <w:t>453,268</w:t>
            </w:r>
          </w:p>
        </w:tc>
        <w:tc>
          <w:tcPr>
            <w:vAlign w:val="center"/>
          </w:tcPr>
          <w:p>
            <w:pPr>
              <w:jc w:val="right"/>
            </w:pPr>
            <w:r>
              <w:rPr>
                <w:color w:val="000000"/>
                <w:sz w:val="24"/>
              </w:rPr>
              <w:t>2,547,366.16</w:t>
            </w:r>
          </w:p>
        </w:tc>
        <w:tc>
          <w:tcPr>
            <w:vAlign w:val="center"/>
          </w:tcPr>
          <w:p>
            <w:pPr>
              <w:jc w:val="right"/>
            </w:pPr>
            <w:r>
              <w:rPr>
                <w:color w:val="000000"/>
                <w:sz w:val="24"/>
              </w:rPr>
              <w:t>0.31</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46,733,194.50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5.61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46,733,194.50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5.61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249,368,800.00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29.91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447,969,000.00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53.73</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5,348.20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0.00</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744,076,342.70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89.24</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102000048</w:t>
            </w:r>
          </w:p>
        </w:tc>
        <w:tc>
          <w:tcPr>
            <w:vAlign w:val="center"/>
          </w:tcPr>
          <w:p>
            <w:pPr>
              <w:jc w:val="center"/>
            </w:pPr>
            <w:r>
              <w:rPr>
                <w:color w:val="000000"/>
                <w:sz w:val="24"/>
              </w:rPr>
              <w:t>20中金集MTN001</w:t>
            </w:r>
          </w:p>
        </w:tc>
        <w:tc>
          <w:tcPr>
            <w:vAlign w:val="center"/>
          </w:tcPr>
          <w:p>
            <w:pPr>
              <w:jc w:val="right"/>
            </w:pPr>
            <w:r>
              <w:rPr>
                <w:color w:val="000000"/>
                <w:sz w:val="24"/>
              </w:rPr>
              <w:t>400,000</w:t>
            </w:r>
          </w:p>
        </w:tc>
        <w:tc>
          <w:tcPr>
            <w:vAlign w:val="center"/>
          </w:tcPr>
          <w:p>
            <w:pPr>
              <w:jc w:val="right"/>
            </w:pPr>
            <w:r>
              <w:rPr>
                <w:color w:val="000000"/>
                <w:sz w:val="24"/>
              </w:rPr>
              <w:t>40,576,000.00</w:t>
            </w:r>
          </w:p>
        </w:tc>
        <w:tc>
          <w:tcPr>
            <w:vAlign w:val="center"/>
          </w:tcPr>
          <w:p>
            <w:pPr>
              <w:jc w:val="right"/>
            </w:pPr>
            <w:r>
              <w:rPr>
                <w:color w:val="000000"/>
                <w:sz w:val="24"/>
              </w:rPr>
              <w:t>4.87</w:t>
            </w:r>
          </w:p>
        </w:tc>
      </w:tr>
      <w:tr>
        <w:tc>
          <w:tcPr>
            <w:vAlign w:val="center"/>
          </w:tcPr>
          <w:p>
            <w:pPr>
              <w:jc w:val="center"/>
            </w:pPr>
            <w:r>
              <w:rPr>
                <w:color w:val="000000"/>
                <w:sz w:val="24"/>
              </w:rPr>
              <w:t>2</w:t>
            </w:r>
          </w:p>
        </w:tc>
        <w:tc>
          <w:tcPr>
            <w:vAlign w:val="center"/>
          </w:tcPr>
          <w:p>
            <w:pPr>
              <w:jc w:val="center"/>
            </w:pPr>
            <w:r>
              <w:rPr>
                <w:color w:val="000000"/>
                <w:sz w:val="24"/>
              </w:rPr>
              <w:t>102000043</w:t>
            </w:r>
          </w:p>
        </w:tc>
        <w:tc>
          <w:tcPr>
            <w:vAlign w:val="center"/>
          </w:tcPr>
          <w:p>
            <w:pPr>
              <w:jc w:val="center"/>
            </w:pPr>
            <w:r>
              <w:rPr>
                <w:color w:val="000000"/>
                <w:sz w:val="24"/>
              </w:rPr>
              <w:t>20申迪MTN001</w:t>
            </w:r>
          </w:p>
        </w:tc>
        <w:tc>
          <w:tcPr>
            <w:vAlign w:val="center"/>
          </w:tcPr>
          <w:p>
            <w:pPr>
              <w:jc w:val="right"/>
            </w:pPr>
            <w:r>
              <w:rPr>
                <w:color w:val="000000"/>
                <w:sz w:val="24"/>
              </w:rPr>
              <w:t>400,000</w:t>
            </w:r>
          </w:p>
        </w:tc>
        <w:tc>
          <w:tcPr>
            <w:vAlign w:val="center"/>
          </w:tcPr>
          <w:p>
            <w:pPr>
              <w:jc w:val="right"/>
            </w:pPr>
            <w:r>
              <w:rPr>
                <w:color w:val="000000"/>
                <w:sz w:val="24"/>
              </w:rPr>
              <w:t>40,464,000.00</w:t>
            </w:r>
          </w:p>
        </w:tc>
        <w:tc>
          <w:tcPr>
            <w:vAlign w:val="center"/>
          </w:tcPr>
          <w:p>
            <w:pPr>
              <w:jc w:val="right"/>
            </w:pPr>
            <w:r>
              <w:rPr>
                <w:color w:val="000000"/>
                <w:sz w:val="24"/>
              </w:rPr>
              <w:t>4.85</w:t>
            </w:r>
          </w:p>
        </w:tc>
      </w:tr>
      <w:tr>
        <w:tc>
          <w:tcPr>
            <w:vAlign w:val="center"/>
          </w:tcPr>
          <w:p>
            <w:pPr>
              <w:jc w:val="center"/>
            </w:pPr>
            <w:r>
              <w:rPr>
                <w:color w:val="000000"/>
                <w:sz w:val="24"/>
              </w:rPr>
              <w:t>3</w:t>
            </w:r>
          </w:p>
        </w:tc>
        <w:tc>
          <w:tcPr>
            <w:vAlign w:val="center"/>
          </w:tcPr>
          <w:p>
            <w:pPr>
              <w:jc w:val="center"/>
            </w:pPr>
            <w:r>
              <w:rPr>
                <w:color w:val="000000"/>
                <w:sz w:val="24"/>
              </w:rPr>
              <w:t>018007</w:t>
            </w:r>
          </w:p>
        </w:tc>
        <w:tc>
          <w:tcPr>
            <w:vAlign w:val="center"/>
          </w:tcPr>
          <w:p>
            <w:pPr>
              <w:jc w:val="center"/>
            </w:pPr>
            <w:r>
              <w:rPr>
                <w:color w:val="000000"/>
                <w:sz w:val="24"/>
              </w:rPr>
              <w:t>国开1801</w:t>
            </w:r>
          </w:p>
        </w:tc>
        <w:tc>
          <w:tcPr>
            <w:vAlign w:val="center"/>
          </w:tcPr>
          <w:p>
            <w:pPr>
              <w:jc w:val="right"/>
            </w:pPr>
            <w:r>
              <w:rPr>
                <w:color w:val="000000"/>
                <w:sz w:val="24"/>
              </w:rPr>
              <w:t>330,750</w:t>
            </w:r>
          </w:p>
        </w:tc>
        <w:tc>
          <w:tcPr>
            <w:vAlign w:val="center"/>
          </w:tcPr>
          <w:p>
            <w:pPr>
              <w:jc w:val="right"/>
            </w:pPr>
            <w:r>
              <w:rPr>
                <w:color w:val="000000"/>
                <w:sz w:val="24"/>
              </w:rPr>
              <w:t>33,323,062.50</w:t>
            </w:r>
          </w:p>
        </w:tc>
        <w:tc>
          <w:tcPr>
            <w:vAlign w:val="center"/>
          </w:tcPr>
          <w:p>
            <w:pPr>
              <w:jc w:val="right"/>
            </w:pPr>
            <w:r>
              <w:rPr>
                <w:color w:val="000000"/>
                <w:sz w:val="24"/>
              </w:rPr>
              <w:t>4.00</w:t>
            </w:r>
          </w:p>
        </w:tc>
      </w:tr>
      <w:tr>
        <w:tc>
          <w:tcPr>
            <w:vAlign w:val="center"/>
          </w:tcPr>
          <w:p>
            <w:pPr>
              <w:jc w:val="center"/>
            </w:pPr>
            <w:r>
              <w:rPr>
                <w:color w:val="000000"/>
                <w:sz w:val="24"/>
              </w:rPr>
              <w:t>4</w:t>
            </w:r>
          </w:p>
        </w:tc>
        <w:tc>
          <w:tcPr>
            <w:vAlign w:val="center"/>
          </w:tcPr>
          <w:p>
            <w:pPr>
              <w:jc w:val="center"/>
            </w:pPr>
            <w:r>
              <w:rPr>
                <w:color w:val="000000"/>
                <w:sz w:val="24"/>
              </w:rPr>
              <w:t>101900630</w:t>
            </w:r>
          </w:p>
        </w:tc>
        <w:tc>
          <w:tcPr>
            <w:vAlign w:val="center"/>
          </w:tcPr>
          <w:p>
            <w:pPr>
              <w:jc w:val="center"/>
            </w:pPr>
            <w:r>
              <w:rPr>
                <w:color w:val="000000"/>
                <w:sz w:val="24"/>
              </w:rPr>
              <w:t>19京国资MTN001</w:t>
            </w:r>
          </w:p>
        </w:tc>
        <w:tc>
          <w:tcPr>
            <w:vAlign w:val="center"/>
          </w:tcPr>
          <w:p>
            <w:pPr>
              <w:jc w:val="right"/>
            </w:pPr>
            <w:r>
              <w:rPr>
                <w:color w:val="000000"/>
                <w:sz w:val="24"/>
              </w:rPr>
              <w:t>300,000</w:t>
            </w:r>
          </w:p>
        </w:tc>
        <w:tc>
          <w:tcPr>
            <w:vAlign w:val="center"/>
          </w:tcPr>
          <w:p>
            <w:pPr>
              <w:jc w:val="right"/>
            </w:pPr>
            <w:r>
              <w:rPr>
                <w:color w:val="000000"/>
                <w:sz w:val="24"/>
              </w:rPr>
              <w:t>30,843,000.00</w:t>
            </w:r>
          </w:p>
        </w:tc>
        <w:tc>
          <w:tcPr>
            <w:vAlign w:val="center"/>
          </w:tcPr>
          <w:p>
            <w:pPr>
              <w:jc w:val="right"/>
            </w:pPr>
            <w:r>
              <w:rPr>
                <w:color w:val="000000"/>
                <w:sz w:val="24"/>
              </w:rPr>
              <w:t>3.70</w:t>
            </w:r>
          </w:p>
        </w:tc>
      </w:tr>
      <w:tr>
        <w:tc>
          <w:tcPr>
            <w:vAlign w:val="center"/>
          </w:tcPr>
          <w:p>
            <w:pPr>
              <w:jc w:val="center"/>
            </w:pPr>
            <w:r>
              <w:rPr>
                <w:color w:val="000000"/>
                <w:sz w:val="24"/>
              </w:rPr>
              <w:t>5</w:t>
            </w:r>
          </w:p>
        </w:tc>
        <w:tc>
          <w:tcPr>
            <w:vAlign w:val="center"/>
          </w:tcPr>
          <w:p>
            <w:pPr>
              <w:jc w:val="center"/>
            </w:pPr>
            <w:r>
              <w:rPr>
                <w:color w:val="000000"/>
                <w:sz w:val="24"/>
              </w:rPr>
              <w:t>101900820</w:t>
            </w:r>
          </w:p>
        </w:tc>
        <w:tc>
          <w:tcPr>
            <w:vAlign w:val="center"/>
          </w:tcPr>
          <w:p>
            <w:pPr>
              <w:jc w:val="center"/>
            </w:pPr>
            <w:r>
              <w:rPr>
                <w:color w:val="000000"/>
                <w:sz w:val="24"/>
              </w:rPr>
              <w:t>19汇金MTN011</w:t>
            </w:r>
          </w:p>
        </w:tc>
        <w:tc>
          <w:tcPr>
            <w:vAlign w:val="center"/>
          </w:tcPr>
          <w:p>
            <w:pPr>
              <w:jc w:val="right"/>
            </w:pPr>
            <w:r>
              <w:rPr>
                <w:color w:val="000000"/>
                <w:sz w:val="24"/>
              </w:rPr>
              <w:t>300,000</w:t>
            </w:r>
          </w:p>
        </w:tc>
        <w:tc>
          <w:tcPr>
            <w:vAlign w:val="center"/>
          </w:tcPr>
          <w:p>
            <w:pPr>
              <w:jc w:val="right"/>
            </w:pPr>
            <w:r>
              <w:rPr>
                <w:color w:val="000000"/>
                <w:sz w:val="24"/>
              </w:rPr>
              <w:t>30,558,000.00</w:t>
            </w:r>
          </w:p>
        </w:tc>
        <w:tc>
          <w:tcPr>
            <w:vAlign w:val="center"/>
          </w:tcPr>
          <w:p>
            <w:pPr>
              <w:jc w:val="right"/>
            </w:pPr>
            <w:r>
              <w:rPr>
                <w:color w:val="000000"/>
                <w:sz w:val="24"/>
              </w:rPr>
              <w:t>3.67</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19,510.22</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11,231,364.62</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5,195,433.33</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16,446,308.17</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571E42" w:rsidR="00571E42" w:rsidRDefault="00571E42" w:rsidRPr="00571E42">
      <w:pPr>
        <w:autoSpaceDE w:val="0"/>
        <w:autoSpaceDN w:val="0"/>
        <w:adjustRightInd w:val="0"/>
        <w:spacing w:before="29" w:line="288" w:lineRule="auto"/>
        <w:jc w:val="right"/>
        <w:rPr>
          <w:rFonts w:eastAsiaTheme="minorEastAsia"/>
          <w:bCs/>
          <w:sz w:val="24"/>
        </w:rPr>
      </w:pPr>
      <w:r w:rsidRPr="001B7979">
        <w:rPr>
          <w:color w:val="000000"/>
          <w:sz w:val="24"/>
        </w:rPr>
        <w:t/>
      </w:r>
      <w:r w:rsidRPr="001B7979">
        <w:rPr>
          <w:color w:val="00000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1D5CD0" w:rsidRPr="007F52FA" w:rsidTr="00837861">
        <w:trPr>
          <w:jc w:val="center"/>
        </w:trPr>
        <w:tc>
          <w:tcPr>
            <w:tcW w:type="dxa" w:w="1083"/>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type="dxa" w:w="1302"/>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type="dxa" w:w="1301"/>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type="dxa" w:w="1805"/>
            <w:vAlign w:val="center"/>
          </w:tcPr>
          <w:p w:rsidP="007C14DF" w:rsidR="001D5CD0" w:rsidRDefault="001D5CD0" w:rsidRPr="001843E2">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p>
        </w:tc>
        <w:tc>
          <w:tcPr>
            <w:tcW w:type="dxa" w:w="1655"/>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1843E2">
              <w:rPr>
                <w:rFonts w:hint="eastAsia"/>
                <w:color w:val="000000"/>
                <w:kern w:val="0"/>
                <w:sz w:val="24"/>
              </w:rPr>
              <w:t>(</w:t>
            </w:r>
            <w:r w:rsidR="001843E2">
              <w:rPr>
                <w:color w:val="000000"/>
                <w:kern w:val="0"/>
                <w:sz w:val="24"/>
              </w:rPr>
              <w:t>%</w:t>
            </w:r>
            <w:r w:rsidR="001843E2">
              <w:rPr>
                <w:rFonts w:hint="eastAsia"/>
                <w:color w:val="000000"/>
                <w:kern w:val="0"/>
                <w:sz w:val="24"/>
              </w:rPr>
              <w:t>)</w:t>
            </w:r>
          </w:p>
        </w:tc>
        <w:tc>
          <w:tcPr>
            <w:tcW w:type="dxa" w:w="1367"/>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tc>
          <w:tcPr>
            <w:vAlign w:val="center"/>
          </w:tcPr>
          <w:p>
            <w:pPr>
              <w:jc w:val="center"/>
            </w:pPr>
            <w:r>
              <w:rPr>
                <w:rFonts w:eastAsiaTheme="minorEastAsia"/>
                <w:color w:val="000000"/>
                <w:sz w:val="24"/>
              </w:rPr>
              <w:t>1</w:t>
            </w:r>
          </w:p>
        </w:tc>
        <w:tc>
          <w:tcPr>
            <w:vAlign w:val="center"/>
          </w:tcPr>
          <w:p>
            <w:pPr>
              <w:jc w:val="center"/>
            </w:pPr>
            <w:r>
              <w:rPr>
                <w:rFonts w:eastAsiaTheme="minorEastAsia"/>
                <w:color w:val="000000"/>
                <w:sz w:val="24"/>
              </w:rPr>
              <w:t>601816</w:t>
            </w:r>
          </w:p>
        </w:tc>
        <w:tc>
          <w:tcPr>
            <w:vAlign w:val="center"/>
          </w:tcPr>
          <w:p>
            <w:pPr>
              <w:jc w:val="center"/>
            </w:pPr>
            <w:r>
              <w:rPr>
                <w:rFonts w:eastAsiaTheme="minorEastAsia"/>
                <w:color w:val="000000"/>
                <w:sz w:val="24"/>
              </w:rPr>
              <w:t>京沪高铁</w:t>
            </w:r>
          </w:p>
        </w:tc>
        <w:tc>
          <w:tcPr>
            <w:vAlign w:val="center"/>
          </w:tcPr>
          <w:p>
            <w:pPr>
              <w:jc w:val="right"/>
            </w:pPr>
            <w:r>
              <w:rPr>
                <w:rFonts w:eastAsiaTheme="minorEastAsia"/>
                <w:color w:val="000000"/>
                <w:sz w:val="24"/>
              </w:rPr>
              <w:t>2,547,366.16</w:t>
            </w:r>
          </w:p>
        </w:tc>
        <w:tc>
          <w:tcPr>
            <w:vAlign w:val="center"/>
          </w:tcPr>
          <w:p>
            <w:pPr>
              <w:jc w:val="right"/>
            </w:pPr>
            <w:r>
              <w:rPr>
                <w:rFonts w:eastAsiaTheme="minorEastAsia"/>
                <w:color w:val="000000"/>
                <w:sz w:val="24"/>
              </w:rPr>
              <w:t>0.31</w:t>
            </w:r>
          </w:p>
        </w:tc>
        <w:tc>
          <w:tcPr>
            <w:vAlign w:val="center"/>
          </w:tcPr>
          <w:p>
            <w:pPr>
              <w:jc w:val="right"/>
            </w:pPr>
            <w:r>
              <w:rPr>
                <w:rFonts w:eastAsiaTheme="minorEastAsia"/>
                <w:color w:val="000000"/>
                <w:sz w:val="24"/>
              </w:rPr>
              <w:t>限售股</w:t>
            </w:r>
          </w:p>
        </w:tc>
      </w:tr>
    </w:tbl>
    <w:p w:rsidP="007C14DF" w:rsidR="001D5CD0" w:rsidRDefault="001D5CD0" w:rsidRPr="007F52FA">
      <w:pPr>
        <w:spacing w:before="29" w:line="288" w:lineRule="auto"/>
        <w:rPr>
          <w:rFonts w:eastAsiaTheme="minorEastAsia"/>
          <w:sz w:val="24"/>
        </w:rPr>
      </w:pP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交银多策略回报灵活配置混合A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交银多策略回报灵活配置混合C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295,904,611.92</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122,909,313.20</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295,028,187.70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11,119,615.04</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81,028,511.05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15,181,348.51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509,904,288.57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118,847,579.73</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1、中国证监会准予交银施罗德多策略回报灵活配置混合型证券投资基金募集注册的文件；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2、《交银施罗德多策略回报灵活配置混合型证券投资基金基金合同》；</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3、《交银施罗德多策略回报灵活配置混合型证券投资基金招募说明书》；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4、《交银施罗德多策略回报灵活配置混合型证券投资基金托管协议》；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5、基金管理人业务资格批件、营业执照；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6、基金托管人业务资格批件、营业执照；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7、关于申请募集注册交银施罗德多策略回报灵活配置混合型证券投资基金的法律意见书；</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8、报告期内交银施罗德多策略回报灵活配置混合型证券投资基金在指定报刊上各项公告的原稿。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8.2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交银施罗德多策略回报灵活配置混合型证券投资基金2020年第1季度报告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