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交银施罗德丰盈收益债券型证券投资基金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2F3B53"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45862"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59519"/>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59520"/>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3D270F" w:rsidRDefault="0056124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3D270F" w:rsidRDefault="0056124B">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D270F" w:rsidRDefault="0056124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D270F" w:rsidRDefault="0056124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bookmarkStart w:id="8" w:name="_GoBack"/>
    <w:bookmarkEnd w:id="8"/>
    <w:p w:rsidR="003118C1"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59519" w:history="1">
        <w:r w:rsidR="003118C1" w:rsidRPr="009A2129">
          <w:rPr>
            <w:rStyle w:val="a9"/>
            <w:b/>
            <w:bCs/>
            <w:noProof/>
          </w:rPr>
          <w:t xml:space="preserve">§1  </w:t>
        </w:r>
        <w:r w:rsidR="003118C1" w:rsidRPr="009A2129">
          <w:rPr>
            <w:rStyle w:val="a9"/>
            <w:rFonts w:hint="eastAsia"/>
            <w:b/>
            <w:bCs/>
            <w:noProof/>
          </w:rPr>
          <w:t>重要提示及目录</w:t>
        </w:r>
        <w:r w:rsidR="003118C1">
          <w:rPr>
            <w:noProof/>
            <w:webHidden/>
          </w:rPr>
          <w:tab/>
        </w:r>
        <w:r w:rsidR="003118C1">
          <w:rPr>
            <w:noProof/>
            <w:webHidden/>
          </w:rPr>
          <w:fldChar w:fldCharType="begin"/>
        </w:r>
        <w:r w:rsidR="003118C1">
          <w:rPr>
            <w:noProof/>
            <w:webHidden/>
          </w:rPr>
          <w:instrText xml:space="preserve"> PAGEREF _Toc35959519 \h </w:instrText>
        </w:r>
        <w:r w:rsidR="003118C1">
          <w:rPr>
            <w:noProof/>
            <w:webHidden/>
          </w:rPr>
        </w:r>
        <w:r w:rsidR="003118C1">
          <w:rPr>
            <w:noProof/>
            <w:webHidden/>
          </w:rPr>
          <w:fldChar w:fldCharType="separate"/>
        </w:r>
        <w:r w:rsidR="003118C1">
          <w:rPr>
            <w:noProof/>
            <w:webHidden/>
          </w:rPr>
          <w:t>2</w:t>
        </w:r>
        <w:r w:rsidR="003118C1">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20" w:history="1">
        <w:r w:rsidRPr="009A2129">
          <w:rPr>
            <w:rStyle w:val="a9"/>
            <w:noProof/>
          </w:rPr>
          <w:t xml:space="preserve">1.1 </w:t>
        </w:r>
        <w:r w:rsidRPr="009A2129">
          <w:rPr>
            <w:rStyle w:val="a9"/>
            <w:rFonts w:hint="eastAsia"/>
            <w:noProof/>
          </w:rPr>
          <w:t>重要提示</w:t>
        </w:r>
        <w:r>
          <w:rPr>
            <w:noProof/>
            <w:webHidden/>
          </w:rPr>
          <w:tab/>
        </w:r>
        <w:r>
          <w:rPr>
            <w:noProof/>
            <w:webHidden/>
          </w:rPr>
          <w:fldChar w:fldCharType="begin"/>
        </w:r>
        <w:r>
          <w:rPr>
            <w:noProof/>
            <w:webHidden/>
          </w:rPr>
          <w:instrText xml:space="preserve"> PAGEREF _Toc35959520 \h </w:instrText>
        </w:r>
        <w:r>
          <w:rPr>
            <w:noProof/>
            <w:webHidden/>
          </w:rPr>
        </w:r>
        <w:r>
          <w:rPr>
            <w:noProof/>
            <w:webHidden/>
          </w:rPr>
          <w:fldChar w:fldCharType="separate"/>
        </w:r>
        <w:r>
          <w:rPr>
            <w:noProof/>
            <w:webHidden/>
          </w:rPr>
          <w:t>2</w:t>
        </w:r>
        <w:r>
          <w:rPr>
            <w:noProof/>
            <w:webHidden/>
          </w:rPr>
          <w:fldChar w:fldCharType="end"/>
        </w:r>
      </w:hyperlink>
    </w:p>
    <w:p w:rsidR="003118C1" w:rsidRDefault="003118C1">
      <w:pPr>
        <w:pStyle w:val="11"/>
        <w:rPr>
          <w:rFonts w:asciiTheme="minorHAnsi" w:eastAsiaTheme="minorEastAsia" w:hAnsiTheme="minorHAnsi" w:cstheme="minorBidi"/>
          <w:noProof/>
          <w:szCs w:val="22"/>
        </w:rPr>
      </w:pPr>
      <w:hyperlink w:anchor="_Toc35959521" w:history="1">
        <w:r w:rsidRPr="009A2129">
          <w:rPr>
            <w:rStyle w:val="a9"/>
            <w:b/>
            <w:bCs/>
            <w:noProof/>
          </w:rPr>
          <w:t xml:space="preserve">§2  </w:t>
        </w:r>
        <w:r w:rsidRPr="009A2129">
          <w:rPr>
            <w:rStyle w:val="a9"/>
            <w:rFonts w:hint="eastAsia"/>
            <w:b/>
            <w:bCs/>
            <w:noProof/>
          </w:rPr>
          <w:t>基金简介</w:t>
        </w:r>
        <w:r>
          <w:rPr>
            <w:noProof/>
            <w:webHidden/>
          </w:rPr>
          <w:tab/>
        </w:r>
        <w:r>
          <w:rPr>
            <w:noProof/>
            <w:webHidden/>
          </w:rPr>
          <w:fldChar w:fldCharType="begin"/>
        </w:r>
        <w:r>
          <w:rPr>
            <w:noProof/>
            <w:webHidden/>
          </w:rPr>
          <w:instrText xml:space="preserve"> PAGEREF _Toc35959521 \h </w:instrText>
        </w:r>
        <w:r>
          <w:rPr>
            <w:noProof/>
            <w:webHidden/>
          </w:rPr>
        </w:r>
        <w:r>
          <w:rPr>
            <w:noProof/>
            <w:webHidden/>
          </w:rPr>
          <w:fldChar w:fldCharType="separate"/>
        </w:r>
        <w:r>
          <w:rPr>
            <w:noProof/>
            <w:webHidden/>
          </w:rPr>
          <w:t>5</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22" w:history="1">
        <w:r w:rsidRPr="009A2129">
          <w:rPr>
            <w:rStyle w:val="a9"/>
            <w:noProof/>
          </w:rPr>
          <w:t>2.1</w:t>
        </w:r>
        <w:r w:rsidRPr="009A2129">
          <w:rPr>
            <w:rStyle w:val="a9"/>
            <w:rFonts w:hint="eastAsia"/>
            <w:noProof/>
          </w:rPr>
          <w:t>基金基本情况</w:t>
        </w:r>
        <w:r>
          <w:rPr>
            <w:noProof/>
            <w:webHidden/>
          </w:rPr>
          <w:tab/>
        </w:r>
        <w:r>
          <w:rPr>
            <w:noProof/>
            <w:webHidden/>
          </w:rPr>
          <w:fldChar w:fldCharType="begin"/>
        </w:r>
        <w:r>
          <w:rPr>
            <w:noProof/>
            <w:webHidden/>
          </w:rPr>
          <w:instrText xml:space="preserve"> PAGEREF _Toc35959522 \h </w:instrText>
        </w:r>
        <w:r>
          <w:rPr>
            <w:noProof/>
            <w:webHidden/>
          </w:rPr>
        </w:r>
        <w:r>
          <w:rPr>
            <w:noProof/>
            <w:webHidden/>
          </w:rPr>
          <w:fldChar w:fldCharType="separate"/>
        </w:r>
        <w:r>
          <w:rPr>
            <w:noProof/>
            <w:webHidden/>
          </w:rPr>
          <w:t>5</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23" w:history="1">
        <w:r w:rsidRPr="009A2129">
          <w:rPr>
            <w:rStyle w:val="a9"/>
            <w:noProof/>
          </w:rPr>
          <w:t xml:space="preserve">2.2 </w:t>
        </w:r>
        <w:r w:rsidRPr="009A2129">
          <w:rPr>
            <w:rStyle w:val="a9"/>
            <w:rFonts w:hint="eastAsia"/>
            <w:noProof/>
          </w:rPr>
          <w:t>基金产品说明</w:t>
        </w:r>
        <w:r>
          <w:rPr>
            <w:noProof/>
            <w:webHidden/>
          </w:rPr>
          <w:tab/>
        </w:r>
        <w:r>
          <w:rPr>
            <w:noProof/>
            <w:webHidden/>
          </w:rPr>
          <w:fldChar w:fldCharType="begin"/>
        </w:r>
        <w:r>
          <w:rPr>
            <w:noProof/>
            <w:webHidden/>
          </w:rPr>
          <w:instrText xml:space="preserve"> PAGEREF _Toc35959523 \h </w:instrText>
        </w:r>
        <w:r>
          <w:rPr>
            <w:noProof/>
            <w:webHidden/>
          </w:rPr>
        </w:r>
        <w:r>
          <w:rPr>
            <w:noProof/>
            <w:webHidden/>
          </w:rPr>
          <w:fldChar w:fldCharType="separate"/>
        </w:r>
        <w:r>
          <w:rPr>
            <w:noProof/>
            <w:webHidden/>
          </w:rPr>
          <w:t>5</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24" w:history="1">
        <w:r w:rsidRPr="009A2129">
          <w:rPr>
            <w:rStyle w:val="a9"/>
            <w:noProof/>
          </w:rPr>
          <w:t xml:space="preserve">2.3 </w:t>
        </w:r>
        <w:r w:rsidRPr="009A2129">
          <w:rPr>
            <w:rStyle w:val="a9"/>
            <w:rFonts w:hint="eastAsia"/>
            <w:noProof/>
          </w:rPr>
          <w:t>基金管理人和基金托管人</w:t>
        </w:r>
        <w:r>
          <w:rPr>
            <w:noProof/>
            <w:webHidden/>
          </w:rPr>
          <w:tab/>
        </w:r>
        <w:r>
          <w:rPr>
            <w:noProof/>
            <w:webHidden/>
          </w:rPr>
          <w:fldChar w:fldCharType="begin"/>
        </w:r>
        <w:r>
          <w:rPr>
            <w:noProof/>
            <w:webHidden/>
          </w:rPr>
          <w:instrText xml:space="preserve"> PAGEREF _Toc35959524 \h </w:instrText>
        </w:r>
        <w:r>
          <w:rPr>
            <w:noProof/>
            <w:webHidden/>
          </w:rPr>
        </w:r>
        <w:r>
          <w:rPr>
            <w:noProof/>
            <w:webHidden/>
          </w:rPr>
          <w:fldChar w:fldCharType="separate"/>
        </w:r>
        <w:r>
          <w:rPr>
            <w:noProof/>
            <w:webHidden/>
          </w:rPr>
          <w:t>6</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25" w:history="1">
        <w:r w:rsidRPr="009A2129">
          <w:rPr>
            <w:rStyle w:val="a9"/>
            <w:noProof/>
          </w:rPr>
          <w:t xml:space="preserve">2.4 </w:t>
        </w:r>
        <w:r w:rsidRPr="009A2129">
          <w:rPr>
            <w:rStyle w:val="a9"/>
            <w:rFonts w:hint="eastAsia"/>
            <w:noProof/>
          </w:rPr>
          <w:t>信息披露方式</w:t>
        </w:r>
        <w:r>
          <w:rPr>
            <w:noProof/>
            <w:webHidden/>
          </w:rPr>
          <w:tab/>
        </w:r>
        <w:r>
          <w:rPr>
            <w:noProof/>
            <w:webHidden/>
          </w:rPr>
          <w:fldChar w:fldCharType="begin"/>
        </w:r>
        <w:r>
          <w:rPr>
            <w:noProof/>
            <w:webHidden/>
          </w:rPr>
          <w:instrText xml:space="preserve"> PAGEREF _Toc35959525 \h </w:instrText>
        </w:r>
        <w:r>
          <w:rPr>
            <w:noProof/>
            <w:webHidden/>
          </w:rPr>
        </w:r>
        <w:r>
          <w:rPr>
            <w:noProof/>
            <w:webHidden/>
          </w:rPr>
          <w:fldChar w:fldCharType="separate"/>
        </w:r>
        <w:r>
          <w:rPr>
            <w:noProof/>
            <w:webHidden/>
          </w:rPr>
          <w:t>6</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26" w:history="1">
        <w:r w:rsidRPr="009A2129">
          <w:rPr>
            <w:rStyle w:val="a9"/>
            <w:noProof/>
          </w:rPr>
          <w:t xml:space="preserve">2.5 </w:t>
        </w:r>
        <w:r w:rsidRPr="009A2129">
          <w:rPr>
            <w:rStyle w:val="a9"/>
            <w:rFonts w:hint="eastAsia"/>
            <w:noProof/>
          </w:rPr>
          <w:t>其他相关资料</w:t>
        </w:r>
        <w:r>
          <w:rPr>
            <w:noProof/>
            <w:webHidden/>
          </w:rPr>
          <w:tab/>
        </w:r>
        <w:r>
          <w:rPr>
            <w:noProof/>
            <w:webHidden/>
          </w:rPr>
          <w:fldChar w:fldCharType="begin"/>
        </w:r>
        <w:r>
          <w:rPr>
            <w:noProof/>
            <w:webHidden/>
          </w:rPr>
          <w:instrText xml:space="preserve"> PAGEREF _Toc35959526 \h </w:instrText>
        </w:r>
        <w:r>
          <w:rPr>
            <w:noProof/>
            <w:webHidden/>
          </w:rPr>
        </w:r>
        <w:r>
          <w:rPr>
            <w:noProof/>
            <w:webHidden/>
          </w:rPr>
          <w:fldChar w:fldCharType="separate"/>
        </w:r>
        <w:r>
          <w:rPr>
            <w:noProof/>
            <w:webHidden/>
          </w:rPr>
          <w:t>7</w:t>
        </w:r>
        <w:r>
          <w:rPr>
            <w:noProof/>
            <w:webHidden/>
          </w:rPr>
          <w:fldChar w:fldCharType="end"/>
        </w:r>
      </w:hyperlink>
    </w:p>
    <w:p w:rsidR="003118C1" w:rsidRDefault="003118C1">
      <w:pPr>
        <w:pStyle w:val="11"/>
        <w:rPr>
          <w:rFonts w:asciiTheme="minorHAnsi" w:eastAsiaTheme="minorEastAsia" w:hAnsiTheme="minorHAnsi" w:cstheme="minorBidi"/>
          <w:noProof/>
          <w:szCs w:val="22"/>
        </w:rPr>
      </w:pPr>
      <w:hyperlink w:anchor="_Toc35959527" w:history="1">
        <w:r w:rsidRPr="009A2129">
          <w:rPr>
            <w:rStyle w:val="a9"/>
            <w:b/>
            <w:bCs/>
            <w:noProof/>
          </w:rPr>
          <w:t xml:space="preserve">§3 </w:t>
        </w:r>
        <w:r w:rsidRPr="009A2129">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_Toc35959527 \h </w:instrText>
        </w:r>
        <w:r>
          <w:rPr>
            <w:noProof/>
            <w:webHidden/>
          </w:rPr>
        </w:r>
        <w:r>
          <w:rPr>
            <w:noProof/>
            <w:webHidden/>
          </w:rPr>
          <w:fldChar w:fldCharType="separate"/>
        </w:r>
        <w:r>
          <w:rPr>
            <w:noProof/>
            <w:webHidden/>
          </w:rPr>
          <w:t>7</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28" w:history="1">
        <w:r w:rsidRPr="009A2129">
          <w:rPr>
            <w:rStyle w:val="a9"/>
            <w:noProof/>
          </w:rPr>
          <w:t xml:space="preserve">3.1 </w:t>
        </w:r>
        <w:r w:rsidRPr="009A2129">
          <w:rPr>
            <w:rStyle w:val="a9"/>
            <w:rFonts w:hint="eastAsia"/>
            <w:noProof/>
          </w:rPr>
          <w:t>主要会计数据和财务指标</w:t>
        </w:r>
        <w:r>
          <w:rPr>
            <w:noProof/>
            <w:webHidden/>
          </w:rPr>
          <w:tab/>
        </w:r>
        <w:r>
          <w:rPr>
            <w:noProof/>
            <w:webHidden/>
          </w:rPr>
          <w:fldChar w:fldCharType="begin"/>
        </w:r>
        <w:r>
          <w:rPr>
            <w:noProof/>
            <w:webHidden/>
          </w:rPr>
          <w:instrText xml:space="preserve"> PAGEREF _Toc35959528 \h </w:instrText>
        </w:r>
        <w:r>
          <w:rPr>
            <w:noProof/>
            <w:webHidden/>
          </w:rPr>
        </w:r>
        <w:r>
          <w:rPr>
            <w:noProof/>
            <w:webHidden/>
          </w:rPr>
          <w:fldChar w:fldCharType="separate"/>
        </w:r>
        <w:r>
          <w:rPr>
            <w:noProof/>
            <w:webHidden/>
          </w:rPr>
          <w:t>7</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29" w:history="1">
        <w:r w:rsidRPr="009A2129">
          <w:rPr>
            <w:rStyle w:val="a9"/>
            <w:noProof/>
          </w:rPr>
          <w:t xml:space="preserve">3.2 </w:t>
        </w:r>
        <w:r w:rsidRPr="009A2129">
          <w:rPr>
            <w:rStyle w:val="a9"/>
            <w:rFonts w:hint="eastAsia"/>
            <w:noProof/>
          </w:rPr>
          <w:t>基金净值表现</w:t>
        </w:r>
        <w:r>
          <w:rPr>
            <w:noProof/>
            <w:webHidden/>
          </w:rPr>
          <w:tab/>
        </w:r>
        <w:r>
          <w:rPr>
            <w:noProof/>
            <w:webHidden/>
          </w:rPr>
          <w:fldChar w:fldCharType="begin"/>
        </w:r>
        <w:r>
          <w:rPr>
            <w:noProof/>
            <w:webHidden/>
          </w:rPr>
          <w:instrText xml:space="preserve"> PAGEREF _Toc35959529 \h </w:instrText>
        </w:r>
        <w:r>
          <w:rPr>
            <w:noProof/>
            <w:webHidden/>
          </w:rPr>
        </w:r>
        <w:r>
          <w:rPr>
            <w:noProof/>
            <w:webHidden/>
          </w:rPr>
          <w:fldChar w:fldCharType="separate"/>
        </w:r>
        <w:r>
          <w:rPr>
            <w:noProof/>
            <w:webHidden/>
          </w:rPr>
          <w:t>8</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30" w:history="1">
        <w:r w:rsidRPr="009A2129">
          <w:rPr>
            <w:rStyle w:val="a9"/>
            <w:noProof/>
          </w:rPr>
          <w:t>3.3</w:t>
        </w:r>
        <w:r w:rsidRPr="009A2129">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_Toc35959530 \h </w:instrText>
        </w:r>
        <w:r>
          <w:rPr>
            <w:noProof/>
            <w:webHidden/>
          </w:rPr>
        </w:r>
        <w:r>
          <w:rPr>
            <w:noProof/>
            <w:webHidden/>
          </w:rPr>
          <w:fldChar w:fldCharType="separate"/>
        </w:r>
        <w:r>
          <w:rPr>
            <w:noProof/>
            <w:webHidden/>
          </w:rPr>
          <w:t>11</w:t>
        </w:r>
        <w:r>
          <w:rPr>
            <w:noProof/>
            <w:webHidden/>
          </w:rPr>
          <w:fldChar w:fldCharType="end"/>
        </w:r>
      </w:hyperlink>
    </w:p>
    <w:p w:rsidR="003118C1" w:rsidRDefault="003118C1">
      <w:pPr>
        <w:pStyle w:val="11"/>
        <w:rPr>
          <w:rFonts w:asciiTheme="minorHAnsi" w:eastAsiaTheme="minorEastAsia" w:hAnsiTheme="minorHAnsi" w:cstheme="minorBidi"/>
          <w:noProof/>
          <w:szCs w:val="22"/>
        </w:rPr>
      </w:pPr>
      <w:hyperlink w:anchor="_Toc35959531" w:history="1">
        <w:r w:rsidRPr="009A2129">
          <w:rPr>
            <w:rStyle w:val="a9"/>
            <w:b/>
            <w:bCs/>
            <w:noProof/>
          </w:rPr>
          <w:t xml:space="preserve">§4  </w:t>
        </w:r>
        <w:r w:rsidRPr="009A2129">
          <w:rPr>
            <w:rStyle w:val="a9"/>
            <w:rFonts w:hint="eastAsia"/>
            <w:b/>
            <w:bCs/>
            <w:noProof/>
          </w:rPr>
          <w:t>管理人报告</w:t>
        </w:r>
        <w:r>
          <w:rPr>
            <w:noProof/>
            <w:webHidden/>
          </w:rPr>
          <w:tab/>
        </w:r>
        <w:r>
          <w:rPr>
            <w:noProof/>
            <w:webHidden/>
          </w:rPr>
          <w:fldChar w:fldCharType="begin"/>
        </w:r>
        <w:r>
          <w:rPr>
            <w:noProof/>
            <w:webHidden/>
          </w:rPr>
          <w:instrText xml:space="preserve"> PAGEREF _Toc35959531 \h </w:instrText>
        </w:r>
        <w:r>
          <w:rPr>
            <w:noProof/>
            <w:webHidden/>
          </w:rPr>
        </w:r>
        <w:r>
          <w:rPr>
            <w:noProof/>
            <w:webHidden/>
          </w:rPr>
          <w:fldChar w:fldCharType="separate"/>
        </w:r>
        <w:r>
          <w:rPr>
            <w:noProof/>
            <w:webHidden/>
          </w:rPr>
          <w:t>12</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32" w:history="1">
        <w:r w:rsidRPr="009A2129">
          <w:rPr>
            <w:rStyle w:val="a9"/>
            <w:noProof/>
          </w:rPr>
          <w:t xml:space="preserve">4.1 </w:t>
        </w:r>
        <w:r w:rsidRPr="009A2129">
          <w:rPr>
            <w:rStyle w:val="a9"/>
            <w:rFonts w:hint="eastAsia"/>
            <w:noProof/>
          </w:rPr>
          <w:t>基金管理人及基金经理情况</w:t>
        </w:r>
        <w:r>
          <w:rPr>
            <w:noProof/>
            <w:webHidden/>
          </w:rPr>
          <w:tab/>
        </w:r>
        <w:r>
          <w:rPr>
            <w:noProof/>
            <w:webHidden/>
          </w:rPr>
          <w:fldChar w:fldCharType="begin"/>
        </w:r>
        <w:r>
          <w:rPr>
            <w:noProof/>
            <w:webHidden/>
          </w:rPr>
          <w:instrText xml:space="preserve"> PAGEREF _Toc35959532 \h </w:instrText>
        </w:r>
        <w:r>
          <w:rPr>
            <w:noProof/>
            <w:webHidden/>
          </w:rPr>
        </w:r>
        <w:r>
          <w:rPr>
            <w:noProof/>
            <w:webHidden/>
          </w:rPr>
          <w:fldChar w:fldCharType="separate"/>
        </w:r>
        <w:r>
          <w:rPr>
            <w:noProof/>
            <w:webHidden/>
          </w:rPr>
          <w:t>12</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33" w:history="1">
        <w:r w:rsidRPr="009A2129">
          <w:rPr>
            <w:rStyle w:val="a9"/>
            <w:noProof/>
          </w:rPr>
          <w:t xml:space="preserve">4.2 </w:t>
        </w:r>
        <w:r w:rsidRPr="009A2129">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_Toc35959533 \h </w:instrText>
        </w:r>
        <w:r>
          <w:rPr>
            <w:noProof/>
            <w:webHidden/>
          </w:rPr>
        </w:r>
        <w:r>
          <w:rPr>
            <w:noProof/>
            <w:webHidden/>
          </w:rPr>
          <w:fldChar w:fldCharType="separate"/>
        </w:r>
        <w:r>
          <w:rPr>
            <w:noProof/>
            <w:webHidden/>
          </w:rPr>
          <w:t>15</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34" w:history="1">
        <w:r w:rsidRPr="009A2129">
          <w:rPr>
            <w:rStyle w:val="a9"/>
            <w:noProof/>
          </w:rPr>
          <w:t xml:space="preserve">4.3 </w:t>
        </w:r>
        <w:r w:rsidRPr="009A2129">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_Toc35959534 \h </w:instrText>
        </w:r>
        <w:r>
          <w:rPr>
            <w:noProof/>
            <w:webHidden/>
          </w:rPr>
        </w:r>
        <w:r>
          <w:rPr>
            <w:noProof/>
            <w:webHidden/>
          </w:rPr>
          <w:fldChar w:fldCharType="separate"/>
        </w:r>
        <w:r>
          <w:rPr>
            <w:noProof/>
            <w:webHidden/>
          </w:rPr>
          <w:t>15</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35" w:history="1">
        <w:r w:rsidRPr="009A2129">
          <w:rPr>
            <w:rStyle w:val="a9"/>
            <w:noProof/>
          </w:rPr>
          <w:t xml:space="preserve">4.4 </w:t>
        </w:r>
        <w:r w:rsidRPr="009A2129">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_Toc35959535 \h </w:instrText>
        </w:r>
        <w:r>
          <w:rPr>
            <w:noProof/>
            <w:webHidden/>
          </w:rPr>
        </w:r>
        <w:r>
          <w:rPr>
            <w:noProof/>
            <w:webHidden/>
          </w:rPr>
          <w:fldChar w:fldCharType="separate"/>
        </w:r>
        <w:r>
          <w:rPr>
            <w:noProof/>
            <w:webHidden/>
          </w:rPr>
          <w:t>16</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36" w:history="1">
        <w:r w:rsidRPr="009A2129">
          <w:rPr>
            <w:rStyle w:val="a9"/>
            <w:noProof/>
          </w:rPr>
          <w:t xml:space="preserve">4.5 </w:t>
        </w:r>
        <w:r w:rsidRPr="009A2129">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_Toc35959536 \h </w:instrText>
        </w:r>
        <w:r>
          <w:rPr>
            <w:noProof/>
            <w:webHidden/>
          </w:rPr>
        </w:r>
        <w:r>
          <w:rPr>
            <w:noProof/>
            <w:webHidden/>
          </w:rPr>
          <w:fldChar w:fldCharType="separate"/>
        </w:r>
        <w:r>
          <w:rPr>
            <w:noProof/>
            <w:webHidden/>
          </w:rPr>
          <w:t>17</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37" w:history="1">
        <w:r w:rsidRPr="009A2129">
          <w:rPr>
            <w:rStyle w:val="a9"/>
            <w:noProof/>
          </w:rPr>
          <w:t xml:space="preserve">4.6 </w:t>
        </w:r>
        <w:r w:rsidRPr="009A2129">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_Toc35959537 \h </w:instrText>
        </w:r>
        <w:r>
          <w:rPr>
            <w:noProof/>
            <w:webHidden/>
          </w:rPr>
        </w:r>
        <w:r>
          <w:rPr>
            <w:noProof/>
            <w:webHidden/>
          </w:rPr>
          <w:fldChar w:fldCharType="separate"/>
        </w:r>
        <w:r>
          <w:rPr>
            <w:noProof/>
            <w:webHidden/>
          </w:rPr>
          <w:t>18</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38" w:history="1">
        <w:r w:rsidRPr="009A2129">
          <w:rPr>
            <w:rStyle w:val="a9"/>
            <w:noProof/>
          </w:rPr>
          <w:t xml:space="preserve">4.7 </w:t>
        </w:r>
        <w:r w:rsidRPr="009A2129">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_Toc35959538 \h </w:instrText>
        </w:r>
        <w:r>
          <w:rPr>
            <w:noProof/>
            <w:webHidden/>
          </w:rPr>
        </w:r>
        <w:r>
          <w:rPr>
            <w:noProof/>
            <w:webHidden/>
          </w:rPr>
          <w:fldChar w:fldCharType="separate"/>
        </w:r>
        <w:r>
          <w:rPr>
            <w:noProof/>
            <w:webHidden/>
          </w:rPr>
          <w:t>18</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39" w:history="1">
        <w:r w:rsidRPr="009A2129">
          <w:rPr>
            <w:rStyle w:val="a9"/>
            <w:noProof/>
          </w:rPr>
          <w:t>4.8</w:t>
        </w:r>
        <w:r w:rsidRPr="009A2129">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_Toc35959539 \h </w:instrText>
        </w:r>
        <w:r>
          <w:rPr>
            <w:noProof/>
            <w:webHidden/>
          </w:rPr>
        </w:r>
        <w:r>
          <w:rPr>
            <w:noProof/>
            <w:webHidden/>
          </w:rPr>
          <w:fldChar w:fldCharType="separate"/>
        </w:r>
        <w:r>
          <w:rPr>
            <w:noProof/>
            <w:webHidden/>
          </w:rPr>
          <w:t>19</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40" w:history="1">
        <w:r w:rsidRPr="009A2129">
          <w:rPr>
            <w:rStyle w:val="a9"/>
            <w:noProof/>
          </w:rPr>
          <w:t>4.9</w:t>
        </w:r>
        <w:r w:rsidRPr="009A2129">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_Toc35959540 \h </w:instrText>
        </w:r>
        <w:r>
          <w:rPr>
            <w:noProof/>
            <w:webHidden/>
          </w:rPr>
        </w:r>
        <w:r>
          <w:rPr>
            <w:noProof/>
            <w:webHidden/>
          </w:rPr>
          <w:fldChar w:fldCharType="separate"/>
        </w:r>
        <w:r>
          <w:rPr>
            <w:noProof/>
            <w:webHidden/>
          </w:rPr>
          <w:t>19</w:t>
        </w:r>
        <w:r>
          <w:rPr>
            <w:noProof/>
            <w:webHidden/>
          </w:rPr>
          <w:fldChar w:fldCharType="end"/>
        </w:r>
      </w:hyperlink>
    </w:p>
    <w:p w:rsidR="003118C1" w:rsidRDefault="003118C1">
      <w:pPr>
        <w:pStyle w:val="11"/>
        <w:rPr>
          <w:rFonts w:asciiTheme="minorHAnsi" w:eastAsiaTheme="minorEastAsia" w:hAnsiTheme="minorHAnsi" w:cstheme="minorBidi"/>
          <w:noProof/>
          <w:szCs w:val="22"/>
        </w:rPr>
      </w:pPr>
      <w:hyperlink w:anchor="_Toc35959541" w:history="1">
        <w:r w:rsidRPr="009A2129">
          <w:rPr>
            <w:rStyle w:val="a9"/>
            <w:b/>
            <w:bCs/>
            <w:noProof/>
          </w:rPr>
          <w:t xml:space="preserve">§5  </w:t>
        </w:r>
        <w:r w:rsidRPr="009A2129">
          <w:rPr>
            <w:rStyle w:val="a9"/>
            <w:rFonts w:hint="eastAsia"/>
            <w:b/>
            <w:bCs/>
            <w:noProof/>
          </w:rPr>
          <w:t>托管人报告</w:t>
        </w:r>
        <w:r>
          <w:rPr>
            <w:noProof/>
            <w:webHidden/>
          </w:rPr>
          <w:tab/>
        </w:r>
        <w:r>
          <w:rPr>
            <w:noProof/>
            <w:webHidden/>
          </w:rPr>
          <w:fldChar w:fldCharType="begin"/>
        </w:r>
        <w:r>
          <w:rPr>
            <w:noProof/>
            <w:webHidden/>
          </w:rPr>
          <w:instrText xml:space="preserve"> PAGEREF _Toc35959541 \h </w:instrText>
        </w:r>
        <w:r>
          <w:rPr>
            <w:noProof/>
            <w:webHidden/>
          </w:rPr>
        </w:r>
        <w:r>
          <w:rPr>
            <w:noProof/>
            <w:webHidden/>
          </w:rPr>
          <w:fldChar w:fldCharType="separate"/>
        </w:r>
        <w:r>
          <w:rPr>
            <w:noProof/>
            <w:webHidden/>
          </w:rPr>
          <w:t>19</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42" w:history="1">
        <w:r w:rsidRPr="009A2129">
          <w:rPr>
            <w:rStyle w:val="a9"/>
            <w:noProof/>
          </w:rPr>
          <w:t xml:space="preserve">5.1 </w:t>
        </w:r>
        <w:r w:rsidRPr="009A2129">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_Toc35959542 \h </w:instrText>
        </w:r>
        <w:r>
          <w:rPr>
            <w:noProof/>
            <w:webHidden/>
          </w:rPr>
        </w:r>
        <w:r>
          <w:rPr>
            <w:noProof/>
            <w:webHidden/>
          </w:rPr>
          <w:fldChar w:fldCharType="separate"/>
        </w:r>
        <w:r>
          <w:rPr>
            <w:noProof/>
            <w:webHidden/>
          </w:rPr>
          <w:t>19</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43" w:history="1">
        <w:r w:rsidRPr="009A2129">
          <w:rPr>
            <w:rStyle w:val="a9"/>
            <w:noProof/>
          </w:rPr>
          <w:t xml:space="preserve">5.2 </w:t>
        </w:r>
        <w:r w:rsidRPr="009A2129">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_Toc35959543 \h </w:instrText>
        </w:r>
        <w:r>
          <w:rPr>
            <w:noProof/>
            <w:webHidden/>
          </w:rPr>
        </w:r>
        <w:r>
          <w:rPr>
            <w:noProof/>
            <w:webHidden/>
          </w:rPr>
          <w:fldChar w:fldCharType="separate"/>
        </w:r>
        <w:r>
          <w:rPr>
            <w:noProof/>
            <w:webHidden/>
          </w:rPr>
          <w:t>19</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44" w:history="1">
        <w:r w:rsidRPr="009A2129">
          <w:rPr>
            <w:rStyle w:val="a9"/>
            <w:noProof/>
          </w:rPr>
          <w:t xml:space="preserve">5.3 </w:t>
        </w:r>
        <w:r w:rsidRPr="009A2129">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_Toc35959544 \h </w:instrText>
        </w:r>
        <w:r>
          <w:rPr>
            <w:noProof/>
            <w:webHidden/>
          </w:rPr>
        </w:r>
        <w:r>
          <w:rPr>
            <w:noProof/>
            <w:webHidden/>
          </w:rPr>
          <w:fldChar w:fldCharType="separate"/>
        </w:r>
        <w:r>
          <w:rPr>
            <w:noProof/>
            <w:webHidden/>
          </w:rPr>
          <w:t>20</w:t>
        </w:r>
        <w:r>
          <w:rPr>
            <w:noProof/>
            <w:webHidden/>
          </w:rPr>
          <w:fldChar w:fldCharType="end"/>
        </w:r>
      </w:hyperlink>
    </w:p>
    <w:p w:rsidR="003118C1" w:rsidRDefault="003118C1">
      <w:pPr>
        <w:pStyle w:val="11"/>
        <w:rPr>
          <w:rFonts w:asciiTheme="minorHAnsi" w:eastAsiaTheme="minorEastAsia" w:hAnsiTheme="minorHAnsi" w:cstheme="minorBidi"/>
          <w:noProof/>
          <w:szCs w:val="22"/>
        </w:rPr>
      </w:pPr>
      <w:hyperlink w:anchor="_Toc35959545" w:history="1">
        <w:r w:rsidRPr="009A2129">
          <w:rPr>
            <w:rStyle w:val="a9"/>
            <w:b/>
            <w:bCs/>
            <w:noProof/>
          </w:rPr>
          <w:t xml:space="preserve">§6  </w:t>
        </w:r>
        <w:r w:rsidRPr="009A2129">
          <w:rPr>
            <w:rStyle w:val="a9"/>
            <w:rFonts w:hint="eastAsia"/>
            <w:b/>
            <w:bCs/>
            <w:noProof/>
          </w:rPr>
          <w:t>审计报告</w:t>
        </w:r>
        <w:r>
          <w:rPr>
            <w:noProof/>
            <w:webHidden/>
          </w:rPr>
          <w:tab/>
        </w:r>
        <w:r>
          <w:rPr>
            <w:noProof/>
            <w:webHidden/>
          </w:rPr>
          <w:fldChar w:fldCharType="begin"/>
        </w:r>
        <w:r>
          <w:rPr>
            <w:noProof/>
            <w:webHidden/>
          </w:rPr>
          <w:instrText xml:space="preserve"> PAGEREF _Toc35959545 \h </w:instrText>
        </w:r>
        <w:r>
          <w:rPr>
            <w:noProof/>
            <w:webHidden/>
          </w:rPr>
        </w:r>
        <w:r>
          <w:rPr>
            <w:noProof/>
            <w:webHidden/>
          </w:rPr>
          <w:fldChar w:fldCharType="separate"/>
        </w:r>
        <w:r>
          <w:rPr>
            <w:noProof/>
            <w:webHidden/>
          </w:rPr>
          <w:t>20</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46" w:history="1">
        <w:r w:rsidRPr="009A2129">
          <w:rPr>
            <w:rStyle w:val="a9"/>
            <w:noProof/>
          </w:rPr>
          <w:t xml:space="preserve">6.1 </w:t>
        </w:r>
        <w:r w:rsidRPr="009A2129">
          <w:rPr>
            <w:rStyle w:val="a9"/>
            <w:rFonts w:hint="eastAsia"/>
            <w:noProof/>
          </w:rPr>
          <w:t>审计意见</w:t>
        </w:r>
        <w:r>
          <w:rPr>
            <w:noProof/>
            <w:webHidden/>
          </w:rPr>
          <w:tab/>
        </w:r>
        <w:r>
          <w:rPr>
            <w:noProof/>
            <w:webHidden/>
          </w:rPr>
          <w:fldChar w:fldCharType="begin"/>
        </w:r>
        <w:r>
          <w:rPr>
            <w:noProof/>
            <w:webHidden/>
          </w:rPr>
          <w:instrText xml:space="preserve"> PAGEREF _Toc35959546 \h </w:instrText>
        </w:r>
        <w:r>
          <w:rPr>
            <w:noProof/>
            <w:webHidden/>
          </w:rPr>
        </w:r>
        <w:r>
          <w:rPr>
            <w:noProof/>
            <w:webHidden/>
          </w:rPr>
          <w:fldChar w:fldCharType="separate"/>
        </w:r>
        <w:r>
          <w:rPr>
            <w:noProof/>
            <w:webHidden/>
          </w:rPr>
          <w:t>20</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47" w:history="1">
        <w:r w:rsidRPr="009A2129">
          <w:rPr>
            <w:rStyle w:val="a9"/>
            <w:noProof/>
          </w:rPr>
          <w:t xml:space="preserve">6.2 </w:t>
        </w:r>
        <w:r w:rsidRPr="009A2129">
          <w:rPr>
            <w:rStyle w:val="a9"/>
            <w:rFonts w:hint="eastAsia"/>
            <w:noProof/>
          </w:rPr>
          <w:t>形成审计意见的基础</w:t>
        </w:r>
        <w:r>
          <w:rPr>
            <w:noProof/>
            <w:webHidden/>
          </w:rPr>
          <w:tab/>
        </w:r>
        <w:r>
          <w:rPr>
            <w:noProof/>
            <w:webHidden/>
          </w:rPr>
          <w:fldChar w:fldCharType="begin"/>
        </w:r>
        <w:r>
          <w:rPr>
            <w:noProof/>
            <w:webHidden/>
          </w:rPr>
          <w:instrText xml:space="preserve"> PAGEREF _Toc35959547 \h </w:instrText>
        </w:r>
        <w:r>
          <w:rPr>
            <w:noProof/>
            <w:webHidden/>
          </w:rPr>
        </w:r>
        <w:r>
          <w:rPr>
            <w:noProof/>
            <w:webHidden/>
          </w:rPr>
          <w:fldChar w:fldCharType="separate"/>
        </w:r>
        <w:r>
          <w:rPr>
            <w:noProof/>
            <w:webHidden/>
          </w:rPr>
          <w:t>20</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48" w:history="1">
        <w:r w:rsidRPr="009A2129">
          <w:rPr>
            <w:rStyle w:val="a9"/>
            <w:noProof/>
          </w:rPr>
          <w:t xml:space="preserve">6.3 </w:t>
        </w:r>
        <w:r w:rsidRPr="009A2129">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_Toc35959548 \h </w:instrText>
        </w:r>
        <w:r>
          <w:rPr>
            <w:noProof/>
            <w:webHidden/>
          </w:rPr>
        </w:r>
        <w:r>
          <w:rPr>
            <w:noProof/>
            <w:webHidden/>
          </w:rPr>
          <w:fldChar w:fldCharType="separate"/>
        </w:r>
        <w:r>
          <w:rPr>
            <w:noProof/>
            <w:webHidden/>
          </w:rPr>
          <w:t>20</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49" w:history="1">
        <w:r w:rsidRPr="009A2129">
          <w:rPr>
            <w:rStyle w:val="a9"/>
            <w:noProof/>
          </w:rPr>
          <w:t xml:space="preserve">6.4 </w:t>
        </w:r>
        <w:r w:rsidRPr="009A2129">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_Toc35959549 \h </w:instrText>
        </w:r>
        <w:r>
          <w:rPr>
            <w:noProof/>
            <w:webHidden/>
          </w:rPr>
        </w:r>
        <w:r>
          <w:rPr>
            <w:noProof/>
            <w:webHidden/>
          </w:rPr>
          <w:fldChar w:fldCharType="separate"/>
        </w:r>
        <w:r>
          <w:rPr>
            <w:noProof/>
            <w:webHidden/>
          </w:rPr>
          <w:t>21</w:t>
        </w:r>
        <w:r>
          <w:rPr>
            <w:noProof/>
            <w:webHidden/>
          </w:rPr>
          <w:fldChar w:fldCharType="end"/>
        </w:r>
      </w:hyperlink>
    </w:p>
    <w:p w:rsidR="003118C1" w:rsidRDefault="003118C1">
      <w:pPr>
        <w:pStyle w:val="11"/>
        <w:rPr>
          <w:rFonts w:asciiTheme="minorHAnsi" w:eastAsiaTheme="minorEastAsia" w:hAnsiTheme="minorHAnsi" w:cstheme="minorBidi"/>
          <w:noProof/>
          <w:szCs w:val="22"/>
        </w:rPr>
      </w:pPr>
      <w:hyperlink w:anchor="_Toc35959550" w:history="1">
        <w:r w:rsidRPr="009A2129">
          <w:rPr>
            <w:rStyle w:val="a9"/>
            <w:b/>
            <w:bCs/>
            <w:noProof/>
          </w:rPr>
          <w:t>§7</w:t>
        </w:r>
        <w:r w:rsidRPr="009A2129">
          <w:rPr>
            <w:rStyle w:val="a9"/>
            <w:rFonts w:hint="eastAsia"/>
            <w:b/>
            <w:bCs/>
            <w:noProof/>
          </w:rPr>
          <w:t>年度财务报表</w:t>
        </w:r>
        <w:r>
          <w:rPr>
            <w:noProof/>
            <w:webHidden/>
          </w:rPr>
          <w:tab/>
        </w:r>
        <w:r>
          <w:rPr>
            <w:noProof/>
            <w:webHidden/>
          </w:rPr>
          <w:fldChar w:fldCharType="begin"/>
        </w:r>
        <w:r>
          <w:rPr>
            <w:noProof/>
            <w:webHidden/>
          </w:rPr>
          <w:instrText xml:space="preserve"> PAGEREF _Toc35959550 \h </w:instrText>
        </w:r>
        <w:r>
          <w:rPr>
            <w:noProof/>
            <w:webHidden/>
          </w:rPr>
        </w:r>
        <w:r>
          <w:rPr>
            <w:noProof/>
            <w:webHidden/>
          </w:rPr>
          <w:fldChar w:fldCharType="separate"/>
        </w:r>
        <w:r>
          <w:rPr>
            <w:noProof/>
            <w:webHidden/>
          </w:rPr>
          <w:t>22</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51" w:history="1">
        <w:r w:rsidRPr="009A2129">
          <w:rPr>
            <w:rStyle w:val="a9"/>
            <w:noProof/>
          </w:rPr>
          <w:t xml:space="preserve">7.1 </w:t>
        </w:r>
        <w:r w:rsidRPr="009A2129">
          <w:rPr>
            <w:rStyle w:val="a9"/>
            <w:rFonts w:hint="eastAsia"/>
            <w:noProof/>
          </w:rPr>
          <w:t>资产负债表</w:t>
        </w:r>
        <w:r>
          <w:rPr>
            <w:noProof/>
            <w:webHidden/>
          </w:rPr>
          <w:tab/>
        </w:r>
        <w:r>
          <w:rPr>
            <w:noProof/>
            <w:webHidden/>
          </w:rPr>
          <w:fldChar w:fldCharType="begin"/>
        </w:r>
        <w:r>
          <w:rPr>
            <w:noProof/>
            <w:webHidden/>
          </w:rPr>
          <w:instrText xml:space="preserve"> PAGEREF _Toc35959551 \h </w:instrText>
        </w:r>
        <w:r>
          <w:rPr>
            <w:noProof/>
            <w:webHidden/>
          </w:rPr>
        </w:r>
        <w:r>
          <w:rPr>
            <w:noProof/>
            <w:webHidden/>
          </w:rPr>
          <w:fldChar w:fldCharType="separate"/>
        </w:r>
        <w:r>
          <w:rPr>
            <w:noProof/>
            <w:webHidden/>
          </w:rPr>
          <w:t>22</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52" w:history="1">
        <w:r w:rsidRPr="009A2129">
          <w:rPr>
            <w:rStyle w:val="a9"/>
            <w:noProof/>
          </w:rPr>
          <w:t xml:space="preserve">7.2 </w:t>
        </w:r>
        <w:r w:rsidRPr="009A2129">
          <w:rPr>
            <w:rStyle w:val="a9"/>
            <w:rFonts w:hint="eastAsia"/>
            <w:noProof/>
          </w:rPr>
          <w:t>利润表</w:t>
        </w:r>
        <w:r>
          <w:rPr>
            <w:noProof/>
            <w:webHidden/>
          </w:rPr>
          <w:tab/>
        </w:r>
        <w:r>
          <w:rPr>
            <w:noProof/>
            <w:webHidden/>
          </w:rPr>
          <w:fldChar w:fldCharType="begin"/>
        </w:r>
        <w:r>
          <w:rPr>
            <w:noProof/>
            <w:webHidden/>
          </w:rPr>
          <w:instrText xml:space="preserve"> PAGEREF _Toc35959552 \h </w:instrText>
        </w:r>
        <w:r>
          <w:rPr>
            <w:noProof/>
            <w:webHidden/>
          </w:rPr>
        </w:r>
        <w:r>
          <w:rPr>
            <w:noProof/>
            <w:webHidden/>
          </w:rPr>
          <w:fldChar w:fldCharType="separate"/>
        </w:r>
        <w:r>
          <w:rPr>
            <w:noProof/>
            <w:webHidden/>
          </w:rPr>
          <w:t>23</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53" w:history="1">
        <w:r w:rsidRPr="009A2129">
          <w:rPr>
            <w:rStyle w:val="a9"/>
            <w:noProof/>
          </w:rPr>
          <w:t xml:space="preserve">7.3 </w:t>
        </w:r>
        <w:r w:rsidRPr="009A2129">
          <w:rPr>
            <w:rStyle w:val="a9"/>
            <w:rFonts w:hint="eastAsia"/>
            <w:noProof/>
          </w:rPr>
          <w:t>所有者权益（基金净值）变动表</w:t>
        </w:r>
        <w:r>
          <w:rPr>
            <w:noProof/>
            <w:webHidden/>
          </w:rPr>
          <w:tab/>
        </w:r>
        <w:r>
          <w:rPr>
            <w:noProof/>
            <w:webHidden/>
          </w:rPr>
          <w:fldChar w:fldCharType="begin"/>
        </w:r>
        <w:r>
          <w:rPr>
            <w:noProof/>
            <w:webHidden/>
          </w:rPr>
          <w:instrText xml:space="preserve"> PAGEREF _Toc35959553 \h </w:instrText>
        </w:r>
        <w:r>
          <w:rPr>
            <w:noProof/>
            <w:webHidden/>
          </w:rPr>
        </w:r>
        <w:r>
          <w:rPr>
            <w:noProof/>
            <w:webHidden/>
          </w:rPr>
          <w:fldChar w:fldCharType="separate"/>
        </w:r>
        <w:r>
          <w:rPr>
            <w:noProof/>
            <w:webHidden/>
          </w:rPr>
          <w:t>25</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54" w:history="1">
        <w:r w:rsidRPr="009A2129">
          <w:rPr>
            <w:rStyle w:val="a9"/>
            <w:noProof/>
          </w:rPr>
          <w:t xml:space="preserve">7.4 </w:t>
        </w:r>
        <w:r w:rsidRPr="009A2129">
          <w:rPr>
            <w:rStyle w:val="a9"/>
            <w:rFonts w:hint="eastAsia"/>
            <w:noProof/>
          </w:rPr>
          <w:t>报表附注</w:t>
        </w:r>
        <w:r>
          <w:rPr>
            <w:noProof/>
            <w:webHidden/>
          </w:rPr>
          <w:tab/>
        </w:r>
        <w:r>
          <w:rPr>
            <w:noProof/>
            <w:webHidden/>
          </w:rPr>
          <w:fldChar w:fldCharType="begin"/>
        </w:r>
        <w:r>
          <w:rPr>
            <w:noProof/>
            <w:webHidden/>
          </w:rPr>
          <w:instrText xml:space="preserve"> PAGEREF _Toc35959554 \h </w:instrText>
        </w:r>
        <w:r>
          <w:rPr>
            <w:noProof/>
            <w:webHidden/>
          </w:rPr>
        </w:r>
        <w:r>
          <w:rPr>
            <w:noProof/>
            <w:webHidden/>
          </w:rPr>
          <w:fldChar w:fldCharType="separate"/>
        </w:r>
        <w:r>
          <w:rPr>
            <w:noProof/>
            <w:webHidden/>
          </w:rPr>
          <w:t>26</w:t>
        </w:r>
        <w:r>
          <w:rPr>
            <w:noProof/>
            <w:webHidden/>
          </w:rPr>
          <w:fldChar w:fldCharType="end"/>
        </w:r>
      </w:hyperlink>
    </w:p>
    <w:p w:rsidR="003118C1" w:rsidRDefault="003118C1">
      <w:pPr>
        <w:pStyle w:val="11"/>
        <w:rPr>
          <w:rFonts w:asciiTheme="minorHAnsi" w:eastAsiaTheme="minorEastAsia" w:hAnsiTheme="minorHAnsi" w:cstheme="minorBidi"/>
          <w:noProof/>
          <w:szCs w:val="22"/>
        </w:rPr>
      </w:pPr>
      <w:hyperlink w:anchor="_Toc35959555" w:history="1">
        <w:r w:rsidRPr="009A2129">
          <w:rPr>
            <w:rStyle w:val="a9"/>
            <w:b/>
            <w:bCs/>
            <w:noProof/>
          </w:rPr>
          <w:t>§8</w:t>
        </w:r>
        <w:r w:rsidRPr="009A2129">
          <w:rPr>
            <w:rStyle w:val="a9"/>
            <w:rFonts w:hint="eastAsia"/>
            <w:b/>
            <w:bCs/>
            <w:noProof/>
          </w:rPr>
          <w:t>投资组合报告</w:t>
        </w:r>
        <w:r>
          <w:rPr>
            <w:noProof/>
            <w:webHidden/>
          </w:rPr>
          <w:tab/>
        </w:r>
        <w:r>
          <w:rPr>
            <w:noProof/>
            <w:webHidden/>
          </w:rPr>
          <w:fldChar w:fldCharType="begin"/>
        </w:r>
        <w:r>
          <w:rPr>
            <w:noProof/>
            <w:webHidden/>
          </w:rPr>
          <w:instrText xml:space="preserve"> PAGEREF _Toc35959555 \h </w:instrText>
        </w:r>
        <w:r>
          <w:rPr>
            <w:noProof/>
            <w:webHidden/>
          </w:rPr>
        </w:r>
        <w:r>
          <w:rPr>
            <w:noProof/>
            <w:webHidden/>
          </w:rPr>
          <w:fldChar w:fldCharType="separate"/>
        </w:r>
        <w:r>
          <w:rPr>
            <w:noProof/>
            <w:webHidden/>
          </w:rPr>
          <w:t>48</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56" w:history="1">
        <w:r w:rsidRPr="009A2129">
          <w:rPr>
            <w:rStyle w:val="a9"/>
            <w:noProof/>
          </w:rPr>
          <w:t xml:space="preserve">8.1 </w:t>
        </w:r>
        <w:r w:rsidRPr="009A2129">
          <w:rPr>
            <w:rStyle w:val="a9"/>
            <w:rFonts w:hint="eastAsia"/>
            <w:noProof/>
          </w:rPr>
          <w:t>期末基金资产组合情况</w:t>
        </w:r>
        <w:r>
          <w:rPr>
            <w:noProof/>
            <w:webHidden/>
          </w:rPr>
          <w:tab/>
        </w:r>
        <w:r>
          <w:rPr>
            <w:noProof/>
            <w:webHidden/>
          </w:rPr>
          <w:fldChar w:fldCharType="begin"/>
        </w:r>
        <w:r>
          <w:rPr>
            <w:noProof/>
            <w:webHidden/>
          </w:rPr>
          <w:instrText xml:space="preserve"> PAGEREF _Toc35959556 \h </w:instrText>
        </w:r>
        <w:r>
          <w:rPr>
            <w:noProof/>
            <w:webHidden/>
          </w:rPr>
        </w:r>
        <w:r>
          <w:rPr>
            <w:noProof/>
            <w:webHidden/>
          </w:rPr>
          <w:fldChar w:fldCharType="separate"/>
        </w:r>
        <w:r>
          <w:rPr>
            <w:noProof/>
            <w:webHidden/>
          </w:rPr>
          <w:t>48</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57" w:history="1">
        <w:r w:rsidRPr="009A2129">
          <w:rPr>
            <w:rStyle w:val="a9"/>
            <w:noProof/>
          </w:rPr>
          <w:t>8.2</w:t>
        </w:r>
        <w:r w:rsidRPr="009A2129">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_Toc35959557 \h </w:instrText>
        </w:r>
        <w:r>
          <w:rPr>
            <w:noProof/>
            <w:webHidden/>
          </w:rPr>
        </w:r>
        <w:r>
          <w:rPr>
            <w:noProof/>
            <w:webHidden/>
          </w:rPr>
          <w:fldChar w:fldCharType="separate"/>
        </w:r>
        <w:r>
          <w:rPr>
            <w:noProof/>
            <w:webHidden/>
          </w:rPr>
          <w:t>49</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58" w:history="1">
        <w:r w:rsidRPr="009A2129">
          <w:rPr>
            <w:rStyle w:val="a9"/>
            <w:noProof/>
          </w:rPr>
          <w:t>8.3</w:t>
        </w:r>
        <w:r w:rsidRPr="009A2129">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_Toc35959558 \h </w:instrText>
        </w:r>
        <w:r>
          <w:rPr>
            <w:noProof/>
            <w:webHidden/>
          </w:rPr>
        </w:r>
        <w:r>
          <w:rPr>
            <w:noProof/>
            <w:webHidden/>
          </w:rPr>
          <w:fldChar w:fldCharType="separate"/>
        </w:r>
        <w:r>
          <w:rPr>
            <w:noProof/>
            <w:webHidden/>
          </w:rPr>
          <w:t>49</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59" w:history="1">
        <w:r w:rsidRPr="009A2129">
          <w:rPr>
            <w:rStyle w:val="a9"/>
            <w:noProof/>
          </w:rPr>
          <w:t>8.4</w:t>
        </w:r>
        <w:r w:rsidRPr="009A2129">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_Toc35959559 \h </w:instrText>
        </w:r>
        <w:r>
          <w:rPr>
            <w:noProof/>
            <w:webHidden/>
          </w:rPr>
        </w:r>
        <w:r>
          <w:rPr>
            <w:noProof/>
            <w:webHidden/>
          </w:rPr>
          <w:fldChar w:fldCharType="separate"/>
        </w:r>
        <w:r>
          <w:rPr>
            <w:noProof/>
            <w:webHidden/>
          </w:rPr>
          <w:t>49</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60" w:history="1">
        <w:r w:rsidRPr="009A2129">
          <w:rPr>
            <w:rStyle w:val="a9"/>
            <w:noProof/>
          </w:rPr>
          <w:t>8.5</w:t>
        </w:r>
        <w:r w:rsidRPr="009A2129">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_Toc35959560 \h </w:instrText>
        </w:r>
        <w:r>
          <w:rPr>
            <w:noProof/>
            <w:webHidden/>
          </w:rPr>
        </w:r>
        <w:r>
          <w:rPr>
            <w:noProof/>
            <w:webHidden/>
          </w:rPr>
          <w:fldChar w:fldCharType="separate"/>
        </w:r>
        <w:r>
          <w:rPr>
            <w:noProof/>
            <w:webHidden/>
          </w:rPr>
          <w:t>49</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61" w:history="1">
        <w:r w:rsidRPr="009A2129">
          <w:rPr>
            <w:rStyle w:val="a9"/>
            <w:noProof/>
          </w:rPr>
          <w:t>8.6</w:t>
        </w:r>
        <w:r w:rsidRPr="009A2129">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_Toc35959561 \h </w:instrText>
        </w:r>
        <w:r>
          <w:rPr>
            <w:noProof/>
            <w:webHidden/>
          </w:rPr>
        </w:r>
        <w:r>
          <w:rPr>
            <w:noProof/>
            <w:webHidden/>
          </w:rPr>
          <w:fldChar w:fldCharType="separate"/>
        </w:r>
        <w:r>
          <w:rPr>
            <w:noProof/>
            <w:webHidden/>
          </w:rPr>
          <w:t>50</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62" w:history="1">
        <w:r w:rsidRPr="009A2129">
          <w:rPr>
            <w:rStyle w:val="a9"/>
            <w:noProof/>
          </w:rPr>
          <w:t>8.7</w:t>
        </w:r>
        <w:r w:rsidRPr="009A2129">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_Toc35959562 \h </w:instrText>
        </w:r>
        <w:r>
          <w:rPr>
            <w:noProof/>
            <w:webHidden/>
          </w:rPr>
        </w:r>
        <w:r>
          <w:rPr>
            <w:noProof/>
            <w:webHidden/>
          </w:rPr>
          <w:fldChar w:fldCharType="separate"/>
        </w:r>
        <w:r>
          <w:rPr>
            <w:noProof/>
            <w:webHidden/>
          </w:rPr>
          <w:t>50</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63" w:history="1">
        <w:r w:rsidRPr="009A2129">
          <w:rPr>
            <w:rStyle w:val="a9"/>
            <w:noProof/>
          </w:rPr>
          <w:t>8.8</w:t>
        </w:r>
        <w:r w:rsidRPr="009A2129">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_Toc35959563 \h </w:instrText>
        </w:r>
        <w:r>
          <w:rPr>
            <w:noProof/>
            <w:webHidden/>
          </w:rPr>
        </w:r>
        <w:r>
          <w:rPr>
            <w:noProof/>
            <w:webHidden/>
          </w:rPr>
          <w:fldChar w:fldCharType="separate"/>
        </w:r>
        <w:r>
          <w:rPr>
            <w:noProof/>
            <w:webHidden/>
          </w:rPr>
          <w:t>50</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64" w:history="1">
        <w:r w:rsidRPr="009A2129">
          <w:rPr>
            <w:rStyle w:val="a9"/>
            <w:noProof/>
          </w:rPr>
          <w:t>8.9</w:t>
        </w:r>
        <w:r w:rsidRPr="009A2129">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_Toc35959564 \h </w:instrText>
        </w:r>
        <w:r>
          <w:rPr>
            <w:noProof/>
            <w:webHidden/>
          </w:rPr>
        </w:r>
        <w:r>
          <w:rPr>
            <w:noProof/>
            <w:webHidden/>
          </w:rPr>
          <w:fldChar w:fldCharType="separate"/>
        </w:r>
        <w:r>
          <w:rPr>
            <w:noProof/>
            <w:webHidden/>
          </w:rPr>
          <w:t>50</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65" w:history="1">
        <w:r w:rsidRPr="009A2129">
          <w:rPr>
            <w:rStyle w:val="a9"/>
            <w:noProof/>
          </w:rPr>
          <w:t xml:space="preserve">8.10 </w:t>
        </w:r>
        <w:r w:rsidRPr="009A2129">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_Toc35959565 \h </w:instrText>
        </w:r>
        <w:r>
          <w:rPr>
            <w:noProof/>
            <w:webHidden/>
          </w:rPr>
        </w:r>
        <w:r>
          <w:rPr>
            <w:noProof/>
            <w:webHidden/>
          </w:rPr>
          <w:fldChar w:fldCharType="separate"/>
        </w:r>
        <w:r>
          <w:rPr>
            <w:noProof/>
            <w:webHidden/>
          </w:rPr>
          <w:t>50</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66" w:history="1">
        <w:r w:rsidRPr="009A2129">
          <w:rPr>
            <w:rStyle w:val="a9"/>
            <w:noProof/>
          </w:rPr>
          <w:t>8.11</w:t>
        </w:r>
        <w:r w:rsidRPr="009A2129">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_Toc35959566 \h </w:instrText>
        </w:r>
        <w:r>
          <w:rPr>
            <w:noProof/>
            <w:webHidden/>
          </w:rPr>
        </w:r>
        <w:r>
          <w:rPr>
            <w:noProof/>
            <w:webHidden/>
          </w:rPr>
          <w:fldChar w:fldCharType="separate"/>
        </w:r>
        <w:r>
          <w:rPr>
            <w:noProof/>
            <w:webHidden/>
          </w:rPr>
          <w:t>50</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67" w:history="1">
        <w:r w:rsidRPr="009A2129">
          <w:rPr>
            <w:rStyle w:val="a9"/>
            <w:noProof/>
          </w:rPr>
          <w:t xml:space="preserve">8.12 </w:t>
        </w:r>
        <w:r w:rsidRPr="009A2129">
          <w:rPr>
            <w:rStyle w:val="a9"/>
            <w:rFonts w:hint="eastAsia"/>
            <w:noProof/>
          </w:rPr>
          <w:t>投资组合报告附注</w:t>
        </w:r>
        <w:r>
          <w:rPr>
            <w:noProof/>
            <w:webHidden/>
          </w:rPr>
          <w:tab/>
        </w:r>
        <w:r>
          <w:rPr>
            <w:noProof/>
            <w:webHidden/>
          </w:rPr>
          <w:fldChar w:fldCharType="begin"/>
        </w:r>
        <w:r>
          <w:rPr>
            <w:noProof/>
            <w:webHidden/>
          </w:rPr>
          <w:instrText xml:space="preserve"> PAGEREF _Toc35959567 \h </w:instrText>
        </w:r>
        <w:r>
          <w:rPr>
            <w:noProof/>
            <w:webHidden/>
          </w:rPr>
        </w:r>
        <w:r>
          <w:rPr>
            <w:noProof/>
            <w:webHidden/>
          </w:rPr>
          <w:fldChar w:fldCharType="separate"/>
        </w:r>
        <w:r>
          <w:rPr>
            <w:noProof/>
            <w:webHidden/>
          </w:rPr>
          <w:t>50</w:t>
        </w:r>
        <w:r>
          <w:rPr>
            <w:noProof/>
            <w:webHidden/>
          </w:rPr>
          <w:fldChar w:fldCharType="end"/>
        </w:r>
      </w:hyperlink>
    </w:p>
    <w:p w:rsidR="003118C1" w:rsidRDefault="003118C1">
      <w:pPr>
        <w:pStyle w:val="11"/>
        <w:rPr>
          <w:rFonts w:asciiTheme="minorHAnsi" w:eastAsiaTheme="minorEastAsia" w:hAnsiTheme="minorHAnsi" w:cstheme="minorBidi"/>
          <w:noProof/>
          <w:szCs w:val="22"/>
        </w:rPr>
      </w:pPr>
      <w:hyperlink w:anchor="_Toc35959568" w:history="1">
        <w:r w:rsidRPr="009A2129">
          <w:rPr>
            <w:rStyle w:val="a9"/>
            <w:b/>
            <w:bCs/>
            <w:noProof/>
          </w:rPr>
          <w:t>§9</w:t>
        </w:r>
        <w:r w:rsidRPr="009A2129">
          <w:rPr>
            <w:rStyle w:val="a9"/>
            <w:rFonts w:hint="eastAsia"/>
            <w:b/>
            <w:bCs/>
            <w:noProof/>
          </w:rPr>
          <w:t>基金份额持有人信息</w:t>
        </w:r>
        <w:r>
          <w:rPr>
            <w:noProof/>
            <w:webHidden/>
          </w:rPr>
          <w:tab/>
        </w:r>
        <w:r>
          <w:rPr>
            <w:noProof/>
            <w:webHidden/>
          </w:rPr>
          <w:fldChar w:fldCharType="begin"/>
        </w:r>
        <w:r>
          <w:rPr>
            <w:noProof/>
            <w:webHidden/>
          </w:rPr>
          <w:instrText xml:space="preserve"> PAGEREF _Toc35959568 \h </w:instrText>
        </w:r>
        <w:r>
          <w:rPr>
            <w:noProof/>
            <w:webHidden/>
          </w:rPr>
        </w:r>
        <w:r>
          <w:rPr>
            <w:noProof/>
            <w:webHidden/>
          </w:rPr>
          <w:fldChar w:fldCharType="separate"/>
        </w:r>
        <w:r>
          <w:rPr>
            <w:noProof/>
            <w:webHidden/>
          </w:rPr>
          <w:t>51</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69" w:history="1">
        <w:r w:rsidRPr="009A2129">
          <w:rPr>
            <w:rStyle w:val="a9"/>
            <w:noProof/>
          </w:rPr>
          <w:t xml:space="preserve">9.1 </w:t>
        </w:r>
        <w:r w:rsidRPr="009A2129">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_Toc35959569 \h </w:instrText>
        </w:r>
        <w:r>
          <w:rPr>
            <w:noProof/>
            <w:webHidden/>
          </w:rPr>
        </w:r>
        <w:r>
          <w:rPr>
            <w:noProof/>
            <w:webHidden/>
          </w:rPr>
          <w:fldChar w:fldCharType="separate"/>
        </w:r>
        <w:r>
          <w:rPr>
            <w:noProof/>
            <w:webHidden/>
          </w:rPr>
          <w:t>51</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70" w:history="1">
        <w:r w:rsidRPr="009A2129">
          <w:rPr>
            <w:rStyle w:val="a9"/>
            <w:noProof/>
          </w:rPr>
          <w:t>9.2</w:t>
        </w:r>
        <w:r w:rsidRPr="009A2129">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_Toc35959570 \h </w:instrText>
        </w:r>
        <w:r>
          <w:rPr>
            <w:noProof/>
            <w:webHidden/>
          </w:rPr>
        </w:r>
        <w:r>
          <w:rPr>
            <w:noProof/>
            <w:webHidden/>
          </w:rPr>
          <w:fldChar w:fldCharType="separate"/>
        </w:r>
        <w:r>
          <w:rPr>
            <w:noProof/>
            <w:webHidden/>
          </w:rPr>
          <w:t>52</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71" w:history="1">
        <w:r w:rsidRPr="009A2129">
          <w:rPr>
            <w:rStyle w:val="a9"/>
            <w:noProof/>
          </w:rPr>
          <w:t>9.3</w:t>
        </w:r>
        <w:r w:rsidRPr="009A2129">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_Toc35959571 \h </w:instrText>
        </w:r>
        <w:r>
          <w:rPr>
            <w:noProof/>
            <w:webHidden/>
          </w:rPr>
        </w:r>
        <w:r>
          <w:rPr>
            <w:noProof/>
            <w:webHidden/>
          </w:rPr>
          <w:fldChar w:fldCharType="separate"/>
        </w:r>
        <w:r>
          <w:rPr>
            <w:noProof/>
            <w:webHidden/>
          </w:rPr>
          <w:t>52</w:t>
        </w:r>
        <w:r>
          <w:rPr>
            <w:noProof/>
            <w:webHidden/>
          </w:rPr>
          <w:fldChar w:fldCharType="end"/>
        </w:r>
      </w:hyperlink>
    </w:p>
    <w:p w:rsidR="003118C1" w:rsidRDefault="003118C1">
      <w:pPr>
        <w:pStyle w:val="11"/>
        <w:rPr>
          <w:rFonts w:asciiTheme="minorHAnsi" w:eastAsiaTheme="minorEastAsia" w:hAnsiTheme="minorHAnsi" w:cstheme="minorBidi"/>
          <w:noProof/>
          <w:szCs w:val="22"/>
        </w:rPr>
      </w:pPr>
      <w:hyperlink w:anchor="_Toc35959572" w:history="1">
        <w:r w:rsidRPr="009A2129">
          <w:rPr>
            <w:rStyle w:val="a9"/>
            <w:b/>
            <w:bCs/>
            <w:noProof/>
          </w:rPr>
          <w:t>§10</w:t>
        </w:r>
        <w:r w:rsidRPr="009A2129">
          <w:rPr>
            <w:rStyle w:val="a9"/>
            <w:rFonts w:hint="eastAsia"/>
            <w:b/>
            <w:bCs/>
            <w:noProof/>
          </w:rPr>
          <w:t>开放式基金份额变动</w:t>
        </w:r>
        <w:r>
          <w:rPr>
            <w:noProof/>
            <w:webHidden/>
          </w:rPr>
          <w:tab/>
        </w:r>
        <w:r>
          <w:rPr>
            <w:noProof/>
            <w:webHidden/>
          </w:rPr>
          <w:fldChar w:fldCharType="begin"/>
        </w:r>
        <w:r>
          <w:rPr>
            <w:noProof/>
            <w:webHidden/>
          </w:rPr>
          <w:instrText xml:space="preserve"> PAGEREF _Toc35959572 \h </w:instrText>
        </w:r>
        <w:r>
          <w:rPr>
            <w:noProof/>
            <w:webHidden/>
          </w:rPr>
        </w:r>
        <w:r>
          <w:rPr>
            <w:noProof/>
            <w:webHidden/>
          </w:rPr>
          <w:fldChar w:fldCharType="separate"/>
        </w:r>
        <w:r>
          <w:rPr>
            <w:noProof/>
            <w:webHidden/>
          </w:rPr>
          <w:t>52</w:t>
        </w:r>
        <w:r>
          <w:rPr>
            <w:noProof/>
            <w:webHidden/>
          </w:rPr>
          <w:fldChar w:fldCharType="end"/>
        </w:r>
      </w:hyperlink>
    </w:p>
    <w:p w:rsidR="003118C1" w:rsidRDefault="003118C1">
      <w:pPr>
        <w:pStyle w:val="11"/>
        <w:rPr>
          <w:rFonts w:asciiTheme="minorHAnsi" w:eastAsiaTheme="minorEastAsia" w:hAnsiTheme="minorHAnsi" w:cstheme="minorBidi"/>
          <w:noProof/>
          <w:szCs w:val="22"/>
        </w:rPr>
      </w:pPr>
      <w:hyperlink w:anchor="_Toc35959573" w:history="1">
        <w:r w:rsidRPr="009A2129">
          <w:rPr>
            <w:rStyle w:val="a9"/>
            <w:b/>
            <w:bCs/>
            <w:noProof/>
          </w:rPr>
          <w:t>§11</w:t>
        </w:r>
        <w:r w:rsidRPr="009A2129">
          <w:rPr>
            <w:rStyle w:val="a9"/>
            <w:rFonts w:hint="eastAsia"/>
            <w:b/>
            <w:bCs/>
            <w:noProof/>
          </w:rPr>
          <w:t>重大事件揭示</w:t>
        </w:r>
        <w:r>
          <w:rPr>
            <w:noProof/>
            <w:webHidden/>
          </w:rPr>
          <w:tab/>
        </w:r>
        <w:r>
          <w:rPr>
            <w:noProof/>
            <w:webHidden/>
          </w:rPr>
          <w:fldChar w:fldCharType="begin"/>
        </w:r>
        <w:r>
          <w:rPr>
            <w:noProof/>
            <w:webHidden/>
          </w:rPr>
          <w:instrText xml:space="preserve"> PAGEREF _Toc35959573 \h </w:instrText>
        </w:r>
        <w:r>
          <w:rPr>
            <w:noProof/>
            <w:webHidden/>
          </w:rPr>
        </w:r>
        <w:r>
          <w:rPr>
            <w:noProof/>
            <w:webHidden/>
          </w:rPr>
          <w:fldChar w:fldCharType="separate"/>
        </w:r>
        <w:r>
          <w:rPr>
            <w:noProof/>
            <w:webHidden/>
          </w:rPr>
          <w:t>53</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74" w:history="1">
        <w:r w:rsidRPr="009A2129">
          <w:rPr>
            <w:rStyle w:val="a9"/>
            <w:noProof/>
          </w:rPr>
          <w:t>11.1</w:t>
        </w:r>
        <w:r w:rsidRPr="009A2129">
          <w:rPr>
            <w:rStyle w:val="a9"/>
            <w:rFonts w:hint="eastAsia"/>
            <w:noProof/>
          </w:rPr>
          <w:t>基金份额持有人大会决议</w:t>
        </w:r>
        <w:r>
          <w:rPr>
            <w:noProof/>
            <w:webHidden/>
          </w:rPr>
          <w:tab/>
        </w:r>
        <w:r>
          <w:rPr>
            <w:noProof/>
            <w:webHidden/>
          </w:rPr>
          <w:fldChar w:fldCharType="begin"/>
        </w:r>
        <w:r>
          <w:rPr>
            <w:noProof/>
            <w:webHidden/>
          </w:rPr>
          <w:instrText xml:space="preserve"> PAGEREF _Toc35959574 \h </w:instrText>
        </w:r>
        <w:r>
          <w:rPr>
            <w:noProof/>
            <w:webHidden/>
          </w:rPr>
        </w:r>
        <w:r>
          <w:rPr>
            <w:noProof/>
            <w:webHidden/>
          </w:rPr>
          <w:fldChar w:fldCharType="separate"/>
        </w:r>
        <w:r>
          <w:rPr>
            <w:noProof/>
            <w:webHidden/>
          </w:rPr>
          <w:t>53</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75" w:history="1">
        <w:r w:rsidRPr="009A2129">
          <w:rPr>
            <w:rStyle w:val="a9"/>
            <w:noProof/>
          </w:rPr>
          <w:t xml:space="preserve">11.2 </w:t>
        </w:r>
        <w:r w:rsidRPr="009A2129">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_Toc35959575 \h </w:instrText>
        </w:r>
        <w:r>
          <w:rPr>
            <w:noProof/>
            <w:webHidden/>
          </w:rPr>
        </w:r>
        <w:r>
          <w:rPr>
            <w:noProof/>
            <w:webHidden/>
          </w:rPr>
          <w:fldChar w:fldCharType="separate"/>
        </w:r>
        <w:r>
          <w:rPr>
            <w:noProof/>
            <w:webHidden/>
          </w:rPr>
          <w:t>53</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76" w:history="1">
        <w:r w:rsidRPr="009A2129">
          <w:rPr>
            <w:rStyle w:val="a9"/>
            <w:noProof/>
          </w:rPr>
          <w:t xml:space="preserve">11.3 </w:t>
        </w:r>
        <w:r w:rsidRPr="009A2129">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_Toc35959576 \h </w:instrText>
        </w:r>
        <w:r>
          <w:rPr>
            <w:noProof/>
            <w:webHidden/>
          </w:rPr>
        </w:r>
        <w:r>
          <w:rPr>
            <w:noProof/>
            <w:webHidden/>
          </w:rPr>
          <w:fldChar w:fldCharType="separate"/>
        </w:r>
        <w:r>
          <w:rPr>
            <w:noProof/>
            <w:webHidden/>
          </w:rPr>
          <w:t>53</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77" w:history="1">
        <w:r w:rsidRPr="009A2129">
          <w:rPr>
            <w:rStyle w:val="a9"/>
            <w:noProof/>
          </w:rPr>
          <w:t xml:space="preserve">11.4 </w:t>
        </w:r>
        <w:r w:rsidRPr="009A2129">
          <w:rPr>
            <w:rStyle w:val="a9"/>
            <w:rFonts w:hint="eastAsia"/>
            <w:noProof/>
          </w:rPr>
          <w:t>基金投资策略的改变</w:t>
        </w:r>
        <w:r>
          <w:rPr>
            <w:noProof/>
            <w:webHidden/>
          </w:rPr>
          <w:tab/>
        </w:r>
        <w:r>
          <w:rPr>
            <w:noProof/>
            <w:webHidden/>
          </w:rPr>
          <w:fldChar w:fldCharType="begin"/>
        </w:r>
        <w:r>
          <w:rPr>
            <w:noProof/>
            <w:webHidden/>
          </w:rPr>
          <w:instrText xml:space="preserve"> PAGEREF _Toc35959577 \h </w:instrText>
        </w:r>
        <w:r>
          <w:rPr>
            <w:noProof/>
            <w:webHidden/>
          </w:rPr>
        </w:r>
        <w:r>
          <w:rPr>
            <w:noProof/>
            <w:webHidden/>
          </w:rPr>
          <w:fldChar w:fldCharType="separate"/>
        </w:r>
        <w:r>
          <w:rPr>
            <w:noProof/>
            <w:webHidden/>
          </w:rPr>
          <w:t>53</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78" w:history="1">
        <w:r w:rsidRPr="009A2129">
          <w:rPr>
            <w:rStyle w:val="a9"/>
            <w:noProof/>
          </w:rPr>
          <w:t>11.5</w:t>
        </w:r>
        <w:r w:rsidRPr="009A2129">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_Toc35959578 \h </w:instrText>
        </w:r>
        <w:r>
          <w:rPr>
            <w:noProof/>
            <w:webHidden/>
          </w:rPr>
        </w:r>
        <w:r>
          <w:rPr>
            <w:noProof/>
            <w:webHidden/>
          </w:rPr>
          <w:fldChar w:fldCharType="separate"/>
        </w:r>
        <w:r>
          <w:rPr>
            <w:noProof/>
            <w:webHidden/>
          </w:rPr>
          <w:t>53</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79" w:history="1">
        <w:r w:rsidRPr="009A2129">
          <w:rPr>
            <w:rStyle w:val="a9"/>
            <w:noProof/>
          </w:rPr>
          <w:t xml:space="preserve">11.6 </w:t>
        </w:r>
        <w:r w:rsidRPr="009A2129">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_Toc35959579 \h </w:instrText>
        </w:r>
        <w:r>
          <w:rPr>
            <w:noProof/>
            <w:webHidden/>
          </w:rPr>
        </w:r>
        <w:r>
          <w:rPr>
            <w:noProof/>
            <w:webHidden/>
          </w:rPr>
          <w:fldChar w:fldCharType="separate"/>
        </w:r>
        <w:r>
          <w:rPr>
            <w:noProof/>
            <w:webHidden/>
          </w:rPr>
          <w:t>53</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80" w:history="1">
        <w:r w:rsidRPr="009A2129">
          <w:rPr>
            <w:rStyle w:val="a9"/>
            <w:noProof/>
          </w:rPr>
          <w:t xml:space="preserve">11.7 </w:t>
        </w:r>
        <w:r w:rsidRPr="009A2129">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_Toc35959580 \h </w:instrText>
        </w:r>
        <w:r>
          <w:rPr>
            <w:noProof/>
            <w:webHidden/>
          </w:rPr>
        </w:r>
        <w:r>
          <w:rPr>
            <w:noProof/>
            <w:webHidden/>
          </w:rPr>
          <w:fldChar w:fldCharType="separate"/>
        </w:r>
        <w:r>
          <w:rPr>
            <w:noProof/>
            <w:webHidden/>
          </w:rPr>
          <w:t>54</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81" w:history="1">
        <w:r w:rsidRPr="009A2129">
          <w:rPr>
            <w:rStyle w:val="a9"/>
            <w:noProof/>
          </w:rPr>
          <w:t>11.8</w:t>
        </w:r>
        <w:r w:rsidRPr="009A2129">
          <w:rPr>
            <w:rStyle w:val="a9"/>
            <w:rFonts w:hint="eastAsia"/>
            <w:noProof/>
          </w:rPr>
          <w:t>其他重大事件</w:t>
        </w:r>
        <w:r>
          <w:rPr>
            <w:noProof/>
            <w:webHidden/>
          </w:rPr>
          <w:tab/>
        </w:r>
        <w:r>
          <w:rPr>
            <w:noProof/>
            <w:webHidden/>
          </w:rPr>
          <w:fldChar w:fldCharType="begin"/>
        </w:r>
        <w:r>
          <w:rPr>
            <w:noProof/>
            <w:webHidden/>
          </w:rPr>
          <w:instrText xml:space="preserve"> PAGEREF _Toc35959581 \h </w:instrText>
        </w:r>
        <w:r>
          <w:rPr>
            <w:noProof/>
            <w:webHidden/>
          </w:rPr>
        </w:r>
        <w:r>
          <w:rPr>
            <w:noProof/>
            <w:webHidden/>
          </w:rPr>
          <w:fldChar w:fldCharType="separate"/>
        </w:r>
        <w:r>
          <w:rPr>
            <w:noProof/>
            <w:webHidden/>
          </w:rPr>
          <w:t>55</w:t>
        </w:r>
        <w:r>
          <w:rPr>
            <w:noProof/>
            <w:webHidden/>
          </w:rPr>
          <w:fldChar w:fldCharType="end"/>
        </w:r>
      </w:hyperlink>
    </w:p>
    <w:p w:rsidR="003118C1" w:rsidRDefault="003118C1">
      <w:pPr>
        <w:pStyle w:val="11"/>
        <w:rPr>
          <w:rFonts w:asciiTheme="minorHAnsi" w:eastAsiaTheme="minorEastAsia" w:hAnsiTheme="minorHAnsi" w:cstheme="minorBidi"/>
          <w:noProof/>
          <w:szCs w:val="22"/>
        </w:rPr>
      </w:pPr>
      <w:hyperlink w:anchor="_Toc35959582" w:history="1">
        <w:r w:rsidRPr="009A2129">
          <w:rPr>
            <w:rStyle w:val="a9"/>
            <w:b/>
            <w:bCs/>
            <w:noProof/>
          </w:rPr>
          <w:t xml:space="preserve">§12  </w:t>
        </w:r>
        <w:r w:rsidRPr="009A2129">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_Toc35959582 \h </w:instrText>
        </w:r>
        <w:r>
          <w:rPr>
            <w:noProof/>
            <w:webHidden/>
          </w:rPr>
        </w:r>
        <w:r>
          <w:rPr>
            <w:noProof/>
            <w:webHidden/>
          </w:rPr>
          <w:fldChar w:fldCharType="separate"/>
        </w:r>
        <w:r>
          <w:rPr>
            <w:noProof/>
            <w:webHidden/>
          </w:rPr>
          <w:t>57</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83" w:history="1">
        <w:r w:rsidRPr="009A2129">
          <w:rPr>
            <w:rStyle w:val="a9"/>
            <w:noProof/>
          </w:rPr>
          <w:t xml:space="preserve">12.1 </w:t>
        </w:r>
        <w:r w:rsidRPr="009A2129">
          <w:rPr>
            <w:rStyle w:val="a9"/>
            <w:rFonts w:hint="eastAsia"/>
            <w:noProof/>
          </w:rPr>
          <w:t>报告期内单一投资者持有基金份额比例达到或超过</w:t>
        </w:r>
        <w:r w:rsidRPr="009A2129">
          <w:rPr>
            <w:rStyle w:val="a9"/>
            <w:noProof/>
          </w:rPr>
          <w:t>20%</w:t>
        </w:r>
        <w:r w:rsidRPr="009A2129">
          <w:rPr>
            <w:rStyle w:val="a9"/>
            <w:rFonts w:hint="eastAsia"/>
            <w:noProof/>
          </w:rPr>
          <w:t>的情况</w:t>
        </w:r>
        <w:r>
          <w:rPr>
            <w:noProof/>
            <w:webHidden/>
          </w:rPr>
          <w:tab/>
        </w:r>
        <w:r>
          <w:rPr>
            <w:noProof/>
            <w:webHidden/>
          </w:rPr>
          <w:fldChar w:fldCharType="begin"/>
        </w:r>
        <w:r>
          <w:rPr>
            <w:noProof/>
            <w:webHidden/>
          </w:rPr>
          <w:instrText xml:space="preserve"> PAGEREF _Toc35959583 \h </w:instrText>
        </w:r>
        <w:r>
          <w:rPr>
            <w:noProof/>
            <w:webHidden/>
          </w:rPr>
        </w:r>
        <w:r>
          <w:rPr>
            <w:noProof/>
            <w:webHidden/>
          </w:rPr>
          <w:fldChar w:fldCharType="separate"/>
        </w:r>
        <w:r>
          <w:rPr>
            <w:noProof/>
            <w:webHidden/>
          </w:rPr>
          <w:t>57</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84" w:history="1">
        <w:r w:rsidRPr="009A2129">
          <w:rPr>
            <w:rStyle w:val="a9"/>
            <w:noProof/>
          </w:rPr>
          <w:t xml:space="preserve">12.2 </w:t>
        </w:r>
        <w:r w:rsidRPr="009A2129">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_Toc35959584 \h </w:instrText>
        </w:r>
        <w:r>
          <w:rPr>
            <w:noProof/>
            <w:webHidden/>
          </w:rPr>
        </w:r>
        <w:r>
          <w:rPr>
            <w:noProof/>
            <w:webHidden/>
          </w:rPr>
          <w:fldChar w:fldCharType="separate"/>
        </w:r>
        <w:r>
          <w:rPr>
            <w:noProof/>
            <w:webHidden/>
          </w:rPr>
          <w:t>57</w:t>
        </w:r>
        <w:r>
          <w:rPr>
            <w:noProof/>
            <w:webHidden/>
          </w:rPr>
          <w:fldChar w:fldCharType="end"/>
        </w:r>
      </w:hyperlink>
    </w:p>
    <w:p w:rsidR="003118C1" w:rsidRDefault="003118C1">
      <w:pPr>
        <w:pStyle w:val="11"/>
        <w:rPr>
          <w:rFonts w:asciiTheme="minorHAnsi" w:eastAsiaTheme="minorEastAsia" w:hAnsiTheme="minorHAnsi" w:cstheme="minorBidi"/>
          <w:noProof/>
          <w:szCs w:val="22"/>
        </w:rPr>
      </w:pPr>
      <w:hyperlink w:anchor="_Toc35959585" w:history="1">
        <w:r w:rsidRPr="009A2129">
          <w:rPr>
            <w:rStyle w:val="a9"/>
            <w:b/>
            <w:bCs/>
            <w:noProof/>
          </w:rPr>
          <w:t>§13</w:t>
        </w:r>
        <w:r w:rsidRPr="009A2129">
          <w:rPr>
            <w:rStyle w:val="a9"/>
            <w:rFonts w:hint="eastAsia"/>
            <w:b/>
            <w:bCs/>
            <w:noProof/>
          </w:rPr>
          <w:t>备查文件目录</w:t>
        </w:r>
        <w:r>
          <w:rPr>
            <w:noProof/>
            <w:webHidden/>
          </w:rPr>
          <w:tab/>
        </w:r>
        <w:r>
          <w:rPr>
            <w:noProof/>
            <w:webHidden/>
          </w:rPr>
          <w:fldChar w:fldCharType="begin"/>
        </w:r>
        <w:r>
          <w:rPr>
            <w:noProof/>
            <w:webHidden/>
          </w:rPr>
          <w:instrText xml:space="preserve"> PAGEREF _Toc35959585 \h </w:instrText>
        </w:r>
        <w:r>
          <w:rPr>
            <w:noProof/>
            <w:webHidden/>
          </w:rPr>
        </w:r>
        <w:r>
          <w:rPr>
            <w:noProof/>
            <w:webHidden/>
          </w:rPr>
          <w:fldChar w:fldCharType="separate"/>
        </w:r>
        <w:r>
          <w:rPr>
            <w:noProof/>
            <w:webHidden/>
          </w:rPr>
          <w:t>58</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86" w:history="1">
        <w:r w:rsidRPr="009A2129">
          <w:rPr>
            <w:rStyle w:val="a9"/>
            <w:noProof/>
          </w:rPr>
          <w:t xml:space="preserve">13.1 </w:t>
        </w:r>
        <w:r w:rsidRPr="009A2129">
          <w:rPr>
            <w:rStyle w:val="a9"/>
            <w:rFonts w:hint="eastAsia"/>
            <w:noProof/>
          </w:rPr>
          <w:t>备查文件目录</w:t>
        </w:r>
        <w:r>
          <w:rPr>
            <w:noProof/>
            <w:webHidden/>
          </w:rPr>
          <w:tab/>
        </w:r>
        <w:r>
          <w:rPr>
            <w:noProof/>
            <w:webHidden/>
          </w:rPr>
          <w:fldChar w:fldCharType="begin"/>
        </w:r>
        <w:r>
          <w:rPr>
            <w:noProof/>
            <w:webHidden/>
          </w:rPr>
          <w:instrText xml:space="preserve"> PAGEREF _Toc35959586 \h </w:instrText>
        </w:r>
        <w:r>
          <w:rPr>
            <w:noProof/>
            <w:webHidden/>
          </w:rPr>
        </w:r>
        <w:r>
          <w:rPr>
            <w:noProof/>
            <w:webHidden/>
          </w:rPr>
          <w:fldChar w:fldCharType="separate"/>
        </w:r>
        <w:r>
          <w:rPr>
            <w:noProof/>
            <w:webHidden/>
          </w:rPr>
          <w:t>58</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87" w:history="1">
        <w:r w:rsidRPr="009A2129">
          <w:rPr>
            <w:rStyle w:val="a9"/>
            <w:noProof/>
          </w:rPr>
          <w:t>13.2</w:t>
        </w:r>
        <w:r w:rsidRPr="009A2129">
          <w:rPr>
            <w:rStyle w:val="a9"/>
            <w:rFonts w:hint="eastAsia"/>
            <w:noProof/>
          </w:rPr>
          <w:t>存放地点</w:t>
        </w:r>
        <w:r>
          <w:rPr>
            <w:noProof/>
            <w:webHidden/>
          </w:rPr>
          <w:tab/>
        </w:r>
        <w:r>
          <w:rPr>
            <w:noProof/>
            <w:webHidden/>
          </w:rPr>
          <w:fldChar w:fldCharType="begin"/>
        </w:r>
        <w:r>
          <w:rPr>
            <w:noProof/>
            <w:webHidden/>
          </w:rPr>
          <w:instrText xml:space="preserve"> PAGEREF _Toc35959587 \h </w:instrText>
        </w:r>
        <w:r>
          <w:rPr>
            <w:noProof/>
            <w:webHidden/>
          </w:rPr>
        </w:r>
        <w:r>
          <w:rPr>
            <w:noProof/>
            <w:webHidden/>
          </w:rPr>
          <w:fldChar w:fldCharType="separate"/>
        </w:r>
        <w:r>
          <w:rPr>
            <w:noProof/>
            <w:webHidden/>
          </w:rPr>
          <w:t>58</w:t>
        </w:r>
        <w:r>
          <w:rPr>
            <w:noProof/>
            <w:webHidden/>
          </w:rPr>
          <w:fldChar w:fldCharType="end"/>
        </w:r>
      </w:hyperlink>
    </w:p>
    <w:p w:rsidR="003118C1" w:rsidRDefault="003118C1">
      <w:pPr>
        <w:pStyle w:val="22"/>
        <w:ind w:left="420"/>
        <w:rPr>
          <w:rFonts w:asciiTheme="minorHAnsi" w:eastAsiaTheme="minorEastAsia" w:hAnsiTheme="minorHAnsi" w:cstheme="minorBidi"/>
          <w:noProof/>
          <w:kern w:val="2"/>
          <w:szCs w:val="22"/>
        </w:rPr>
      </w:pPr>
      <w:hyperlink w:anchor="_Toc35959588" w:history="1">
        <w:r w:rsidRPr="009A2129">
          <w:rPr>
            <w:rStyle w:val="a9"/>
            <w:noProof/>
          </w:rPr>
          <w:t>13.3</w:t>
        </w:r>
        <w:r w:rsidRPr="009A2129">
          <w:rPr>
            <w:rStyle w:val="a9"/>
            <w:rFonts w:hint="eastAsia"/>
            <w:noProof/>
          </w:rPr>
          <w:t>查阅方式</w:t>
        </w:r>
        <w:r>
          <w:rPr>
            <w:noProof/>
            <w:webHidden/>
          </w:rPr>
          <w:tab/>
        </w:r>
        <w:r>
          <w:rPr>
            <w:noProof/>
            <w:webHidden/>
          </w:rPr>
          <w:fldChar w:fldCharType="begin"/>
        </w:r>
        <w:r>
          <w:rPr>
            <w:noProof/>
            <w:webHidden/>
          </w:rPr>
          <w:instrText xml:space="preserve"> PAGEREF _Toc35959588 \h </w:instrText>
        </w:r>
        <w:r>
          <w:rPr>
            <w:noProof/>
            <w:webHidden/>
          </w:rPr>
        </w:r>
        <w:r>
          <w:rPr>
            <w:noProof/>
            <w:webHidden/>
          </w:rPr>
          <w:fldChar w:fldCharType="separate"/>
        </w:r>
        <w:r>
          <w:rPr>
            <w:noProof/>
            <w:webHidden/>
          </w:rPr>
          <w:t>58</w:t>
        </w:r>
        <w:r>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35959521"/>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35959522"/>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交银施罗德丰盈收益债券型证券投资基金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交银丰盈收益债券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519740</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契约型，本基金在基金合同生效之日起三年（含三年）的期间内封闭式运作（按照基金合同的约定提前转换基金运作方式的除外），封闭期结束后转为开放式运作</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2014</w:t>
            </w:r>
            <w:r w:rsidRPr="00400137">
              <w:rPr>
                <w:sz w:val="24"/>
              </w:rPr>
              <w:t>年</w:t>
            </w:r>
            <w:r w:rsidRPr="00400137">
              <w:rPr>
                <w:sz w:val="24"/>
              </w:rPr>
              <w:t>8</w:t>
            </w:r>
            <w:r w:rsidRPr="00400137">
              <w:rPr>
                <w:sz w:val="24"/>
              </w:rPr>
              <w:t>月</w:t>
            </w:r>
            <w:r w:rsidRPr="00400137">
              <w:rPr>
                <w:sz w:val="24"/>
              </w:rPr>
              <w:t>11</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35,308,976.66</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交银丰盈收益债券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交银丰盈收益债券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519740</w:t>
            </w:r>
          </w:p>
        </w:tc>
        <w:tc>
          <w:tcPr>
            <w:tcW w:w="2999" w:type="dxa"/>
            <w:vAlign w:val="center"/>
          </w:tcPr>
          <w:p w:rsidR="00404CF4" w:rsidRPr="000E4C40" w:rsidRDefault="00404CF4" w:rsidP="00D959A6">
            <w:pPr>
              <w:spacing w:before="29" w:line="288" w:lineRule="auto"/>
              <w:jc w:val="left"/>
              <w:rPr>
                <w:sz w:val="24"/>
              </w:rPr>
            </w:pPr>
            <w:r w:rsidRPr="000E4C40">
              <w:rPr>
                <w:sz w:val="24"/>
              </w:rPr>
              <w:t>005025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29,200,922.21</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6,108,054.45</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注：本基金自</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日起转为开放式运作。</w:t>
      </w:r>
    </w:p>
    <w:p w:rsidR="00EC5D69" w:rsidRPr="007F57C2" w:rsidRDefault="00EC5D69" w:rsidP="007F57C2">
      <w:pPr>
        <w:spacing w:before="29" w:line="288" w:lineRule="auto"/>
        <w:rPr>
          <w:rFonts w:eastAsiaTheme="minorEastAsia"/>
          <w:b/>
          <w:sz w:val="24"/>
        </w:rPr>
      </w:pPr>
    </w:p>
    <w:p w:rsidR="001A59F9" w:rsidRPr="005053FD" w:rsidRDefault="001A59F9" w:rsidP="005053FD">
      <w:pPr>
        <w:pStyle w:val="20"/>
        <w:spacing w:before="29" w:after="0" w:line="288" w:lineRule="auto"/>
        <w:rPr>
          <w:rFonts w:ascii="Times New Roman" w:hAnsi="Times New Roman"/>
          <w:kern w:val="0"/>
          <w:szCs w:val="24"/>
        </w:rPr>
      </w:pPr>
      <w:bookmarkStart w:id="14" w:name="_Toc361324846"/>
      <w:bookmarkStart w:id="15" w:name="_Toc35959523"/>
      <w:r w:rsidRPr="005053FD">
        <w:rPr>
          <w:rFonts w:ascii="Times New Roman" w:hAnsi="Times New Roman"/>
          <w:kern w:val="0"/>
          <w:szCs w:val="24"/>
        </w:rPr>
        <w:t xml:space="preserve">2.2 </w:t>
      </w:r>
      <w:r w:rsidRPr="005053FD">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追求在有效控制风险的前提下，力争为基金资产获得稳健的投资收益和超额回报。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3D270F" w:rsidRDefault="0056124B">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3D270F" w:rsidRDefault="003D270F">
            <w:pPr>
              <w:spacing w:before="29" w:line="288" w:lineRule="auto"/>
              <w:rPr>
                <w:sz w:val="24"/>
              </w:rPr>
            </w:pPr>
          </w:p>
          <w:p w:rsidR="001A59F9" w:rsidRPr="00400137" w:rsidRDefault="001A59F9" w:rsidP="00400137">
            <w:pPr>
              <w:spacing w:before="29" w:line="288" w:lineRule="auto"/>
              <w:rPr>
                <w:sz w:val="24"/>
              </w:rPr>
            </w:pPr>
            <w:r w:rsidRPr="00400137">
              <w:rPr>
                <w:sz w:val="24"/>
              </w:rPr>
              <w:t>开放期内投资策略：本基金充分发挥基金管理人的研究</w:t>
            </w:r>
            <w:r w:rsidRPr="00400137">
              <w:rPr>
                <w:sz w:val="24"/>
              </w:rPr>
              <w:lastRenderedPageBreak/>
              <w:t>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lastRenderedPageBreak/>
              <w:t>业绩比较基准</w:t>
            </w:r>
          </w:p>
        </w:tc>
        <w:tc>
          <w:tcPr>
            <w:tcW w:w="5879" w:type="dxa"/>
            <w:vAlign w:val="center"/>
          </w:tcPr>
          <w:p w:rsidR="003D270F" w:rsidRDefault="0056124B">
            <w:pPr>
              <w:spacing w:before="29" w:line="288" w:lineRule="auto"/>
              <w:rPr>
                <w:sz w:val="24"/>
              </w:rPr>
            </w:pPr>
            <w:r>
              <w:rPr>
                <w:sz w:val="24"/>
              </w:rPr>
              <w:t>封闭期内业绩比较基准：三年期银行定期存款税后收益率</w:t>
            </w:r>
          </w:p>
          <w:p w:rsidR="001A59F9" w:rsidRPr="00400137" w:rsidRDefault="001A59F9" w:rsidP="00400137">
            <w:pPr>
              <w:spacing w:before="29" w:line="288" w:lineRule="auto"/>
              <w:rPr>
                <w:sz w:val="24"/>
              </w:rPr>
            </w:pPr>
            <w:r w:rsidRPr="00400137">
              <w:rPr>
                <w:sz w:val="24"/>
              </w:rPr>
              <w:t>开放期内业绩比较基准：中债综合全价指数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16" w:name="_Toc225498247"/>
      <w:bookmarkStart w:id="17" w:name="_Toc361324847"/>
      <w:bookmarkStart w:id="18" w:name="_Toc35959524"/>
      <w:r w:rsidRPr="005053FD">
        <w:rPr>
          <w:rFonts w:ascii="Times New Roman" w:hAnsi="Times New Roman"/>
          <w:kern w:val="0"/>
          <w:szCs w:val="24"/>
        </w:rPr>
        <w:t xml:space="preserve">2.3 </w:t>
      </w:r>
      <w:r w:rsidRPr="005053FD">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19" w:name="_Toc225498248"/>
      <w:bookmarkStart w:id="20" w:name="_Toc361324848"/>
      <w:bookmarkStart w:id="21" w:name="_Toc35959525"/>
      <w:r w:rsidRPr="005053FD">
        <w:rPr>
          <w:rFonts w:ascii="Times New Roman" w:hAnsi="Times New Roman"/>
          <w:kern w:val="0"/>
          <w:szCs w:val="24"/>
        </w:rPr>
        <w:t xml:space="preserve">2.4 </w:t>
      </w:r>
      <w:r w:rsidRPr="005053FD">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w:t>
            </w:r>
            <w:r w:rsidRPr="00A16F9C">
              <w:rPr>
                <w:rFonts w:hint="eastAsia"/>
                <w:color w:val="000000"/>
                <w:sz w:val="24"/>
              </w:rPr>
              <w:lastRenderedPageBreak/>
              <w:t>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lastRenderedPageBreak/>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22" w:name="_Toc225498249"/>
      <w:bookmarkStart w:id="23" w:name="_Toc361324849"/>
      <w:bookmarkStart w:id="24" w:name="_Toc35959526"/>
      <w:r w:rsidRPr="005053FD">
        <w:rPr>
          <w:rFonts w:ascii="Times New Roman" w:hAnsi="Times New Roman"/>
          <w:kern w:val="0"/>
          <w:szCs w:val="24"/>
        </w:rPr>
        <w:t xml:space="preserve">2.5 </w:t>
      </w:r>
      <w:r w:rsidRPr="005053FD">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35959527"/>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rsidR="00DB6EA0" w:rsidRPr="00DB6EA0" w:rsidRDefault="00DB6EA0" w:rsidP="00DB6EA0"/>
    <w:p w:rsidR="001A59F9" w:rsidRPr="005053FD" w:rsidRDefault="001A59F9" w:rsidP="005053FD">
      <w:pPr>
        <w:pStyle w:val="20"/>
        <w:spacing w:before="29" w:after="0" w:line="288" w:lineRule="auto"/>
        <w:rPr>
          <w:rFonts w:ascii="Times New Roman" w:hAnsi="Times New Roman"/>
          <w:kern w:val="0"/>
          <w:szCs w:val="24"/>
        </w:rPr>
      </w:pPr>
      <w:bookmarkStart w:id="30" w:name="_Toc286996129"/>
      <w:bookmarkStart w:id="31" w:name="_Toc361324851"/>
      <w:bookmarkStart w:id="32" w:name="_Toc35959528"/>
      <w:r w:rsidRPr="005053FD">
        <w:rPr>
          <w:rFonts w:ascii="Times New Roman" w:hAnsi="Times New Roman"/>
          <w:kern w:val="0"/>
          <w:szCs w:val="24"/>
        </w:rPr>
        <w:t xml:space="preserve">3.1 </w:t>
      </w:r>
      <w:r w:rsidRPr="005053FD">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交银丰盈收益债券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711,163.07</w:t>
            </w:r>
          </w:p>
        </w:tc>
        <w:tc>
          <w:tcPr>
            <w:tcW w:w="686" w:type="pct"/>
            <w:vAlign w:val="center"/>
          </w:tcPr>
          <w:p w:rsidR="001A59F9" w:rsidRPr="005C7DCF" w:rsidRDefault="001A59F9" w:rsidP="00704789">
            <w:pPr>
              <w:spacing w:before="29" w:line="288" w:lineRule="auto"/>
              <w:jc w:val="right"/>
              <w:rPr>
                <w:szCs w:val="21"/>
              </w:rPr>
            </w:pPr>
            <w:r w:rsidRPr="005C7DCF">
              <w:rPr>
                <w:szCs w:val="21"/>
              </w:rPr>
              <w:t>82,932.72</w:t>
            </w:r>
          </w:p>
        </w:tc>
        <w:tc>
          <w:tcPr>
            <w:tcW w:w="687" w:type="pct"/>
            <w:vAlign w:val="center"/>
          </w:tcPr>
          <w:p w:rsidR="001A59F9" w:rsidRPr="005C7DCF" w:rsidRDefault="00AB54C1" w:rsidP="00704789">
            <w:pPr>
              <w:spacing w:before="29" w:line="288" w:lineRule="auto"/>
              <w:jc w:val="right"/>
              <w:rPr>
                <w:szCs w:val="21"/>
              </w:rPr>
            </w:pPr>
            <w:r w:rsidRPr="005C7DCF">
              <w:rPr>
                <w:szCs w:val="21"/>
              </w:rPr>
              <w:t>844,896.49</w:t>
            </w:r>
          </w:p>
        </w:tc>
        <w:tc>
          <w:tcPr>
            <w:tcW w:w="687" w:type="pct"/>
            <w:vAlign w:val="center"/>
          </w:tcPr>
          <w:p w:rsidR="001A59F9" w:rsidRPr="005C7DCF" w:rsidRDefault="00AB54C1" w:rsidP="00704789">
            <w:pPr>
              <w:spacing w:before="29" w:line="288" w:lineRule="auto"/>
              <w:jc w:val="right"/>
              <w:rPr>
                <w:szCs w:val="21"/>
              </w:rPr>
            </w:pPr>
            <w:r w:rsidRPr="005C7DCF">
              <w:rPr>
                <w:szCs w:val="21"/>
              </w:rPr>
              <w:t>306,512.83</w:t>
            </w:r>
          </w:p>
        </w:tc>
        <w:tc>
          <w:tcPr>
            <w:tcW w:w="688" w:type="pct"/>
            <w:vAlign w:val="center"/>
          </w:tcPr>
          <w:p w:rsidR="001A59F9" w:rsidRPr="005C7DCF" w:rsidRDefault="00AB54C1" w:rsidP="00704789">
            <w:pPr>
              <w:spacing w:before="29" w:line="288" w:lineRule="auto"/>
              <w:jc w:val="right"/>
              <w:rPr>
                <w:szCs w:val="21"/>
              </w:rPr>
            </w:pPr>
            <w:r w:rsidRPr="005C7DCF">
              <w:rPr>
                <w:szCs w:val="21"/>
              </w:rPr>
              <w:t>7,200,032.84</w:t>
            </w:r>
          </w:p>
        </w:tc>
        <w:tc>
          <w:tcPr>
            <w:tcW w:w="744" w:type="pct"/>
            <w:vAlign w:val="center"/>
          </w:tcPr>
          <w:p w:rsidR="001A59F9" w:rsidRPr="005C7DCF" w:rsidRDefault="00AB54C1" w:rsidP="00704789">
            <w:pPr>
              <w:spacing w:before="29" w:line="288" w:lineRule="auto"/>
              <w:jc w:val="right"/>
              <w:rPr>
                <w:szCs w:val="21"/>
              </w:rPr>
            </w:pPr>
            <w:r w:rsidRPr="005C7DCF">
              <w:rPr>
                <w:szCs w:val="21"/>
              </w:rPr>
              <w:t>206.16</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760,264.30</w:t>
            </w:r>
          </w:p>
        </w:tc>
        <w:tc>
          <w:tcPr>
            <w:tcW w:w="686" w:type="pct"/>
            <w:vAlign w:val="center"/>
          </w:tcPr>
          <w:p w:rsidR="001A59F9" w:rsidRPr="005C7DCF" w:rsidRDefault="001A59F9" w:rsidP="00704789">
            <w:pPr>
              <w:spacing w:before="29" w:line="288" w:lineRule="auto"/>
              <w:jc w:val="right"/>
              <w:rPr>
                <w:szCs w:val="21"/>
              </w:rPr>
            </w:pPr>
            <w:r w:rsidRPr="005C7DCF">
              <w:rPr>
                <w:szCs w:val="21"/>
              </w:rPr>
              <w:t>128,532.06</w:t>
            </w:r>
          </w:p>
        </w:tc>
        <w:tc>
          <w:tcPr>
            <w:tcW w:w="687" w:type="pct"/>
            <w:vAlign w:val="center"/>
          </w:tcPr>
          <w:p w:rsidR="001A59F9" w:rsidRPr="005C7DCF" w:rsidRDefault="00AB54C1" w:rsidP="00704789">
            <w:pPr>
              <w:spacing w:before="29" w:line="288" w:lineRule="auto"/>
              <w:jc w:val="right"/>
              <w:rPr>
                <w:szCs w:val="21"/>
              </w:rPr>
            </w:pPr>
            <w:r w:rsidRPr="005C7DCF">
              <w:rPr>
                <w:szCs w:val="21"/>
              </w:rPr>
              <w:t>1,357,871.14</w:t>
            </w:r>
          </w:p>
        </w:tc>
        <w:tc>
          <w:tcPr>
            <w:tcW w:w="687" w:type="pct"/>
            <w:vAlign w:val="center"/>
          </w:tcPr>
          <w:p w:rsidR="001A59F9" w:rsidRPr="005C7DCF" w:rsidRDefault="00AB54C1" w:rsidP="00704789">
            <w:pPr>
              <w:spacing w:before="29" w:line="288" w:lineRule="auto"/>
              <w:jc w:val="right"/>
              <w:rPr>
                <w:szCs w:val="21"/>
              </w:rPr>
            </w:pPr>
            <w:r w:rsidRPr="005C7DCF">
              <w:rPr>
                <w:szCs w:val="21"/>
              </w:rPr>
              <w:t>172,247.79</w:t>
            </w:r>
          </w:p>
        </w:tc>
        <w:tc>
          <w:tcPr>
            <w:tcW w:w="688" w:type="pct"/>
            <w:vAlign w:val="center"/>
          </w:tcPr>
          <w:p w:rsidR="001A59F9" w:rsidRPr="005C7DCF" w:rsidRDefault="00AB54C1" w:rsidP="00704789">
            <w:pPr>
              <w:spacing w:before="29" w:line="288" w:lineRule="auto"/>
              <w:jc w:val="right"/>
              <w:rPr>
                <w:szCs w:val="21"/>
              </w:rPr>
            </w:pPr>
            <w:r w:rsidRPr="005C7DCF">
              <w:rPr>
                <w:szCs w:val="21"/>
              </w:rPr>
              <w:t>8,391,293.50</w:t>
            </w:r>
          </w:p>
        </w:tc>
        <w:tc>
          <w:tcPr>
            <w:tcW w:w="744" w:type="pct"/>
            <w:vAlign w:val="center"/>
          </w:tcPr>
          <w:p w:rsidR="001A59F9" w:rsidRPr="005C7DCF" w:rsidRDefault="00AB54C1" w:rsidP="00704789">
            <w:pPr>
              <w:spacing w:before="29" w:line="288" w:lineRule="auto"/>
              <w:jc w:val="right"/>
              <w:rPr>
                <w:szCs w:val="21"/>
              </w:rPr>
            </w:pPr>
            <w:r w:rsidRPr="005C7DCF">
              <w:rPr>
                <w:szCs w:val="21"/>
              </w:rPr>
              <w:t>144.27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0.0258</w:t>
            </w:r>
          </w:p>
        </w:tc>
        <w:tc>
          <w:tcPr>
            <w:tcW w:w="686" w:type="pct"/>
            <w:vAlign w:val="center"/>
          </w:tcPr>
          <w:p w:rsidR="001A59F9" w:rsidRPr="005C7DCF" w:rsidRDefault="001A59F9" w:rsidP="00704789">
            <w:pPr>
              <w:spacing w:before="29" w:line="288" w:lineRule="auto"/>
              <w:jc w:val="right"/>
              <w:rPr>
                <w:szCs w:val="21"/>
              </w:rPr>
            </w:pPr>
            <w:r w:rsidRPr="005C7DCF">
              <w:rPr>
                <w:szCs w:val="21"/>
              </w:rPr>
              <w:t>0.0368</w:t>
            </w:r>
          </w:p>
        </w:tc>
        <w:tc>
          <w:tcPr>
            <w:tcW w:w="687" w:type="pct"/>
            <w:vAlign w:val="center"/>
          </w:tcPr>
          <w:p w:rsidR="001A59F9" w:rsidRPr="005C7DCF" w:rsidRDefault="00AB54C1" w:rsidP="00704789">
            <w:pPr>
              <w:spacing w:before="29" w:line="288" w:lineRule="auto"/>
              <w:jc w:val="right"/>
              <w:rPr>
                <w:szCs w:val="21"/>
              </w:rPr>
            </w:pPr>
            <w:r w:rsidRPr="005C7DCF">
              <w:rPr>
                <w:szCs w:val="21"/>
              </w:rPr>
              <w:t>0.0367</w:t>
            </w:r>
          </w:p>
        </w:tc>
        <w:tc>
          <w:tcPr>
            <w:tcW w:w="687" w:type="pct"/>
            <w:vAlign w:val="center"/>
          </w:tcPr>
          <w:p w:rsidR="001A59F9" w:rsidRPr="005C7DCF" w:rsidRDefault="00AB54C1" w:rsidP="00704789">
            <w:pPr>
              <w:spacing w:before="29" w:line="288" w:lineRule="auto"/>
              <w:jc w:val="right"/>
              <w:rPr>
                <w:szCs w:val="21"/>
              </w:rPr>
            </w:pPr>
            <w:r w:rsidRPr="005C7DCF">
              <w:rPr>
                <w:szCs w:val="21"/>
              </w:rPr>
              <w:t>0.0153</w:t>
            </w:r>
          </w:p>
        </w:tc>
        <w:tc>
          <w:tcPr>
            <w:tcW w:w="688" w:type="pct"/>
            <w:vAlign w:val="center"/>
          </w:tcPr>
          <w:p w:rsidR="001A59F9" w:rsidRPr="005C7DCF" w:rsidRDefault="00AB54C1" w:rsidP="00704789">
            <w:pPr>
              <w:spacing w:before="29" w:line="288" w:lineRule="auto"/>
              <w:jc w:val="right"/>
              <w:rPr>
                <w:szCs w:val="21"/>
              </w:rPr>
            </w:pPr>
            <w:r w:rsidRPr="005C7DCF">
              <w:rPr>
                <w:szCs w:val="21"/>
              </w:rPr>
              <w:t>0.0239</w:t>
            </w:r>
          </w:p>
        </w:tc>
        <w:tc>
          <w:tcPr>
            <w:tcW w:w="744" w:type="pct"/>
            <w:vAlign w:val="center"/>
          </w:tcPr>
          <w:p w:rsidR="001A59F9" w:rsidRPr="005C7DCF" w:rsidRDefault="00AB54C1" w:rsidP="00704789">
            <w:pPr>
              <w:spacing w:before="29" w:line="288" w:lineRule="auto"/>
              <w:jc w:val="right"/>
              <w:rPr>
                <w:szCs w:val="21"/>
              </w:rPr>
            </w:pPr>
            <w:r w:rsidRPr="005C7DCF">
              <w:rPr>
                <w:szCs w:val="21"/>
              </w:rPr>
              <w:t>0.0057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2.40%</w:t>
            </w:r>
          </w:p>
        </w:tc>
        <w:tc>
          <w:tcPr>
            <w:tcW w:w="686" w:type="pct"/>
            <w:vAlign w:val="center"/>
          </w:tcPr>
          <w:p w:rsidR="001A59F9" w:rsidRPr="005C7DCF" w:rsidRDefault="001A59F9" w:rsidP="00704789">
            <w:pPr>
              <w:spacing w:before="29" w:line="288" w:lineRule="auto"/>
              <w:jc w:val="right"/>
              <w:rPr>
                <w:szCs w:val="21"/>
              </w:rPr>
            </w:pPr>
            <w:r w:rsidRPr="005C7DCF">
              <w:rPr>
                <w:szCs w:val="21"/>
              </w:rPr>
              <w:t>3.29%</w:t>
            </w:r>
          </w:p>
        </w:tc>
        <w:tc>
          <w:tcPr>
            <w:tcW w:w="687" w:type="pct"/>
            <w:vAlign w:val="center"/>
          </w:tcPr>
          <w:p w:rsidR="001A59F9" w:rsidRPr="005C7DCF" w:rsidRDefault="00AB54C1" w:rsidP="00704789">
            <w:pPr>
              <w:spacing w:before="29" w:line="288" w:lineRule="auto"/>
              <w:jc w:val="right"/>
              <w:rPr>
                <w:szCs w:val="21"/>
              </w:rPr>
            </w:pPr>
            <w:r w:rsidRPr="005C7DCF">
              <w:rPr>
                <w:szCs w:val="21"/>
              </w:rPr>
              <w:t>3.50%</w:t>
            </w:r>
          </w:p>
        </w:tc>
        <w:tc>
          <w:tcPr>
            <w:tcW w:w="687" w:type="pct"/>
            <w:vAlign w:val="center"/>
          </w:tcPr>
          <w:p w:rsidR="001A59F9" w:rsidRPr="005C7DCF" w:rsidRDefault="00AB54C1" w:rsidP="00704789">
            <w:pPr>
              <w:spacing w:before="29" w:line="288" w:lineRule="auto"/>
              <w:jc w:val="right"/>
              <w:rPr>
                <w:szCs w:val="21"/>
              </w:rPr>
            </w:pPr>
            <w:r w:rsidRPr="005C7DCF">
              <w:rPr>
                <w:szCs w:val="21"/>
              </w:rPr>
              <w:t>1.39%</w:t>
            </w:r>
          </w:p>
        </w:tc>
        <w:tc>
          <w:tcPr>
            <w:tcW w:w="688" w:type="pct"/>
            <w:vAlign w:val="center"/>
          </w:tcPr>
          <w:p w:rsidR="001A59F9" w:rsidRPr="005C7DCF" w:rsidRDefault="00AB54C1" w:rsidP="00704789">
            <w:pPr>
              <w:spacing w:before="29" w:line="288" w:lineRule="auto"/>
              <w:jc w:val="right"/>
              <w:rPr>
                <w:szCs w:val="21"/>
              </w:rPr>
            </w:pPr>
            <w:r w:rsidRPr="005C7DCF">
              <w:rPr>
                <w:szCs w:val="21"/>
              </w:rPr>
              <w:t>2.34%</w:t>
            </w:r>
          </w:p>
        </w:tc>
        <w:tc>
          <w:tcPr>
            <w:tcW w:w="744" w:type="pct"/>
            <w:vAlign w:val="center"/>
          </w:tcPr>
          <w:p w:rsidR="001A59F9" w:rsidRPr="005C7DCF" w:rsidRDefault="00AB54C1" w:rsidP="00704789">
            <w:pPr>
              <w:spacing w:before="29" w:line="288" w:lineRule="auto"/>
              <w:jc w:val="right"/>
              <w:rPr>
                <w:szCs w:val="21"/>
              </w:rPr>
            </w:pPr>
            <w:r w:rsidRPr="005C7DCF">
              <w:rPr>
                <w:szCs w:val="21"/>
              </w:rPr>
              <w:t>0.56%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2.34%</w:t>
            </w:r>
          </w:p>
        </w:tc>
        <w:tc>
          <w:tcPr>
            <w:tcW w:w="686" w:type="pct"/>
            <w:vAlign w:val="center"/>
          </w:tcPr>
          <w:p w:rsidR="001A59F9" w:rsidRPr="005C7DCF" w:rsidRDefault="001A59F9" w:rsidP="00704789">
            <w:pPr>
              <w:spacing w:before="29" w:line="288" w:lineRule="auto"/>
              <w:jc w:val="right"/>
              <w:rPr>
                <w:szCs w:val="21"/>
              </w:rPr>
            </w:pPr>
            <w:r w:rsidRPr="005C7DCF">
              <w:rPr>
                <w:szCs w:val="21"/>
              </w:rPr>
              <w:t>1.98%</w:t>
            </w:r>
          </w:p>
        </w:tc>
        <w:tc>
          <w:tcPr>
            <w:tcW w:w="687" w:type="pct"/>
            <w:vAlign w:val="center"/>
          </w:tcPr>
          <w:p w:rsidR="001A59F9" w:rsidRPr="005C7DCF" w:rsidRDefault="00AB54C1" w:rsidP="00704789">
            <w:pPr>
              <w:spacing w:before="29" w:line="288" w:lineRule="auto"/>
              <w:jc w:val="right"/>
              <w:rPr>
                <w:szCs w:val="21"/>
              </w:rPr>
            </w:pPr>
            <w:r w:rsidRPr="005C7DCF">
              <w:rPr>
                <w:szCs w:val="21"/>
              </w:rPr>
              <w:t>3.39%</w:t>
            </w:r>
          </w:p>
        </w:tc>
        <w:tc>
          <w:tcPr>
            <w:tcW w:w="687" w:type="pct"/>
            <w:vAlign w:val="center"/>
          </w:tcPr>
          <w:p w:rsidR="001A59F9" w:rsidRPr="005C7DCF" w:rsidRDefault="00AB54C1" w:rsidP="00704789">
            <w:pPr>
              <w:spacing w:before="29" w:line="288" w:lineRule="auto"/>
              <w:jc w:val="right"/>
              <w:rPr>
                <w:szCs w:val="21"/>
              </w:rPr>
            </w:pPr>
            <w:r w:rsidRPr="005C7DCF">
              <w:rPr>
                <w:szCs w:val="21"/>
              </w:rPr>
              <w:t>7.86%</w:t>
            </w:r>
          </w:p>
        </w:tc>
        <w:tc>
          <w:tcPr>
            <w:tcW w:w="688" w:type="pct"/>
            <w:vAlign w:val="center"/>
          </w:tcPr>
          <w:p w:rsidR="001A59F9" w:rsidRPr="005C7DCF" w:rsidRDefault="00AB54C1" w:rsidP="00704789">
            <w:pPr>
              <w:spacing w:before="29" w:line="288" w:lineRule="auto"/>
              <w:jc w:val="right"/>
              <w:rPr>
                <w:szCs w:val="21"/>
              </w:rPr>
            </w:pPr>
            <w:r w:rsidRPr="005C7DCF">
              <w:rPr>
                <w:szCs w:val="21"/>
              </w:rPr>
              <w:t>2.18%</w:t>
            </w:r>
          </w:p>
        </w:tc>
        <w:tc>
          <w:tcPr>
            <w:tcW w:w="744" w:type="pct"/>
            <w:vAlign w:val="center"/>
          </w:tcPr>
          <w:p w:rsidR="001A59F9" w:rsidRPr="005C7DCF" w:rsidRDefault="00AB54C1" w:rsidP="00704789">
            <w:pPr>
              <w:spacing w:before="29" w:line="288" w:lineRule="auto"/>
              <w:jc w:val="right"/>
              <w:rPr>
                <w:szCs w:val="21"/>
              </w:rPr>
            </w:pPr>
            <w:r w:rsidRPr="005C7DCF">
              <w:rPr>
                <w:szCs w:val="21"/>
              </w:rPr>
              <w:t>3.10%</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交银丰盈收益债券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交银丰盈收益债券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交银丰盈收益债券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交银丰盈收益债券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交银丰盈收益债券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交银丰盈收益债券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2,388,292.19</w:t>
            </w:r>
          </w:p>
        </w:tc>
        <w:tc>
          <w:tcPr>
            <w:tcW w:w="687" w:type="pct"/>
            <w:vAlign w:val="center"/>
          </w:tcPr>
          <w:p w:rsidR="001A59F9" w:rsidRPr="005C7DCF" w:rsidRDefault="001A59F9" w:rsidP="0078762A">
            <w:pPr>
              <w:spacing w:before="29" w:line="288" w:lineRule="auto"/>
              <w:jc w:val="right"/>
              <w:rPr>
                <w:szCs w:val="21"/>
              </w:rPr>
            </w:pPr>
            <w:r w:rsidRPr="005C7DCF">
              <w:rPr>
                <w:szCs w:val="21"/>
              </w:rPr>
              <w:t>751,644.93</w:t>
            </w:r>
          </w:p>
        </w:tc>
        <w:tc>
          <w:tcPr>
            <w:tcW w:w="688" w:type="pct"/>
            <w:vAlign w:val="center"/>
          </w:tcPr>
          <w:p w:rsidR="001A59F9" w:rsidRPr="005C7DCF" w:rsidRDefault="00AB54C1" w:rsidP="0078762A">
            <w:pPr>
              <w:spacing w:before="29" w:line="288" w:lineRule="auto"/>
              <w:jc w:val="right"/>
              <w:rPr>
                <w:szCs w:val="21"/>
              </w:rPr>
            </w:pPr>
            <w:r w:rsidRPr="005C7DCF">
              <w:rPr>
                <w:szCs w:val="21"/>
              </w:rPr>
              <w:t>1,620,321.03</w:t>
            </w:r>
          </w:p>
        </w:tc>
        <w:tc>
          <w:tcPr>
            <w:tcW w:w="688" w:type="pct"/>
            <w:vAlign w:val="center"/>
          </w:tcPr>
          <w:p w:rsidR="001A59F9" w:rsidRPr="005C7DCF" w:rsidRDefault="00AB54C1" w:rsidP="0078762A">
            <w:pPr>
              <w:spacing w:before="29" w:line="288" w:lineRule="auto"/>
              <w:jc w:val="right"/>
              <w:rPr>
                <w:szCs w:val="21"/>
              </w:rPr>
            </w:pPr>
            <w:r w:rsidRPr="005C7DCF">
              <w:rPr>
                <w:szCs w:val="21"/>
              </w:rPr>
              <w:t>400,151.57</w:t>
            </w:r>
          </w:p>
        </w:tc>
        <w:tc>
          <w:tcPr>
            <w:tcW w:w="684" w:type="pct"/>
            <w:vAlign w:val="center"/>
          </w:tcPr>
          <w:p w:rsidR="001A59F9" w:rsidRPr="005C7DCF" w:rsidRDefault="00AB54C1" w:rsidP="0078762A">
            <w:pPr>
              <w:spacing w:before="29" w:line="288" w:lineRule="auto"/>
              <w:jc w:val="right"/>
              <w:rPr>
                <w:szCs w:val="21"/>
              </w:rPr>
            </w:pPr>
            <w:r w:rsidRPr="005C7DCF">
              <w:rPr>
                <w:szCs w:val="21"/>
              </w:rPr>
              <w:t>1,943,593.51</w:t>
            </w:r>
          </w:p>
        </w:tc>
        <w:tc>
          <w:tcPr>
            <w:tcW w:w="744" w:type="pct"/>
            <w:vAlign w:val="center"/>
          </w:tcPr>
          <w:p w:rsidR="001A59F9" w:rsidRPr="005C7DCF" w:rsidRDefault="00AB54C1" w:rsidP="0078762A">
            <w:pPr>
              <w:spacing w:before="29" w:line="288" w:lineRule="auto"/>
              <w:jc w:val="right"/>
              <w:rPr>
                <w:szCs w:val="21"/>
              </w:rPr>
            </w:pPr>
            <w:r w:rsidRPr="005C7DCF">
              <w:rPr>
                <w:szCs w:val="21"/>
              </w:rPr>
              <w:t>702.03</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w:t>
            </w:r>
            <w:r w:rsidRPr="005C7DCF">
              <w:rPr>
                <w:rFonts w:hint="eastAsia"/>
                <w:szCs w:val="21"/>
              </w:rPr>
              <w:lastRenderedPageBreak/>
              <w:t>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lastRenderedPageBreak/>
              <w:t>0.082</w:t>
            </w:r>
          </w:p>
        </w:tc>
        <w:tc>
          <w:tcPr>
            <w:tcW w:w="687" w:type="pct"/>
            <w:vAlign w:val="center"/>
          </w:tcPr>
          <w:p w:rsidR="001A59F9" w:rsidRPr="005C7DCF" w:rsidRDefault="001A59F9" w:rsidP="0078762A">
            <w:pPr>
              <w:spacing w:before="29" w:line="288" w:lineRule="auto"/>
              <w:jc w:val="right"/>
              <w:rPr>
                <w:szCs w:val="21"/>
              </w:rPr>
            </w:pPr>
            <w:r w:rsidRPr="005C7DCF">
              <w:rPr>
                <w:szCs w:val="21"/>
              </w:rPr>
              <w:t>0.123</w:t>
            </w:r>
          </w:p>
        </w:tc>
        <w:tc>
          <w:tcPr>
            <w:tcW w:w="688" w:type="pct"/>
            <w:vAlign w:val="center"/>
          </w:tcPr>
          <w:p w:rsidR="001A59F9" w:rsidRPr="005C7DCF" w:rsidRDefault="00AB54C1" w:rsidP="0078762A">
            <w:pPr>
              <w:spacing w:before="29" w:line="288" w:lineRule="auto"/>
              <w:jc w:val="right"/>
              <w:rPr>
                <w:szCs w:val="21"/>
              </w:rPr>
            </w:pPr>
            <w:r w:rsidRPr="005C7DCF">
              <w:rPr>
                <w:szCs w:val="21"/>
              </w:rPr>
              <w:t>0.060</w:t>
            </w:r>
          </w:p>
        </w:tc>
        <w:tc>
          <w:tcPr>
            <w:tcW w:w="688" w:type="pct"/>
            <w:vAlign w:val="center"/>
          </w:tcPr>
          <w:p w:rsidR="001A59F9" w:rsidRPr="005C7DCF" w:rsidRDefault="00AB54C1" w:rsidP="0078762A">
            <w:pPr>
              <w:spacing w:before="29" w:line="288" w:lineRule="auto"/>
              <w:jc w:val="right"/>
              <w:rPr>
                <w:szCs w:val="21"/>
              </w:rPr>
            </w:pPr>
            <w:r w:rsidRPr="005C7DCF">
              <w:rPr>
                <w:szCs w:val="21"/>
              </w:rPr>
              <w:t>0.105</w:t>
            </w:r>
          </w:p>
        </w:tc>
        <w:tc>
          <w:tcPr>
            <w:tcW w:w="684" w:type="pct"/>
            <w:vAlign w:val="center"/>
          </w:tcPr>
          <w:p w:rsidR="001A59F9" w:rsidRPr="005C7DCF" w:rsidRDefault="00AB54C1" w:rsidP="0078762A">
            <w:pPr>
              <w:spacing w:before="29" w:line="288" w:lineRule="auto"/>
              <w:jc w:val="right"/>
              <w:rPr>
                <w:szCs w:val="21"/>
              </w:rPr>
            </w:pPr>
            <w:r w:rsidRPr="005C7DCF">
              <w:rPr>
                <w:szCs w:val="21"/>
              </w:rPr>
              <w:t>0.032</w:t>
            </w:r>
          </w:p>
        </w:tc>
        <w:tc>
          <w:tcPr>
            <w:tcW w:w="744" w:type="pct"/>
            <w:vAlign w:val="center"/>
          </w:tcPr>
          <w:p w:rsidR="001A59F9" w:rsidRPr="005C7DCF" w:rsidRDefault="00AB54C1" w:rsidP="0078762A">
            <w:pPr>
              <w:spacing w:before="29" w:line="288" w:lineRule="auto"/>
              <w:jc w:val="right"/>
              <w:rPr>
                <w:szCs w:val="21"/>
              </w:rPr>
            </w:pPr>
            <w:r w:rsidRPr="005C7DCF">
              <w:rPr>
                <w:szCs w:val="21"/>
              </w:rPr>
              <w:t>0.031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31,887,845.21</w:t>
            </w:r>
          </w:p>
        </w:tc>
        <w:tc>
          <w:tcPr>
            <w:tcW w:w="687" w:type="pct"/>
            <w:vAlign w:val="center"/>
          </w:tcPr>
          <w:p w:rsidR="001A59F9" w:rsidRPr="005C7DCF" w:rsidRDefault="001A59F9" w:rsidP="0078762A">
            <w:pPr>
              <w:spacing w:before="29" w:line="288" w:lineRule="auto"/>
              <w:jc w:val="right"/>
              <w:rPr>
                <w:szCs w:val="21"/>
              </w:rPr>
            </w:pPr>
            <w:r w:rsidRPr="005C7DCF">
              <w:rPr>
                <w:szCs w:val="21"/>
              </w:rPr>
              <w:t>6,924,984.99</w:t>
            </w:r>
          </w:p>
        </w:tc>
        <w:tc>
          <w:tcPr>
            <w:tcW w:w="688" w:type="pct"/>
            <w:vAlign w:val="center"/>
          </w:tcPr>
          <w:p w:rsidR="001A59F9" w:rsidRPr="005C7DCF" w:rsidRDefault="00AB54C1" w:rsidP="0078762A">
            <w:pPr>
              <w:spacing w:before="29" w:line="288" w:lineRule="auto"/>
              <w:jc w:val="right"/>
              <w:rPr>
                <w:szCs w:val="21"/>
              </w:rPr>
            </w:pPr>
            <w:r w:rsidRPr="005C7DCF">
              <w:rPr>
                <w:szCs w:val="21"/>
              </w:rPr>
              <w:t>28,971,745.72</w:t>
            </w:r>
          </w:p>
        </w:tc>
        <w:tc>
          <w:tcPr>
            <w:tcW w:w="688" w:type="pct"/>
            <w:vAlign w:val="center"/>
          </w:tcPr>
          <w:p w:rsidR="001A59F9" w:rsidRPr="005C7DCF" w:rsidRDefault="00AB54C1" w:rsidP="0078762A">
            <w:pPr>
              <w:spacing w:before="29" w:line="288" w:lineRule="auto"/>
              <w:jc w:val="right"/>
              <w:rPr>
                <w:szCs w:val="21"/>
              </w:rPr>
            </w:pPr>
            <w:r w:rsidRPr="005C7DCF">
              <w:rPr>
                <w:szCs w:val="21"/>
              </w:rPr>
              <w:t>4,240,353.23</w:t>
            </w:r>
          </w:p>
        </w:tc>
        <w:tc>
          <w:tcPr>
            <w:tcW w:w="684" w:type="pct"/>
            <w:vAlign w:val="center"/>
          </w:tcPr>
          <w:p w:rsidR="001A59F9" w:rsidRPr="005C7DCF" w:rsidRDefault="00AB54C1" w:rsidP="0078762A">
            <w:pPr>
              <w:spacing w:before="29" w:line="288" w:lineRule="auto"/>
              <w:jc w:val="right"/>
              <w:rPr>
                <w:szCs w:val="21"/>
              </w:rPr>
            </w:pPr>
            <w:r w:rsidRPr="005C7DCF">
              <w:rPr>
                <w:szCs w:val="21"/>
              </w:rPr>
              <w:t>63,101,918.66</w:t>
            </w:r>
          </w:p>
        </w:tc>
        <w:tc>
          <w:tcPr>
            <w:tcW w:w="744" w:type="pct"/>
            <w:vAlign w:val="center"/>
          </w:tcPr>
          <w:p w:rsidR="001A59F9" w:rsidRPr="005C7DCF" w:rsidRDefault="00AB54C1" w:rsidP="0078762A">
            <w:pPr>
              <w:spacing w:before="29" w:line="288" w:lineRule="auto"/>
              <w:jc w:val="right"/>
              <w:rPr>
                <w:szCs w:val="21"/>
              </w:rPr>
            </w:pPr>
            <w:r w:rsidRPr="005C7DCF">
              <w:rPr>
                <w:szCs w:val="21"/>
              </w:rPr>
              <w:t>23,517.85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1.092</w:t>
            </w:r>
          </w:p>
        </w:tc>
        <w:tc>
          <w:tcPr>
            <w:tcW w:w="687" w:type="pct"/>
            <w:vAlign w:val="center"/>
          </w:tcPr>
          <w:p w:rsidR="001A59F9" w:rsidRPr="005C7DCF" w:rsidRDefault="001A59F9" w:rsidP="0078762A">
            <w:pPr>
              <w:spacing w:before="29" w:line="288" w:lineRule="auto"/>
              <w:jc w:val="right"/>
              <w:rPr>
                <w:szCs w:val="21"/>
              </w:rPr>
            </w:pPr>
            <w:r w:rsidRPr="005C7DCF">
              <w:rPr>
                <w:szCs w:val="21"/>
              </w:rPr>
              <w:t>1.134</w:t>
            </w:r>
          </w:p>
        </w:tc>
        <w:tc>
          <w:tcPr>
            <w:tcW w:w="688" w:type="pct"/>
            <w:vAlign w:val="center"/>
          </w:tcPr>
          <w:p w:rsidR="001A59F9" w:rsidRPr="005C7DCF" w:rsidRDefault="00AB54C1" w:rsidP="0078762A">
            <w:pPr>
              <w:spacing w:before="29" w:line="288" w:lineRule="auto"/>
              <w:jc w:val="right"/>
              <w:rPr>
                <w:szCs w:val="21"/>
              </w:rPr>
            </w:pPr>
            <w:r w:rsidRPr="005C7DCF">
              <w:rPr>
                <w:szCs w:val="21"/>
              </w:rPr>
              <w:t>1.067</w:t>
            </w:r>
          </w:p>
        </w:tc>
        <w:tc>
          <w:tcPr>
            <w:tcW w:w="688" w:type="pct"/>
            <w:vAlign w:val="center"/>
          </w:tcPr>
          <w:p w:rsidR="001A59F9" w:rsidRPr="005C7DCF" w:rsidRDefault="00AB54C1" w:rsidP="0078762A">
            <w:pPr>
              <w:spacing w:before="29" w:line="288" w:lineRule="auto"/>
              <w:jc w:val="right"/>
              <w:rPr>
                <w:szCs w:val="21"/>
              </w:rPr>
            </w:pPr>
            <w:r w:rsidRPr="005C7DCF">
              <w:rPr>
                <w:szCs w:val="21"/>
              </w:rPr>
              <w:t>1.112</w:t>
            </w:r>
          </w:p>
        </w:tc>
        <w:tc>
          <w:tcPr>
            <w:tcW w:w="684" w:type="pct"/>
            <w:vAlign w:val="center"/>
          </w:tcPr>
          <w:p w:rsidR="001A59F9" w:rsidRPr="005C7DCF" w:rsidRDefault="00AB54C1" w:rsidP="0078762A">
            <w:pPr>
              <w:spacing w:before="29" w:line="288" w:lineRule="auto"/>
              <w:jc w:val="right"/>
              <w:rPr>
                <w:szCs w:val="21"/>
              </w:rPr>
            </w:pPr>
            <w:r w:rsidRPr="005C7DCF">
              <w:rPr>
                <w:szCs w:val="21"/>
              </w:rPr>
              <w:t>1.032</w:t>
            </w:r>
          </w:p>
        </w:tc>
        <w:tc>
          <w:tcPr>
            <w:tcW w:w="744" w:type="pct"/>
            <w:vAlign w:val="center"/>
          </w:tcPr>
          <w:p w:rsidR="001A59F9" w:rsidRPr="005C7DCF" w:rsidRDefault="00AB54C1" w:rsidP="0078762A">
            <w:pPr>
              <w:spacing w:before="29" w:line="288" w:lineRule="auto"/>
              <w:jc w:val="right"/>
              <w:rPr>
                <w:szCs w:val="21"/>
              </w:rPr>
            </w:pPr>
            <w:r w:rsidRPr="005C7DCF">
              <w:rPr>
                <w:szCs w:val="21"/>
              </w:rPr>
              <w:t>1.031</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交银丰盈收益债券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交银丰盈收益债券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交银丰盈收益债券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交银丰盈收益债券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交银丰盈收益债券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交银丰盈收益债券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29.42%</w:t>
            </w:r>
          </w:p>
        </w:tc>
        <w:tc>
          <w:tcPr>
            <w:tcW w:w="687" w:type="pct"/>
            <w:vAlign w:val="center"/>
          </w:tcPr>
          <w:p w:rsidR="001A59F9" w:rsidRPr="005C7DCF" w:rsidRDefault="001A59F9" w:rsidP="00704789">
            <w:pPr>
              <w:spacing w:before="29" w:line="288" w:lineRule="auto"/>
              <w:jc w:val="right"/>
              <w:rPr>
                <w:szCs w:val="21"/>
              </w:rPr>
            </w:pPr>
            <w:r w:rsidRPr="005C7DCF">
              <w:rPr>
                <w:szCs w:val="21"/>
              </w:rPr>
              <w:t>13.40%</w:t>
            </w:r>
          </w:p>
        </w:tc>
        <w:tc>
          <w:tcPr>
            <w:tcW w:w="687" w:type="pct"/>
            <w:vAlign w:val="center"/>
          </w:tcPr>
          <w:p w:rsidR="001A59F9" w:rsidRPr="005C7DCF" w:rsidRDefault="00AB54C1" w:rsidP="00704789">
            <w:pPr>
              <w:spacing w:before="29" w:line="288" w:lineRule="auto"/>
              <w:jc w:val="right"/>
              <w:rPr>
                <w:szCs w:val="21"/>
              </w:rPr>
            </w:pPr>
            <w:r w:rsidRPr="005C7DCF">
              <w:rPr>
                <w:szCs w:val="21"/>
              </w:rPr>
              <w:t>26.46%</w:t>
            </w:r>
          </w:p>
        </w:tc>
        <w:tc>
          <w:tcPr>
            <w:tcW w:w="688" w:type="pct"/>
            <w:vAlign w:val="center"/>
          </w:tcPr>
          <w:p w:rsidR="001A59F9" w:rsidRPr="005C7DCF" w:rsidRDefault="00AB54C1" w:rsidP="00704789">
            <w:pPr>
              <w:spacing w:before="29" w:line="288" w:lineRule="auto"/>
              <w:jc w:val="right"/>
              <w:rPr>
                <w:szCs w:val="21"/>
              </w:rPr>
            </w:pPr>
            <w:r w:rsidRPr="005C7DCF">
              <w:rPr>
                <w:szCs w:val="21"/>
              </w:rPr>
              <w:t>11.20%</w:t>
            </w:r>
          </w:p>
        </w:tc>
        <w:tc>
          <w:tcPr>
            <w:tcW w:w="687" w:type="pct"/>
            <w:vAlign w:val="center"/>
          </w:tcPr>
          <w:p w:rsidR="001A59F9" w:rsidRPr="005C7DCF" w:rsidRDefault="00AB54C1" w:rsidP="00704789">
            <w:pPr>
              <w:spacing w:before="29" w:line="288" w:lineRule="auto"/>
              <w:jc w:val="right"/>
              <w:rPr>
                <w:szCs w:val="21"/>
              </w:rPr>
            </w:pPr>
            <w:r w:rsidRPr="005C7DCF">
              <w:rPr>
                <w:szCs w:val="21"/>
              </w:rPr>
              <w:t>22.31%</w:t>
            </w:r>
          </w:p>
        </w:tc>
        <w:tc>
          <w:tcPr>
            <w:tcW w:w="743" w:type="pct"/>
            <w:vAlign w:val="center"/>
          </w:tcPr>
          <w:p w:rsidR="001A59F9" w:rsidRPr="005C7DCF" w:rsidRDefault="00AB54C1" w:rsidP="00704789">
            <w:pPr>
              <w:spacing w:before="29" w:line="288" w:lineRule="auto"/>
              <w:jc w:val="right"/>
              <w:rPr>
                <w:szCs w:val="21"/>
              </w:rPr>
            </w:pPr>
            <w:r w:rsidRPr="005C7DCF">
              <w:rPr>
                <w:szCs w:val="21"/>
              </w:rPr>
              <w:t>3.10%</w:t>
            </w:r>
          </w:p>
        </w:tc>
      </w:tr>
    </w:tbl>
    <w:p w:rsidR="003D270F" w:rsidRDefault="0056124B">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33" w:name="_Toc225498252"/>
      <w:bookmarkStart w:id="34" w:name="_Toc361324852"/>
      <w:bookmarkStart w:id="35" w:name="_Toc35959529"/>
      <w:r w:rsidRPr="005053FD">
        <w:rPr>
          <w:rFonts w:ascii="Times New Roman" w:hAnsi="Times New Roman"/>
          <w:kern w:val="0"/>
          <w:szCs w:val="24"/>
        </w:rPr>
        <w:t xml:space="preserve">3.2 </w:t>
      </w:r>
      <w:r w:rsidRPr="005053FD">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交银丰盈收益债券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3D270F">
        <w:tc>
          <w:tcPr>
            <w:tcW w:w="1286" w:type="dxa"/>
            <w:vAlign w:val="center"/>
          </w:tcPr>
          <w:p w:rsidR="003D270F" w:rsidRDefault="0056124B">
            <w:pPr>
              <w:jc w:val="left"/>
            </w:pPr>
            <w:r>
              <w:rPr>
                <w:color w:val="000000"/>
                <w:sz w:val="24"/>
              </w:rPr>
              <w:t>过去三个月</w:t>
            </w:r>
          </w:p>
        </w:tc>
        <w:tc>
          <w:tcPr>
            <w:tcW w:w="1286" w:type="dxa"/>
            <w:vAlign w:val="center"/>
          </w:tcPr>
          <w:p w:rsidR="003D270F" w:rsidRDefault="0056124B">
            <w:pPr>
              <w:jc w:val="center"/>
            </w:pPr>
            <w:r>
              <w:rPr>
                <w:color w:val="000000"/>
                <w:sz w:val="24"/>
              </w:rPr>
              <w:t>1.02%</w:t>
            </w:r>
          </w:p>
        </w:tc>
        <w:tc>
          <w:tcPr>
            <w:tcW w:w="1286" w:type="dxa"/>
            <w:vAlign w:val="center"/>
          </w:tcPr>
          <w:p w:rsidR="003D270F" w:rsidRDefault="0056124B">
            <w:pPr>
              <w:jc w:val="center"/>
            </w:pPr>
            <w:r>
              <w:rPr>
                <w:color w:val="000000"/>
                <w:sz w:val="24"/>
              </w:rPr>
              <w:t>0.06%</w:t>
            </w:r>
          </w:p>
        </w:tc>
        <w:tc>
          <w:tcPr>
            <w:tcW w:w="1285" w:type="dxa"/>
            <w:vAlign w:val="center"/>
          </w:tcPr>
          <w:p w:rsidR="003D270F" w:rsidRDefault="0056124B">
            <w:pPr>
              <w:jc w:val="center"/>
            </w:pPr>
            <w:r>
              <w:rPr>
                <w:color w:val="000000"/>
                <w:sz w:val="24"/>
              </w:rPr>
              <w:t>0.62%</w:t>
            </w:r>
          </w:p>
        </w:tc>
        <w:tc>
          <w:tcPr>
            <w:tcW w:w="1285" w:type="dxa"/>
            <w:vAlign w:val="center"/>
          </w:tcPr>
          <w:p w:rsidR="003D270F" w:rsidRDefault="0056124B">
            <w:pPr>
              <w:jc w:val="center"/>
            </w:pPr>
            <w:r>
              <w:rPr>
                <w:color w:val="000000"/>
                <w:sz w:val="24"/>
              </w:rPr>
              <w:t>0.04%</w:t>
            </w:r>
          </w:p>
        </w:tc>
        <w:tc>
          <w:tcPr>
            <w:tcW w:w="1285" w:type="dxa"/>
            <w:vAlign w:val="center"/>
          </w:tcPr>
          <w:p w:rsidR="003D270F" w:rsidRDefault="0056124B">
            <w:pPr>
              <w:jc w:val="center"/>
            </w:pPr>
            <w:r>
              <w:rPr>
                <w:color w:val="000000"/>
                <w:sz w:val="24"/>
              </w:rPr>
              <w:t>0.40%</w:t>
            </w:r>
          </w:p>
        </w:tc>
        <w:tc>
          <w:tcPr>
            <w:tcW w:w="1285" w:type="dxa"/>
            <w:vAlign w:val="center"/>
          </w:tcPr>
          <w:p w:rsidR="003D270F" w:rsidRDefault="0056124B">
            <w:pPr>
              <w:jc w:val="center"/>
            </w:pPr>
            <w:r>
              <w:rPr>
                <w:color w:val="000000"/>
                <w:sz w:val="24"/>
              </w:rPr>
              <w:t>0.02%</w:t>
            </w:r>
          </w:p>
        </w:tc>
      </w:tr>
      <w:tr w:rsidR="003D270F">
        <w:tc>
          <w:tcPr>
            <w:tcW w:w="1286" w:type="dxa"/>
            <w:vAlign w:val="center"/>
          </w:tcPr>
          <w:p w:rsidR="003D270F" w:rsidRDefault="0056124B">
            <w:pPr>
              <w:jc w:val="left"/>
            </w:pPr>
            <w:r>
              <w:rPr>
                <w:color w:val="000000"/>
                <w:sz w:val="24"/>
              </w:rPr>
              <w:t>过去六个月</w:t>
            </w:r>
          </w:p>
        </w:tc>
        <w:tc>
          <w:tcPr>
            <w:tcW w:w="1286" w:type="dxa"/>
            <w:vAlign w:val="center"/>
          </w:tcPr>
          <w:p w:rsidR="003D270F" w:rsidRDefault="0056124B">
            <w:pPr>
              <w:jc w:val="center"/>
            </w:pPr>
            <w:r>
              <w:rPr>
                <w:color w:val="000000"/>
                <w:sz w:val="24"/>
              </w:rPr>
              <w:t>1.58%</w:t>
            </w:r>
          </w:p>
        </w:tc>
        <w:tc>
          <w:tcPr>
            <w:tcW w:w="1286" w:type="dxa"/>
            <w:vAlign w:val="center"/>
          </w:tcPr>
          <w:p w:rsidR="003D270F" w:rsidRDefault="0056124B">
            <w:pPr>
              <w:jc w:val="center"/>
            </w:pPr>
            <w:r>
              <w:rPr>
                <w:color w:val="000000"/>
                <w:sz w:val="24"/>
              </w:rPr>
              <w:t>0.05%</w:t>
            </w:r>
          </w:p>
        </w:tc>
        <w:tc>
          <w:tcPr>
            <w:tcW w:w="1285" w:type="dxa"/>
            <w:vAlign w:val="center"/>
          </w:tcPr>
          <w:p w:rsidR="003D270F" w:rsidRDefault="0056124B">
            <w:pPr>
              <w:jc w:val="center"/>
            </w:pPr>
            <w:r>
              <w:rPr>
                <w:color w:val="000000"/>
                <w:sz w:val="24"/>
              </w:rPr>
              <w:t>1.07%</w:t>
            </w:r>
          </w:p>
        </w:tc>
        <w:tc>
          <w:tcPr>
            <w:tcW w:w="1285" w:type="dxa"/>
            <w:vAlign w:val="center"/>
          </w:tcPr>
          <w:p w:rsidR="003D270F" w:rsidRDefault="0056124B">
            <w:pPr>
              <w:jc w:val="center"/>
            </w:pPr>
            <w:r>
              <w:rPr>
                <w:color w:val="000000"/>
                <w:sz w:val="24"/>
              </w:rPr>
              <w:t>0.04%</w:t>
            </w:r>
          </w:p>
        </w:tc>
        <w:tc>
          <w:tcPr>
            <w:tcW w:w="1285" w:type="dxa"/>
            <w:vAlign w:val="center"/>
          </w:tcPr>
          <w:p w:rsidR="003D270F" w:rsidRDefault="0056124B">
            <w:pPr>
              <w:jc w:val="center"/>
            </w:pPr>
            <w:r>
              <w:rPr>
                <w:color w:val="000000"/>
                <w:sz w:val="24"/>
              </w:rPr>
              <w:t>0.51%</w:t>
            </w:r>
          </w:p>
        </w:tc>
        <w:tc>
          <w:tcPr>
            <w:tcW w:w="1285" w:type="dxa"/>
            <w:vAlign w:val="center"/>
          </w:tcPr>
          <w:p w:rsidR="003D270F" w:rsidRDefault="0056124B">
            <w:pPr>
              <w:jc w:val="center"/>
            </w:pPr>
            <w:r>
              <w:rPr>
                <w:color w:val="000000"/>
                <w:sz w:val="24"/>
              </w:rPr>
              <w:t>0.01%</w:t>
            </w:r>
          </w:p>
        </w:tc>
      </w:tr>
      <w:tr w:rsidR="003D270F">
        <w:tc>
          <w:tcPr>
            <w:tcW w:w="1286" w:type="dxa"/>
            <w:vAlign w:val="center"/>
          </w:tcPr>
          <w:p w:rsidR="003D270F" w:rsidRDefault="0056124B">
            <w:pPr>
              <w:jc w:val="left"/>
            </w:pPr>
            <w:r>
              <w:rPr>
                <w:color w:val="000000"/>
                <w:sz w:val="24"/>
              </w:rPr>
              <w:t>过去一年</w:t>
            </w:r>
          </w:p>
        </w:tc>
        <w:tc>
          <w:tcPr>
            <w:tcW w:w="1286" w:type="dxa"/>
            <w:vAlign w:val="center"/>
          </w:tcPr>
          <w:p w:rsidR="003D270F" w:rsidRDefault="0056124B">
            <w:pPr>
              <w:jc w:val="center"/>
            </w:pPr>
            <w:r>
              <w:rPr>
                <w:color w:val="000000"/>
                <w:sz w:val="24"/>
              </w:rPr>
              <w:t>2.34%</w:t>
            </w:r>
          </w:p>
        </w:tc>
        <w:tc>
          <w:tcPr>
            <w:tcW w:w="1286" w:type="dxa"/>
            <w:vAlign w:val="center"/>
          </w:tcPr>
          <w:p w:rsidR="003D270F" w:rsidRDefault="0056124B">
            <w:pPr>
              <w:jc w:val="center"/>
            </w:pPr>
            <w:r>
              <w:rPr>
                <w:color w:val="000000"/>
                <w:sz w:val="24"/>
              </w:rPr>
              <w:t>0.05%</w:t>
            </w:r>
          </w:p>
        </w:tc>
        <w:tc>
          <w:tcPr>
            <w:tcW w:w="1285" w:type="dxa"/>
            <w:vAlign w:val="center"/>
          </w:tcPr>
          <w:p w:rsidR="003D270F" w:rsidRDefault="0056124B">
            <w:pPr>
              <w:jc w:val="center"/>
            </w:pPr>
            <w:r>
              <w:rPr>
                <w:color w:val="000000"/>
                <w:sz w:val="24"/>
              </w:rPr>
              <w:t>1.31%</w:t>
            </w:r>
          </w:p>
        </w:tc>
        <w:tc>
          <w:tcPr>
            <w:tcW w:w="1285" w:type="dxa"/>
            <w:vAlign w:val="center"/>
          </w:tcPr>
          <w:p w:rsidR="003D270F" w:rsidRDefault="0056124B">
            <w:pPr>
              <w:jc w:val="center"/>
            </w:pPr>
            <w:r>
              <w:rPr>
                <w:color w:val="000000"/>
                <w:sz w:val="24"/>
              </w:rPr>
              <w:t>0.05%</w:t>
            </w:r>
          </w:p>
        </w:tc>
        <w:tc>
          <w:tcPr>
            <w:tcW w:w="1285" w:type="dxa"/>
            <w:vAlign w:val="center"/>
          </w:tcPr>
          <w:p w:rsidR="003D270F" w:rsidRDefault="0056124B">
            <w:pPr>
              <w:jc w:val="center"/>
            </w:pPr>
            <w:r>
              <w:rPr>
                <w:color w:val="000000"/>
                <w:sz w:val="24"/>
              </w:rPr>
              <w:t>1.03%</w:t>
            </w:r>
          </w:p>
        </w:tc>
        <w:tc>
          <w:tcPr>
            <w:tcW w:w="1285" w:type="dxa"/>
            <w:vAlign w:val="center"/>
          </w:tcPr>
          <w:p w:rsidR="003D270F" w:rsidRDefault="0056124B">
            <w:pPr>
              <w:jc w:val="center"/>
            </w:pPr>
            <w:r>
              <w:rPr>
                <w:color w:val="000000"/>
                <w:sz w:val="24"/>
              </w:rPr>
              <w:t>0.00%</w:t>
            </w:r>
          </w:p>
        </w:tc>
      </w:tr>
      <w:tr w:rsidR="003D270F">
        <w:tc>
          <w:tcPr>
            <w:tcW w:w="1286" w:type="dxa"/>
            <w:vAlign w:val="center"/>
          </w:tcPr>
          <w:p w:rsidR="003D270F" w:rsidRDefault="0056124B">
            <w:pPr>
              <w:jc w:val="left"/>
            </w:pPr>
            <w:r>
              <w:rPr>
                <w:color w:val="000000"/>
                <w:sz w:val="24"/>
              </w:rPr>
              <w:t>过去三年</w:t>
            </w:r>
          </w:p>
        </w:tc>
        <w:tc>
          <w:tcPr>
            <w:tcW w:w="1286" w:type="dxa"/>
            <w:vAlign w:val="center"/>
          </w:tcPr>
          <w:p w:rsidR="003D270F" w:rsidRDefault="0056124B">
            <w:pPr>
              <w:jc w:val="center"/>
            </w:pPr>
            <w:r>
              <w:rPr>
                <w:color w:val="000000"/>
                <w:sz w:val="24"/>
              </w:rPr>
              <w:t>8.12%</w:t>
            </w:r>
          </w:p>
        </w:tc>
        <w:tc>
          <w:tcPr>
            <w:tcW w:w="1286" w:type="dxa"/>
            <w:vAlign w:val="center"/>
          </w:tcPr>
          <w:p w:rsidR="003D270F" w:rsidRDefault="0056124B">
            <w:pPr>
              <w:jc w:val="center"/>
            </w:pPr>
            <w:r>
              <w:rPr>
                <w:color w:val="000000"/>
                <w:sz w:val="24"/>
              </w:rPr>
              <w:t>0.05%</w:t>
            </w:r>
          </w:p>
        </w:tc>
        <w:tc>
          <w:tcPr>
            <w:tcW w:w="1285" w:type="dxa"/>
            <w:vAlign w:val="center"/>
          </w:tcPr>
          <w:p w:rsidR="003D270F" w:rsidRDefault="0056124B">
            <w:pPr>
              <w:jc w:val="center"/>
            </w:pPr>
            <w:r>
              <w:rPr>
                <w:color w:val="000000"/>
                <w:sz w:val="24"/>
              </w:rPr>
              <w:t>6.43%</w:t>
            </w:r>
          </w:p>
        </w:tc>
        <w:tc>
          <w:tcPr>
            <w:tcW w:w="1285" w:type="dxa"/>
            <w:vAlign w:val="center"/>
          </w:tcPr>
          <w:p w:rsidR="003D270F" w:rsidRDefault="0056124B">
            <w:pPr>
              <w:jc w:val="center"/>
            </w:pPr>
            <w:r>
              <w:rPr>
                <w:color w:val="000000"/>
                <w:sz w:val="24"/>
              </w:rPr>
              <w:t>0.05%</w:t>
            </w:r>
          </w:p>
        </w:tc>
        <w:tc>
          <w:tcPr>
            <w:tcW w:w="1285" w:type="dxa"/>
            <w:vAlign w:val="center"/>
          </w:tcPr>
          <w:p w:rsidR="003D270F" w:rsidRDefault="0056124B">
            <w:pPr>
              <w:jc w:val="center"/>
            </w:pPr>
            <w:r>
              <w:rPr>
                <w:color w:val="000000"/>
                <w:sz w:val="24"/>
              </w:rPr>
              <w:t>1.69%</w:t>
            </w:r>
          </w:p>
        </w:tc>
        <w:tc>
          <w:tcPr>
            <w:tcW w:w="1285" w:type="dxa"/>
            <w:vAlign w:val="center"/>
          </w:tcPr>
          <w:p w:rsidR="003D270F" w:rsidRDefault="0056124B">
            <w:pPr>
              <w:jc w:val="center"/>
            </w:pPr>
            <w:r>
              <w:rPr>
                <w:color w:val="000000"/>
                <w:sz w:val="24"/>
              </w:rPr>
              <w:t>0.00%</w:t>
            </w:r>
          </w:p>
        </w:tc>
      </w:tr>
      <w:tr w:rsidR="003D270F">
        <w:tc>
          <w:tcPr>
            <w:tcW w:w="1286" w:type="dxa"/>
            <w:vAlign w:val="center"/>
          </w:tcPr>
          <w:p w:rsidR="003D270F" w:rsidRDefault="0056124B">
            <w:pPr>
              <w:jc w:val="left"/>
            </w:pPr>
            <w:r>
              <w:rPr>
                <w:color w:val="000000"/>
                <w:sz w:val="24"/>
              </w:rPr>
              <w:t>过去五年</w:t>
            </w:r>
          </w:p>
        </w:tc>
        <w:tc>
          <w:tcPr>
            <w:tcW w:w="1286" w:type="dxa"/>
            <w:vAlign w:val="center"/>
          </w:tcPr>
          <w:p w:rsidR="003D270F" w:rsidRDefault="0056124B">
            <w:pPr>
              <w:jc w:val="center"/>
            </w:pPr>
            <w:r>
              <w:rPr>
                <w:color w:val="000000"/>
                <w:sz w:val="24"/>
              </w:rPr>
              <w:t>26.63%</w:t>
            </w:r>
          </w:p>
        </w:tc>
        <w:tc>
          <w:tcPr>
            <w:tcW w:w="1286" w:type="dxa"/>
            <w:vAlign w:val="center"/>
          </w:tcPr>
          <w:p w:rsidR="003D270F" w:rsidRDefault="0056124B">
            <w:pPr>
              <w:jc w:val="center"/>
            </w:pPr>
            <w:r>
              <w:rPr>
                <w:color w:val="000000"/>
                <w:sz w:val="24"/>
              </w:rPr>
              <w:t>0.07%</w:t>
            </w:r>
          </w:p>
        </w:tc>
        <w:tc>
          <w:tcPr>
            <w:tcW w:w="1285" w:type="dxa"/>
            <w:vAlign w:val="center"/>
          </w:tcPr>
          <w:p w:rsidR="003D270F" w:rsidRDefault="0056124B">
            <w:pPr>
              <w:jc w:val="center"/>
            </w:pPr>
            <w:r>
              <w:rPr>
                <w:color w:val="000000"/>
                <w:sz w:val="24"/>
              </w:rPr>
              <w:t>12.93%</w:t>
            </w:r>
          </w:p>
        </w:tc>
        <w:tc>
          <w:tcPr>
            <w:tcW w:w="1285" w:type="dxa"/>
            <w:vAlign w:val="center"/>
          </w:tcPr>
          <w:p w:rsidR="003D270F" w:rsidRDefault="0056124B">
            <w:pPr>
              <w:jc w:val="center"/>
            </w:pPr>
            <w:r>
              <w:rPr>
                <w:color w:val="000000"/>
                <w:sz w:val="24"/>
              </w:rPr>
              <w:t>0.04%</w:t>
            </w:r>
          </w:p>
        </w:tc>
        <w:tc>
          <w:tcPr>
            <w:tcW w:w="1285" w:type="dxa"/>
            <w:vAlign w:val="center"/>
          </w:tcPr>
          <w:p w:rsidR="003D270F" w:rsidRDefault="0056124B">
            <w:pPr>
              <w:jc w:val="center"/>
            </w:pPr>
            <w:r>
              <w:rPr>
                <w:color w:val="000000"/>
                <w:sz w:val="24"/>
              </w:rPr>
              <w:t>13.70%</w:t>
            </w:r>
          </w:p>
        </w:tc>
        <w:tc>
          <w:tcPr>
            <w:tcW w:w="1285" w:type="dxa"/>
            <w:vAlign w:val="center"/>
          </w:tcPr>
          <w:p w:rsidR="003D270F" w:rsidRDefault="0056124B">
            <w:pPr>
              <w:jc w:val="center"/>
            </w:pPr>
            <w:r>
              <w:rPr>
                <w:color w:val="000000"/>
                <w:sz w:val="24"/>
              </w:rPr>
              <w:t>0.03%</w:t>
            </w:r>
          </w:p>
        </w:tc>
      </w:tr>
      <w:tr w:rsidR="003D270F">
        <w:tc>
          <w:tcPr>
            <w:tcW w:w="1286" w:type="dxa"/>
            <w:vAlign w:val="center"/>
          </w:tcPr>
          <w:p w:rsidR="003D270F" w:rsidRDefault="0056124B">
            <w:pPr>
              <w:jc w:val="left"/>
            </w:pPr>
            <w:r>
              <w:rPr>
                <w:color w:val="000000"/>
                <w:sz w:val="24"/>
              </w:rPr>
              <w:t>自基金合同生效起至今</w:t>
            </w:r>
          </w:p>
        </w:tc>
        <w:tc>
          <w:tcPr>
            <w:tcW w:w="1286" w:type="dxa"/>
            <w:vAlign w:val="center"/>
          </w:tcPr>
          <w:p w:rsidR="003D270F" w:rsidRDefault="0056124B">
            <w:pPr>
              <w:jc w:val="center"/>
            </w:pPr>
            <w:r>
              <w:rPr>
                <w:color w:val="000000"/>
                <w:sz w:val="24"/>
              </w:rPr>
              <w:t>29.42%</w:t>
            </w:r>
          </w:p>
        </w:tc>
        <w:tc>
          <w:tcPr>
            <w:tcW w:w="1286" w:type="dxa"/>
            <w:vAlign w:val="center"/>
          </w:tcPr>
          <w:p w:rsidR="003D270F" w:rsidRDefault="0056124B">
            <w:pPr>
              <w:jc w:val="center"/>
            </w:pPr>
            <w:r>
              <w:rPr>
                <w:color w:val="000000"/>
                <w:sz w:val="24"/>
              </w:rPr>
              <w:t>0.09%</w:t>
            </w:r>
          </w:p>
        </w:tc>
        <w:tc>
          <w:tcPr>
            <w:tcW w:w="1285" w:type="dxa"/>
            <w:vAlign w:val="center"/>
          </w:tcPr>
          <w:p w:rsidR="003D270F" w:rsidRDefault="0056124B">
            <w:pPr>
              <w:jc w:val="center"/>
            </w:pPr>
            <w:r>
              <w:rPr>
                <w:color w:val="000000"/>
                <w:sz w:val="24"/>
              </w:rPr>
              <w:t>14.80%</w:t>
            </w:r>
          </w:p>
        </w:tc>
        <w:tc>
          <w:tcPr>
            <w:tcW w:w="1285" w:type="dxa"/>
            <w:vAlign w:val="center"/>
          </w:tcPr>
          <w:p w:rsidR="003D270F" w:rsidRDefault="0056124B">
            <w:pPr>
              <w:jc w:val="center"/>
            </w:pPr>
            <w:r>
              <w:rPr>
                <w:color w:val="000000"/>
                <w:sz w:val="24"/>
              </w:rPr>
              <w:t>0.04%</w:t>
            </w:r>
          </w:p>
        </w:tc>
        <w:tc>
          <w:tcPr>
            <w:tcW w:w="1285" w:type="dxa"/>
            <w:vAlign w:val="center"/>
          </w:tcPr>
          <w:p w:rsidR="003D270F" w:rsidRDefault="0056124B">
            <w:pPr>
              <w:jc w:val="center"/>
            </w:pPr>
            <w:r>
              <w:rPr>
                <w:color w:val="000000"/>
                <w:sz w:val="24"/>
              </w:rPr>
              <w:t>14.62%</w:t>
            </w:r>
          </w:p>
        </w:tc>
        <w:tc>
          <w:tcPr>
            <w:tcW w:w="1285" w:type="dxa"/>
            <w:vAlign w:val="center"/>
          </w:tcPr>
          <w:p w:rsidR="003D270F" w:rsidRDefault="0056124B">
            <w:pPr>
              <w:jc w:val="center"/>
            </w:pPr>
            <w:r>
              <w:rPr>
                <w:color w:val="000000"/>
                <w:sz w:val="24"/>
              </w:rPr>
              <w:t>0.05%</w:t>
            </w:r>
          </w:p>
        </w:tc>
      </w:tr>
    </w:tbl>
    <w:p w:rsidR="001A59F9"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日起转为开放式运作，封闭期内业绩比较基准：三年期银行定期存款税后收益率；开放期内业绩比较基准：中债综合全价指数；</w:t>
      </w:r>
      <w:r w:rsidRPr="00400137">
        <w:rPr>
          <w:kern w:val="0"/>
          <w:sz w:val="24"/>
        </w:rPr>
        <w:t>3.2.2</w:t>
      </w:r>
      <w:r w:rsidRPr="00400137">
        <w:rPr>
          <w:kern w:val="0"/>
          <w:sz w:val="24"/>
        </w:rPr>
        <w:t>同。</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交银丰盈收益债券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w:t>
            </w:r>
            <w:r w:rsidRPr="00861B4D">
              <w:rPr>
                <w:rFonts w:hint="eastAsia"/>
                <w:color w:val="000000"/>
                <w:sz w:val="24"/>
              </w:rPr>
              <w:lastRenderedPageBreak/>
              <w:t>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份额净值</w:t>
            </w:r>
            <w:r w:rsidRPr="00861B4D">
              <w:rPr>
                <w:rFonts w:hint="eastAsia"/>
                <w:color w:val="000000"/>
                <w:sz w:val="24"/>
              </w:rPr>
              <w:lastRenderedPageBreak/>
              <w:t>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业绩比较</w:t>
            </w:r>
            <w:r w:rsidRPr="00861B4D">
              <w:rPr>
                <w:rFonts w:hint="eastAsia"/>
                <w:color w:val="000000"/>
                <w:sz w:val="24"/>
              </w:rPr>
              <w:lastRenderedPageBreak/>
              <w:t>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业绩比较</w:t>
            </w:r>
            <w:r w:rsidRPr="00861B4D">
              <w:rPr>
                <w:rFonts w:hint="eastAsia"/>
                <w:color w:val="000000"/>
                <w:sz w:val="24"/>
              </w:rPr>
              <w:lastRenderedPageBreak/>
              <w:t>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lastRenderedPageBreak/>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3D270F">
        <w:tc>
          <w:tcPr>
            <w:tcW w:w="1286" w:type="dxa"/>
            <w:vAlign w:val="center"/>
          </w:tcPr>
          <w:p w:rsidR="003D270F" w:rsidRDefault="0056124B">
            <w:pPr>
              <w:jc w:val="left"/>
            </w:pPr>
            <w:r>
              <w:rPr>
                <w:color w:val="000000"/>
                <w:sz w:val="24"/>
              </w:rPr>
              <w:t>过去三个月</w:t>
            </w:r>
          </w:p>
        </w:tc>
        <w:tc>
          <w:tcPr>
            <w:tcW w:w="1286" w:type="dxa"/>
            <w:vAlign w:val="center"/>
          </w:tcPr>
          <w:p w:rsidR="003D270F" w:rsidRDefault="0056124B">
            <w:pPr>
              <w:jc w:val="center"/>
            </w:pPr>
            <w:r>
              <w:rPr>
                <w:color w:val="000000"/>
                <w:sz w:val="24"/>
              </w:rPr>
              <w:t>0.98%</w:t>
            </w:r>
          </w:p>
        </w:tc>
        <w:tc>
          <w:tcPr>
            <w:tcW w:w="1286" w:type="dxa"/>
            <w:vAlign w:val="center"/>
          </w:tcPr>
          <w:p w:rsidR="003D270F" w:rsidRDefault="0056124B">
            <w:pPr>
              <w:jc w:val="center"/>
            </w:pPr>
            <w:r>
              <w:rPr>
                <w:color w:val="000000"/>
                <w:sz w:val="24"/>
              </w:rPr>
              <w:t>0.06%</w:t>
            </w:r>
          </w:p>
        </w:tc>
        <w:tc>
          <w:tcPr>
            <w:tcW w:w="1285" w:type="dxa"/>
            <w:vAlign w:val="center"/>
          </w:tcPr>
          <w:p w:rsidR="003D270F" w:rsidRDefault="0056124B">
            <w:pPr>
              <w:jc w:val="center"/>
            </w:pPr>
            <w:r>
              <w:rPr>
                <w:color w:val="000000"/>
                <w:sz w:val="24"/>
              </w:rPr>
              <w:t>0.62%</w:t>
            </w:r>
          </w:p>
        </w:tc>
        <w:tc>
          <w:tcPr>
            <w:tcW w:w="1285" w:type="dxa"/>
            <w:vAlign w:val="center"/>
          </w:tcPr>
          <w:p w:rsidR="003D270F" w:rsidRDefault="0056124B">
            <w:pPr>
              <w:jc w:val="center"/>
            </w:pPr>
            <w:r>
              <w:rPr>
                <w:color w:val="000000"/>
                <w:sz w:val="24"/>
              </w:rPr>
              <w:t>0.04%</w:t>
            </w:r>
          </w:p>
        </w:tc>
        <w:tc>
          <w:tcPr>
            <w:tcW w:w="1285" w:type="dxa"/>
            <w:vAlign w:val="center"/>
          </w:tcPr>
          <w:p w:rsidR="003D270F" w:rsidRDefault="0056124B">
            <w:pPr>
              <w:jc w:val="center"/>
            </w:pPr>
            <w:r>
              <w:rPr>
                <w:color w:val="000000"/>
                <w:sz w:val="24"/>
              </w:rPr>
              <w:t>0.36%</w:t>
            </w:r>
          </w:p>
        </w:tc>
        <w:tc>
          <w:tcPr>
            <w:tcW w:w="1285" w:type="dxa"/>
            <w:vAlign w:val="center"/>
          </w:tcPr>
          <w:p w:rsidR="003D270F" w:rsidRDefault="0056124B">
            <w:pPr>
              <w:jc w:val="center"/>
            </w:pPr>
            <w:r>
              <w:rPr>
                <w:color w:val="000000"/>
                <w:sz w:val="24"/>
              </w:rPr>
              <w:t>0.02%</w:t>
            </w:r>
          </w:p>
        </w:tc>
      </w:tr>
      <w:tr w:rsidR="003D270F">
        <w:tc>
          <w:tcPr>
            <w:tcW w:w="1286" w:type="dxa"/>
            <w:vAlign w:val="center"/>
          </w:tcPr>
          <w:p w:rsidR="003D270F" w:rsidRDefault="0056124B">
            <w:pPr>
              <w:jc w:val="left"/>
            </w:pPr>
            <w:r>
              <w:rPr>
                <w:color w:val="000000"/>
                <w:sz w:val="24"/>
              </w:rPr>
              <w:t>过去六个月</w:t>
            </w:r>
          </w:p>
        </w:tc>
        <w:tc>
          <w:tcPr>
            <w:tcW w:w="1286" w:type="dxa"/>
            <w:vAlign w:val="center"/>
          </w:tcPr>
          <w:p w:rsidR="003D270F" w:rsidRDefault="0056124B">
            <w:pPr>
              <w:jc w:val="center"/>
            </w:pPr>
            <w:r>
              <w:rPr>
                <w:color w:val="000000"/>
                <w:sz w:val="24"/>
              </w:rPr>
              <w:t>1.52%</w:t>
            </w:r>
          </w:p>
        </w:tc>
        <w:tc>
          <w:tcPr>
            <w:tcW w:w="1286" w:type="dxa"/>
            <w:vAlign w:val="center"/>
          </w:tcPr>
          <w:p w:rsidR="003D270F" w:rsidRDefault="0056124B">
            <w:pPr>
              <w:jc w:val="center"/>
            </w:pPr>
            <w:r>
              <w:rPr>
                <w:color w:val="000000"/>
                <w:sz w:val="24"/>
              </w:rPr>
              <w:t>0.05%</w:t>
            </w:r>
          </w:p>
        </w:tc>
        <w:tc>
          <w:tcPr>
            <w:tcW w:w="1285" w:type="dxa"/>
            <w:vAlign w:val="center"/>
          </w:tcPr>
          <w:p w:rsidR="003D270F" w:rsidRDefault="0056124B">
            <w:pPr>
              <w:jc w:val="center"/>
            </w:pPr>
            <w:r>
              <w:rPr>
                <w:color w:val="000000"/>
                <w:sz w:val="24"/>
              </w:rPr>
              <w:t>1.07%</w:t>
            </w:r>
          </w:p>
        </w:tc>
        <w:tc>
          <w:tcPr>
            <w:tcW w:w="1285" w:type="dxa"/>
            <w:vAlign w:val="center"/>
          </w:tcPr>
          <w:p w:rsidR="003D270F" w:rsidRDefault="0056124B">
            <w:pPr>
              <w:jc w:val="center"/>
            </w:pPr>
            <w:r>
              <w:rPr>
                <w:color w:val="000000"/>
                <w:sz w:val="24"/>
              </w:rPr>
              <w:t>0.04%</w:t>
            </w:r>
          </w:p>
        </w:tc>
        <w:tc>
          <w:tcPr>
            <w:tcW w:w="1285" w:type="dxa"/>
            <w:vAlign w:val="center"/>
          </w:tcPr>
          <w:p w:rsidR="003D270F" w:rsidRDefault="0056124B">
            <w:pPr>
              <w:jc w:val="center"/>
            </w:pPr>
            <w:r>
              <w:rPr>
                <w:color w:val="000000"/>
                <w:sz w:val="24"/>
              </w:rPr>
              <w:t>0.45%</w:t>
            </w:r>
          </w:p>
        </w:tc>
        <w:tc>
          <w:tcPr>
            <w:tcW w:w="1285" w:type="dxa"/>
            <w:vAlign w:val="center"/>
          </w:tcPr>
          <w:p w:rsidR="003D270F" w:rsidRDefault="0056124B">
            <w:pPr>
              <w:jc w:val="center"/>
            </w:pPr>
            <w:r>
              <w:rPr>
                <w:color w:val="000000"/>
                <w:sz w:val="24"/>
              </w:rPr>
              <w:t>0.01%</w:t>
            </w:r>
          </w:p>
        </w:tc>
      </w:tr>
      <w:tr w:rsidR="003D270F">
        <w:tc>
          <w:tcPr>
            <w:tcW w:w="1286" w:type="dxa"/>
            <w:vAlign w:val="center"/>
          </w:tcPr>
          <w:p w:rsidR="003D270F" w:rsidRDefault="0056124B">
            <w:pPr>
              <w:jc w:val="left"/>
            </w:pPr>
            <w:r>
              <w:rPr>
                <w:color w:val="000000"/>
                <w:sz w:val="24"/>
              </w:rPr>
              <w:t>过去一年</w:t>
            </w:r>
          </w:p>
        </w:tc>
        <w:tc>
          <w:tcPr>
            <w:tcW w:w="1286" w:type="dxa"/>
            <w:vAlign w:val="center"/>
          </w:tcPr>
          <w:p w:rsidR="003D270F" w:rsidRDefault="0056124B">
            <w:pPr>
              <w:jc w:val="center"/>
            </w:pPr>
            <w:r>
              <w:rPr>
                <w:color w:val="000000"/>
                <w:sz w:val="24"/>
              </w:rPr>
              <w:t>1.98%</w:t>
            </w:r>
          </w:p>
        </w:tc>
        <w:tc>
          <w:tcPr>
            <w:tcW w:w="1286" w:type="dxa"/>
            <w:vAlign w:val="center"/>
          </w:tcPr>
          <w:p w:rsidR="003D270F" w:rsidRDefault="0056124B">
            <w:pPr>
              <w:jc w:val="center"/>
            </w:pPr>
            <w:r>
              <w:rPr>
                <w:color w:val="000000"/>
                <w:sz w:val="24"/>
              </w:rPr>
              <w:t>0.05%</w:t>
            </w:r>
          </w:p>
        </w:tc>
        <w:tc>
          <w:tcPr>
            <w:tcW w:w="1285" w:type="dxa"/>
            <w:vAlign w:val="center"/>
          </w:tcPr>
          <w:p w:rsidR="003D270F" w:rsidRDefault="0056124B">
            <w:pPr>
              <w:jc w:val="center"/>
            </w:pPr>
            <w:r>
              <w:rPr>
                <w:color w:val="000000"/>
                <w:sz w:val="24"/>
              </w:rPr>
              <w:t>1.31%</w:t>
            </w:r>
          </w:p>
        </w:tc>
        <w:tc>
          <w:tcPr>
            <w:tcW w:w="1285" w:type="dxa"/>
            <w:vAlign w:val="center"/>
          </w:tcPr>
          <w:p w:rsidR="003D270F" w:rsidRDefault="0056124B">
            <w:pPr>
              <w:jc w:val="center"/>
            </w:pPr>
            <w:r>
              <w:rPr>
                <w:color w:val="000000"/>
                <w:sz w:val="24"/>
              </w:rPr>
              <w:t>0.05%</w:t>
            </w:r>
          </w:p>
        </w:tc>
        <w:tc>
          <w:tcPr>
            <w:tcW w:w="1285" w:type="dxa"/>
            <w:vAlign w:val="center"/>
          </w:tcPr>
          <w:p w:rsidR="003D270F" w:rsidRDefault="0056124B">
            <w:pPr>
              <w:jc w:val="center"/>
            </w:pPr>
            <w:r>
              <w:rPr>
                <w:color w:val="000000"/>
                <w:sz w:val="24"/>
              </w:rPr>
              <w:t>0.67%</w:t>
            </w:r>
          </w:p>
        </w:tc>
        <w:tc>
          <w:tcPr>
            <w:tcW w:w="1285" w:type="dxa"/>
            <w:vAlign w:val="center"/>
          </w:tcPr>
          <w:p w:rsidR="003D270F" w:rsidRDefault="0056124B">
            <w:pPr>
              <w:jc w:val="center"/>
            </w:pPr>
            <w:r>
              <w:rPr>
                <w:color w:val="000000"/>
                <w:sz w:val="24"/>
              </w:rPr>
              <w:t>0.00%</w:t>
            </w:r>
          </w:p>
        </w:tc>
      </w:tr>
      <w:tr w:rsidR="003D270F">
        <w:tc>
          <w:tcPr>
            <w:tcW w:w="1286" w:type="dxa"/>
            <w:vAlign w:val="center"/>
          </w:tcPr>
          <w:p w:rsidR="003D270F" w:rsidRDefault="0056124B">
            <w:pPr>
              <w:jc w:val="left"/>
            </w:pPr>
            <w:r>
              <w:rPr>
                <w:color w:val="000000"/>
                <w:sz w:val="24"/>
              </w:rPr>
              <w:t>自基金合同生效起至今</w:t>
            </w:r>
          </w:p>
        </w:tc>
        <w:tc>
          <w:tcPr>
            <w:tcW w:w="1286" w:type="dxa"/>
            <w:vAlign w:val="center"/>
          </w:tcPr>
          <w:p w:rsidR="003D270F" w:rsidRDefault="0056124B">
            <w:pPr>
              <w:jc w:val="center"/>
            </w:pPr>
            <w:r>
              <w:rPr>
                <w:color w:val="000000"/>
                <w:sz w:val="24"/>
              </w:rPr>
              <w:t>13.40%</w:t>
            </w:r>
          </w:p>
        </w:tc>
        <w:tc>
          <w:tcPr>
            <w:tcW w:w="1286" w:type="dxa"/>
            <w:vAlign w:val="center"/>
          </w:tcPr>
          <w:p w:rsidR="003D270F" w:rsidRDefault="0056124B">
            <w:pPr>
              <w:jc w:val="center"/>
            </w:pPr>
            <w:r>
              <w:rPr>
                <w:color w:val="000000"/>
                <w:sz w:val="24"/>
              </w:rPr>
              <w:t>0.22%</w:t>
            </w:r>
          </w:p>
        </w:tc>
        <w:tc>
          <w:tcPr>
            <w:tcW w:w="1285" w:type="dxa"/>
            <w:vAlign w:val="center"/>
          </w:tcPr>
          <w:p w:rsidR="003D270F" w:rsidRDefault="0056124B">
            <w:pPr>
              <w:jc w:val="center"/>
            </w:pPr>
            <w:r>
              <w:rPr>
                <w:color w:val="000000"/>
                <w:sz w:val="24"/>
              </w:rPr>
              <w:t>4.75%</w:t>
            </w:r>
          </w:p>
        </w:tc>
        <w:tc>
          <w:tcPr>
            <w:tcW w:w="1285" w:type="dxa"/>
            <w:vAlign w:val="center"/>
          </w:tcPr>
          <w:p w:rsidR="003D270F" w:rsidRDefault="0056124B">
            <w:pPr>
              <w:jc w:val="center"/>
            </w:pPr>
            <w:r>
              <w:rPr>
                <w:color w:val="000000"/>
                <w:sz w:val="24"/>
              </w:rPr>
              <w:t>0.06%</w:t>
            </w:r>
          </w:p>
        </w:tc>
        <w:tc>
          <w:tcPr>
            <w:tcW w:w="1285" w:type="dxa"/>
            <w:vAlign w:val="center"/>
          </w:tcPr>
          <w:p w:rsidR="003D270F" w:rsidRDefault="0056124B">
            <w:pPr>
              <w:jc w:val="center"/>
            </w:pPr>
            <w:r>
              <w:rPr>
                <w:color w:val="000000"/>
                <w:sz w:val="24"/>
              </w:rPr>
              <w:t>8.65%</w:t>
            </w:r>
          </w:p>
        </w:tc>
        <w:tc>
          <w:tcPr>
            <w:tcW w:w="1285" w:type="dxa"/>
            <w:vAlign w:val="center"/>
          </w:tcPr>
          <w:p w:rsidR="003D270F" w:rsidRDefault="0056124B">
            <w:pPr>
              <w:jc w:val="center"/>
            </w:pPr>
            <w:r>
              <w:rPr>
                <w:color w:val="000000"/>
                <w:sz w:val="24"/>
              </w:rPr>
              <w:t>0.16%</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日起转为开放式运作，封闭期内业绩比较基准：三年期银行定期存款税后收益率；开放期内业绩比较基准：中债综合全价指数；</w:t>
      </w:r>
      <w:r w:rsidRPr="00400137">
        <w:rPr>
          <w:kern w:val="0"/>
          <w:sz w:val="24"/>
        </w:rPr>
        <w:t>3.2.2</w:t>
      </w:r>
      <w:r w:rsidRPr="00400137">
        <w:rPr>
          <w:kern w:val="0"/>
          <w:sz w:val="24"/>
        </w:rPr>
        <w:t>同。</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交银丰盈收益债券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交银丰盈收益债券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注：本基金自</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日起，开始销售</w:t>
      </w:r>
      <w:r w:rsidRPr="00400137">
        <w:rPr>
          <w:kern w:val="0"/>
          <w:sz w:val="24"/>
        </w:rPr>
        <w:t>C</w:t>
      </w:r>
      <w:r w:rsidRPr="00400137">
        <w:rPr>
          <w:kern w:val="0"/>
          <w:sz w:val="24"/>
        </w:rPr>
        <w:t>类份额，投资者提交的申购申请于</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15</w:t>
      </w:r>
      <w:r w:rsidRPr="00400137">
        <w:rPr>
          <w:kern w:val="0"/>
          <w:sz w:val="24"/>
        </w:rPr>
        <w:t>日被确认并将有效份额登记在册。图示日期为</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交银丰盈收益债券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lastRenderedPageBreak/>
        <w:t>2</w:t>
      </w:r>
      <w:r w:rsidRPr="00E62358">
        <w:rPr>
          <w:rFonts w:ascii="Times New Roman" w:hAnsi="Times New Roman" w:hint="eastAsia"/>
          <w:color w:val="auto"/>
        </w:rPr>
        <w:t>、</w:t>
      </w:r>
      <w:r w:rsidRPr="00E62358">
        <w:rPr>
          <w:rFonts w:ascii="Times New Roman" w:hAnsi="Times New Roman"/>
          <w:color w:val="auto"/>
        </w:rPr>
        <w:t>交银丰盈收益债券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8</w:t>
      </w:r>
      <w:r w:rsidRPr="00400137">
        <w:rPr>
          <w:kern w:val="0"/>
          <w:sz w:val="24"/>
        </w:rPr>
        <w:t>月</w:t>
      </w:r>
      <w:r w:rsidRPr="00400137">
        <w:rPr>
          <w:kern w:val="0"/>
          <w:sz w:val="24"/>
        </w:rPr>
        <w:t>14</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5053FD" w:rsidRDefault="000B2C76" w:rsidP="005053FD">
      <w:pPr>
        <w:pStyle w:val="20"/>
        <w:spacing w:before="29" w:after="0" w:line="288" w:lineRule="auto"/>
        <w:rPr>
          <w:rFonts w:ascii="Times New Roman" w:hAnsi="Times New Roman"/>
          <w:kern w:val="0"/>
          <w:szCs w:val="24"/>
        </w:rPr>
      </w:pPr>
      <w:bookmarkStart w:id="36" w:name="_Toc249760033"/>
      <w:bookmarkStart w:id="37" w:name="_Toc361324853"/>
      <w:bookmarkStart w:id="38" w:name="_Toc35959530"/>
      <w:r w:rsidRPr="005053FD">
        <w:rPr>
          <w:rFonts w:ascii="Times New Roman" w:hAnsi="Times New Roman"/>
          <w:kern w:val="0"/>
          <w:szCs w:val="24"/>
        </w:rPr>
        <w:t>3.3</w:t>
      </w:r>
      <w:r w:rsidRPr="005053FD">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交银丰盈收益债券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783479">
        <w:trPr>
          <w:jc w:val="center"/>
        </w:trPr>
        <w:tc>
          <w:tcPr>
            <w:tcW w:w="1157" w:type="dxa"/>
            <w:vAlign w:val="center"/>
          </w:tcPr>
          <w:p w:rsidR="00783479" w:rsidRDefault="00783479" w:rsidP="00783479">
            <w:pPr>
              <w:jc w:val="center"/>
              <w:rPr>
                <w:color w:val="000000"/>
                <w:sz w:val="24"/>
              </w:rPr>
            </w:pPr>
            <w:r>
              <w:rPr>
                <w:rFonts w:hint="eastAsia"/>
                <w:color w:val="000000"/>
                <w:sz w:val="24"/>
              </w:rPr>
              <w:t>2019</w:t>
            </w:r>
            <w:r>
              <w:rPr>
                <w:rFonts w:hint="eastAsia"/>
                <w:color w:val="000000"/>
                <w:sz w:val="24"/>
              </w:rPr>
              <w:t>年</w:t>
            </w:r>
          </w:p>
        </w:tc>
        <w:tc>
          <w:tcPr>
            <w:tcW w:w="1378" w:type="dxa"/>
            <w:vAlign w:val="center"/>
          </w:tcPr>
          <w:p w:rsidR="00783479" w:rsidRDefault="00783479" w:rsidP="00783479">
            <w:pPr>
              <w:jc w:val="right"/>
            </w:pPr>
            <w:r>
              <w:rPr>
                <w:color w:val="000000"/>
                <w:sz w:val="24"/>
              </w:rPr>
              <w:t>-</w:t>
            </w:r>
          </w:p>
        </w:tc>
        <w:tc>
          <w:tcPr>
            <w:tcW w:w="1839" w:type="dxa"/>
            <w:vAlign w:val="center"/>
          </w:tcPr>
          <w:p w:rsidR="00783479" w:rsidRDefault="00783479" w:rsidP="00783479">
            <w:pPr>
              <w:jc w:val="right"/>
            </w:pPr>
            <w:r>
              <w:rPr>
                <w:color w:val="000000"/>
                <w:sz w:val="24"/>
              </w:rPr>
              <w:t>-</w:t>
            </w:r>
          </w:p>
        </w:tc>
        <w:tc>
          <w:tcPr>
            <w:tcW w:w="1950" w:type="dxa"/>
            <w:vAlign w:val="center"/>
          </w:tcPr>
          <w:p w:rsidR="00783479" w:rsidRDefault="00783479" w:rsidP="00783479">
            <w:pPr>
              <w:jc w:val="right"/>
            </w:pPr>
            <w:r>
              <w:rPr>
                <w:color w:val="000000"/>
                <w:sz w:val="24"/>
              </w:rPr>
              <w:t>-</w:t>
            </w:r>
          </w:p>
        </w:tc>
        <w:tc>
          <w:tcPr>
            <w:tcW w:w="1894" w:type="dxa"/>
            <w:vAlign w:val="center"/>
          </w:tcPr>
          <w:p w:rsidR="00783479" w:rsidRDefault="00783479" w:rsidP="00783479">
            <w:pPr>
              <w:jc w:val="right"/>
            </w:pPr>
            <w:r>
              <w:rPr>
                <w:color w:val="000000"/>
                <w:sz w:val="24"/>
              </w:rPr>
              <w:t>-</w:t>
            </w:r>
          </w:p>
        </w:tc>
        <w:tc>
          <w:tcPr>
            <w:tcW w:w="1068" w:type="dxa"/>
            <w:vAlign w:val="center"/>
          </w:tcPr>
          <w:p w:rsidR="00783479" w:rsidRDefault="00783479" w:rsidP="00783479">
            <w:pPr>
              <w:jc w:val="left"/>
            </w:pPr>
            <w:r>
              <w:rPr>
                <w:color w:val="000000"/>
                <w:sz w:val="24"/>
              </w:rPr>
              <w:t>-</w:t>
            </w:r>
          </w:p>
        </w:tc>
      </w:tr>
      <w:tr w:rsidR="003D270F">
        <w:trPr>
          <w:jc w:val="center"/>
        </w:trPr>
        <w:tc>
          <w:tcPr>
            <w:tcW w:w="1157" w:type="dxa"/>
            <w:vAlign w:val="center"/>
          </w:tcPr>
          <w:p w:rsidR="003D270F" w:rsidRDefault="0056124B">
            <w:pPr>
              <w:jc w:val="center"/>
            </w:pPr>
            <w:r>
              <w:rPr>
                <w:color w:val="000000"/>
                <w:sz w:val="24"/>
              </w:rPr>
              <w:t>2018</w:t>
            </w:r>
            <w:r>
              <w:rPr>
                <w:color w:val="000000"/>
                <w:sz w:val="24"/>
              </w:rPr>
              <w:t>年</w:t>
            </w:r>
          </w:p>
        </w:tc>
        <w:tc>
          <w:tcPr>
            <w:tcW w:w="1378" w:type="dxa"/>
            <w:vAlign w:val="center"/>
          </w:tcPr>
          <w:p w:rsidR="003D270F" w:rsidRDefault="0056124B">
            <w:pPr>
              <w:jc w:val="right"/>
            </w:pPr>
            <w:r>
              <w:rPr>
                <w:color w:val="000000"/>
                <w:sz w:val="24"/>
              </w:rPr>
              <w:t>-</w:t>
            </w:r>
          </w:p>
        </w:tc>
        <w:tc>
          <w:tcPr>
            <w:tcW w:w="1839" w:type="dxa"/>
            <w:vAlign w:val="center"/>
          </w:tcPr>
          <w:p w:rsidR="003D270F" w:rsidRDefault="0056124B">
            <w:pPr>
              <w:jc w:val="right"/>
            </w:pPr>
            <w:r>
              <w:rPr>
                <w:color w:val="000000"/>
                <w:sz w:val="24"/>
              </w:rPr>
              <w:t>-</w:t>
            </w:r>
          </w:p>
        </w:tc>
        <w:tc>
          <w:tcPr>
            <w:tcW w:w="1950" w:type="dxa"/>
            <w:vAlign w:val="center"/>
          </w:tcPr>
          <w:p w:rsidR="003D270F" w:rsidRDefault="0056124B">
            <w:pPr>
              <w:jc w:val="right"/>
            </w:pPr>
            <w:r>
              <w:rPr>
                <w:color w:val="000000"/>
                <w:sz w:val="24"/>
              </w:rPr>
              <w:t>-</w:t>
            </w:r>
          </w:p>
        </w:tc>
        <w:tc>
          <w:tcPr>
            <w:tcW w:w="1894" w:type="dxa"/>
            <w:vAlign w:val="center"/>
          </w:tcPr>
          <w:p w:rsidR="003D270F" w:rsidRDefault="0056124B">
            <w:pPr>
              <w:jc w:val="right"/>
            </w:pPr>
            <w:r>
              <w:rPr>
                <w:color w:val="000000"/>
                <w:sz w:val="24"/>
              </w:rPr>
              <w:t>-</w:t>
            </w:r>
          </w:p>
        </w:tc>
        <w:tc>
          <w:tcPr>
            <w:tcW w:w="1068" w:type="dxa"/>
            <w:vAlign w:val="center"/>
          </w:tcPr>
          <w:p w:rsidR="003D270F" w:rsidRDefault="0056124B">
            <w:pPr>
              <w:jc w:val="left"/>
            </w:pPr>
            <w:r>
              <w:rPr>
                <w:color w:val="000000"/>
                <w:sz w:val="24"/>
              </w:rPr>
              <w:t>-</w:t>
            </w:r>
          </w:p>
        </w:tc>
      </w:tr>
      <w:tr w:rsidR="003D270F">
        <w:trPr>
          <w:jc w:val="center"/>
        </w:trPr>
        <w:tc>
          <w:tcPr>
            <w:tcW w:w="1157" w:type="dxa"/>
            <w:vAlign w:val="center"/>
          </w:tcPr>
          <w:p w:rsidR="003D270F" w:rsidRDefault="0056124B">
            <w:pPr>
              <w:jc w:val="center"/>
            </w:pPr>
            <w:r>
              <w:rPr>
                <w:color w:val="000000"/>
                <w:sz w:val="24"/>
              </w:rPr>
              <w:t>2017</w:t>
            </w:r>
            <w:r>
              <w:rPr>
                <w:color w:val="000000"/>
                <w:sz w:val="24"/>
              </w:rPr>
              <w:t>年</w:t>
            </w:r>
          </w:p>
        </w:tc>
        <w:tc>
          <w:tcPr>
            <w:tcW w:w="1378" w:type="dxa"/>
            <w:vAlign w:val="center"/>
          </w:tcPr>
          <w:p w:rsidR="003D270F" w:rsidRDefault="0056124B">
            <w:pPr>
              <w:jc w:val="right"/>
            </w:pPr>
            <w:r>
              <w:rPr>
                <w:color w:val="000000"/>
                <w:sz w:val="24"/>
              </w:rPr>
              <w:t>-</w:t>
            </w:r>
          </w:p>
        </w:tc>
        <w:tc>
          <w:tcPr>
            <w:tcW w:w="1839" w:type="dxa"/>
            <w:vAlign w:val="center"/>
          </w:tcPr>
          <w:p w:rsidR="003D270F" w:rsidRDefault="0056124B">
            <w:pPr>
              <w:jc w:val="right"/>
            </w:pPr>
            <w:r>
              <w:rPr>
                <w:color w:val="000000"/>
                <w:sz w:val="24"/>
              </w:rPr>
              <w:t>-</w:t>
            </w:r>
          </w:p>
        </w:tc>
        <w:tc>
          <w:tcPr>
            <w:tcW w:w="1950" w:type="dxa"/>
            <w:vAlign w:val="center"/>
          </w:tcPr>
          <w:p w:rsidR="003D270F" w:rsidRDefault="0056124B">
            <w:pPr>
              <w:jc w:val="right"/>
            </w:pPr>
            <w:r>
              <w:rPr>
                <w:color w:val="000000"/>
                <w:sz w:val="24"/>
              </w:rPr>
              <w:t>-</w:t>
            </w:r>
          </w:p>
        </w:tc>
        <w:tc>
          <w:tcPr>
            <w:tcW w:w="1894" w:type="dxa"/>
            <w:vAlign w:val="center"/>
          </w:tcPr>
          <w:p w:rsidR="003D270F" w:rsidRDefault="0056124B">
            <w:pPr>
              <w:jc w:val="right"/>
            </w:pPr>
            <w:r>
              <w:rPr>
                <w:color w:val="000000"/>
                <w:sz w:val="24"/>
              </w:rPr>
              <w:t>-</w:t>
            </w:r>
          </w:p>
        </w:tc>
        <w:tc>
          <w:tcPr>
            <w:tcW w:w="1068" w:type="dxa"/>
            <w:vAlign w:val="center"/>
          </w:tcPr>
          <w:p w:rsidR="003D270F" w:rsidRDefault="0056124B">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交银丰盈收益债券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783479">
        <w:trPr>
          <w:jc w:val="center"/>
        </w:trPr>
        <w:tc>
          <w:tcPr>
            <w:tcW w:w="1157" w:type="dxa"/>
            <w:vAlign w:val="center"/>
          </w:tcPr>
          <w:p w:rsidR="00783479" w:rsidRDefault="00783479" w:rsidP="00783479">
            <w:pPr>
              <w:jc w:val="center"/>
              <w:rPr>
                <w:color w:val="000000"/>
                <w:sz w:val="24"/>
              </w:rPr>
            </w:pPr>
            <w:r>
              <w:rPr>
                <w:rFonts w:hint="eastAsia"/>
                <w:color w:val="000000"/>
                <w:sz w:val="24"/>
              </w:rPr>
              <w:t>2019</w:t>
            </w:r>
            <w:r>
              <w:rPr>
                <w:rFonts w:hint="eastAsia"/>
                <w:color w:val="000000"/>
                <w:sz w:val="24"/>
              </w:rPr>
              <w:t>年</w:t>
            </w:r>
          </w:p>
        </w:tc>
        <w:tc>
          <w:tcPr>
            <w:tcW w:w="1378" w:type="dxa"/>
            <w:vAlign w:val="center"/>
          </w:tcPr>
          <w:p w:rsidR="00783479" w:rsidRDefault="00783479" w:rsidP="00783479">
            <w:pPr>
              <w:jc w:val="right"/>
            </w:pPr>
            <w:r>
              <w:rPr>
                <w:color w:val="000000"/>
                <w:sz w:val="24"/>
              </w:rPr>
              <w:t>-</w:t>
            </w:r>
          </w:p>
        </w:tc>
        <w:tc>
          <w:tcPr>
            <w:tcW w:w="1839" w:type="dxa"/>
            <w:vAlign w:val="center"/>
          </w:tcPr>
          <w:p w:rsidR="00783479" w:rsidRDefault="00783479" w:rsidP="00783479">
            <w:pPr>
              <w:jc w:val="right"/>
            </w:pPr>
            <w:r>
              <w:rPr>
                <w:color w:val="000000"/>
                <w:sz w:val="24"/>
              </w:rPr>
              <w:t>-</w:t>
            </w:r>
          </w:p>
        </w:tc>
        <w:tc>
          <w:tcPr>
            <w:tcW w:w="1950" w:type="dxa"/>
            <w:vAlign w:val="center"/>
          </w:tcPr>
          <w:p w:rsidR="00783479" w:rsidRDefault="00783479" w:rsidP="00783479">
            <w:pPr>
              <w:jc w:val="right"/>
            </w:pPr>
            <w:r>
              <w:rPr>
                <w:color w:val="000000"/>
                <w:sz w:val="24"/>
              </w:rPr>
              <w:t>-</w:t>
            </w:r>
          </w:p>
        </w:tc>
        <w:tc>
          <w:tcPr>
            <w:tcW w:w="1894" w:type="dxa"/>
            <w:vAlign w:val="center"/>
          </w:tcPr>
          <w:p w:rsidR="00783479" w:rsidRDefault="00783479" w:rsidP="00783479">
            <w:pPr>
              <w:jc w:val="right"/>
            </w:pPr>
            <w:r>
              <w:rPr>
                <w:color w:val="000000"/>
                <w:sz w:val="24"/>
              </w:rPr>
              <w:t>-</w:t>
            </w:r>
          </w:p>
        </w:tc>
        <w:tc>
          <w:tcPr>
            <w:tcW w:w="1068" w:type="dxa"/>
            <w:vAlign w:val="center"/>
          </w:tcPr>
          <w:p w:rsidR="00783479" w:rsidRDefault="00783479" w:rsidP="00783479">
            <w:pPr>
              <w:jc w:val="left"/>
            </w:pPr>
            <w:r>
              <w:rPr>
                <w:color w:val="000000"/>
                <w:sz w:val="24"/>
              </w:rPr>
              <w:t>-</w:t>
            </w:r>
          </w:p>
        </w:tc>
      </w:tr>
      <w:tr w:rsidR="003D270F">
        <w:trPr>
          <w:jc w:val="center"/>
        </w:trPr>
        <w:tc>
          <w:tcPr>
            <w:tcW w:w="1157" w:type="dxa"/>
            <w:vAlign w:val="center"/>
          </w:tcPr>
          <w:p w:rsidR="003D270F" w:rsidRDefault="0056124B">
            <w:pPr>
              <w:jc w:val="center"/>
            </w:pPr>
            <w:r>
              <w:rPr>
                <w:color w:val="000000"/>
                <w:sz w:val="24"/>
              </w:rPr>
              <w:lastRenderedPageBreak/>
              <w:t>2018</w:t>
            </w:r>
            <w:r>
              <w:rPr>
                <w:color w:val="000000"/>
                <w:sz w:val="24"/>
              </w:rPr>
              <w:t>年</w:t>
            </w:r>
          </w:p>
        </w:tc>
        <w:tc>
          <w:tcPr>
            <w:tcW w:w="1378" w:type="dxa"/>
            <w:vAlign w:val="center"/>
          </w:tcPr>
          <w:p w:rsidR="003D270F" w:rsidRDefault="0056124B">
            <w:pPr>
              <w:jc w:val="right"/>
            </w:pPr>
            <w:r>
              <w:rPr>
                <w:color w:val="000000"/>
                <w:sz w:val="24"/>
              </w:rPr>
              <w:t>-</w:t>
            </w:r>
          </w:p>
        </w:tc>
        <w:tc>
          <w:tcPr>
            <w:tcW w:w="1839" w:type="dxa"/>
            <w:vAlign w:val="center"/>
          </w:tcPr>
          <w:p w:rsidR="003D270F" w:rsidRDefault="0056124B">
            <w:pPr>
              <w:jc w:val="right"/>
            </w:pPr>
            <w:r>
              <w:rPr>
                <w:color w:val="000000"/>
                <w:sz w:val="24"/>
              </w:rPr>
              <w:t>-</w:t>
            </w:r>
          </w:p>
        </w:tc>
        <w:tc>
          <w:tcPr>
            <w:tcW w:w="1950" w:type="dxa"/>
            <w:vAlign w:val="center"/>
          </w:tcPr>
          <w:p w:rsidR="003D270F" w:rsidRDefault="0056124B">
            <w:pPr>
              <w:jc w:val="right"/>
            </w:pPr>
            <w:r>
              <w:rPr>
                <w:color w:val="000000"/>
                <w:sz w:val="24"/>
              </w:rPr>
              <w:t>-</w:t>
            </w:r>
          </w:p>
        </w:tc>
        <w:tc>
          <w:tcPr>
            <w:tcW w:w="1894" w:type="dxa"/>
            <w:vAlign w:val="center"/>
          </w:tcPr>
          <w:p w:rsidR="003D270F" w:rsidRDefault="0056124B">
            <w:pPr>
              <w:jc w:val="right"/>
            </w:pPr>
            <w:r>
              <w:rPr>
                <w:color w:val="000000"/>
                <w:sz w:val="24"/>
              </w:rPr>
              <w:t>-</w:t>
            </w:r>
          </w:p>
        </w:tc>
        <w:tc>
          <w:tcPr>
            <w:tcW w:w="1068" w:type="dxa"/>
            <w:vAlign w:val="center"/>
          </w:tcPr>
          <w:p w:rsidR="003D270F" w:rsidRDefault="0056124B">
            <w:pPr>
              <w:jc w:val="left"/>
            </w:pPr>
            <w:r>
              <w:rPr>
                <w:color w:val="000000"/>
                <w:sz w:val="24"/>
              </w:rPr>
              <w:t>-</w:t>
            </w:r>
          </w:p>
        </w:tc>
      </w:tr>
      <w:tr w:rsidR="003D270F">
        <w:trPr>
          <w:jc w:val="center"/>
        </w:trPr>
        <w:tc>
          <w:tcPr>
            <w:tcW w:w="1157" w:type="dxa"/>
            <w:vAlign w:val="center"/>
          </w:tcPr>
          <w:p w:rsidR="003D270F" w:rsidRDefault="0056124B">
            <w:pPr>
              <w:jc w:val="center"/>
            </w:pPr>
            <w:r>
              <w:rPr>
                <w:color w:val="000000"/>
                <w:sz w:val="24"/>
              </w:rPr>
              <w:t>2017</w:t>
            </w:r>
            <w:r>
              <w:rPr>
                <w:color w:val="000000"/>
                <w:sz w:val="24"/>
              </w:rPr>
              <w:t>年</w:t>
            </w:r>
          </w:p>
        </w:tc>
        <w:tc>
          <w:tcPr>
            <w:tcW w:w="1378" w:type="dxa"/>
            <w:vAlign w:val="center"/>
          </w:tcPr>
          <w:p w:rsidR="003D270F" w:rsidRDefault="0056124B">
            <w:pPr>
              <w:jc w:val="right"/>
            </w:pPr>
            <w:r>
              <w:rPr>
                <w:color w:val="000000"/>
                <w:sz w:val="24"/>
              </w:rPr>
              <w:t>-</w:t>
            </w:r>
          </w:p>
        </w:tc>
        <w:tc>
          <w:tcPr>
            <w:tcW w:w="1839" w:type="dxa"/>
            <w:vAlign w:val="center"/>
          </w:tcPr>
          <w:p w:rsidR="003D270F" w:rsidRDefault="0056124B">
            <w:pPr>
              <w:jc w:val="right"/>
            </w:pPr>
            <w:r>
              <w:rPr>
                <w:color w:val="000000"/>
                <w:sz w:val="24"/>
              </w:rPr>
              <w:t>-</w:t>
            </w:r>
          </w:p>
        </w:tc>
        <w:tc>
          <w:tcPr>
            <w:tcW w:w="1950" w:type="dxa"/>
            <w:vAlign w:val="center"/>
          </w:tcPr>
          <w:p w:rsidR="003D270F" w:rsidRDefault="0056124B">
            <w:pPr>
              <w:jc w:val="right"/>
            </w:pPr>
            <w:r>
              <w:rPr>
                <w:color w:val="000000"/>
                <w:sz w:val="24"/>
              </w:rPr>
              <w:t>-</w:t>
            </w:r>
          </w:p>
        </w:tc>
        <w:tc>
          <w:tcPr>
            <w:tcW w:w="1894" w:type="dxa"/>
            <w:vAlign w:val="center"/>
          </w:tcPr>
          <w:p w:rsidR="003D270F" w:rsidRDefault="0056124B">
            <w:pPr>
              <w:jc w:val="right"/>
            </w:pPr>
            <w:r>
              <w:rPr>
                <w:color w:val="000000"/>
                <w:sz w:val="24"/>
              </w:rPr>
              <w:t>-</w:t>
            </w:r>
          </w:p>
        </w:tc>
        <w:tc>
          <w:tcPr>
            <w:tcW w:w="1068" w:type="dxa"/>
            <w:vAlign w:val="center"/>
          </w:tcPr>
          <w:p w:rsidR="003D270F" w:rsidRDefault="0056124B">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35959531"/>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5053FD" w:rsidRDefault="001A59F9" w:rsidP="005053FD">
      <w:pPr>
        <w:pStyle w:val="20"/>
        <w:spacing w:before="29" w:after="0" w:line="288" w:lineRule="auto"/>
        <w:rPr>
          <w:rFonts w:ascii="Times New Roman" w:hAnsi="Times New Roman"/>
          <w:kern w:val="0"/>
          <w:szCs w:val="24"/>
        </w:rPr>
      </w:pPr>
      <w:bookmarkStart w:id="42" w:name="_Toc361324855"/>
      <w:bookmarkStart w:id="43" w:name="_Toc35959532"/>
      <w:r w:rsidRPr="005053FD">
        <w:rPr>
          <w:rFonts w:ascii="Times New Roman" w:hAnsi="Times New Roman"/>
          <w:kern w:val="0"/>
          <w:szCs w:val="24"/>
        </w:rPr>
        <w:t xml:space="preserve">4.1 </w:t>
      </w:r>
      <w:r w:rsidRPr="005053FD">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3D270F" w:rsidRDefault="0056124B">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3D270F">
        <w:tc>
          <w:tcPr>
            <w:tcW w:w="1276" w:type="dxa"/>
            <w:vAlign w:val="center"/>
          </w:tcPr>
          <w:p w:rsidR="003D270F" w:rsidRDefault="0056124B">
            <w:pPr>
              <w:jc w:val="center"/>
            </w:pPr>
            <w:r>
              <w:rPr>
                <w:color w:val="000000"/>
                <w:sz w:val="24"/>
              </w:rPr>
              <w:t>连端清</w:t>
            </w:r>
          </w:p>
        </w:tc>
        <w:tc>
          <w:tcPr>
            <w:tcW w:w="1134" w:type="dxa"/>
            <w:vAlign w:val="center"/>
          </w:tcPr>
          <w:p w:rsidR="003D270F" w:rsidRDefault="0056124B">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w:t>
            </w:r>
            <w:r>
              <w:rPr>
                <w:color w:val="000000"/>
                <w:sz w:val="24"/>
              </w:rPr>
              <w:lastRenderedPageBreak/>
              <w:t>理</w:t>
            </w:r>
          </w:p>
        </w:tc>
        <w:tc>
          <w:tcPr>
            <w:tcW w:w="1418" w:type="dxa"/>
            <w:vAlign w:val="center"/>
          </w:tcPr>
          <w:p w:rsidR="003D270F" w:rsidRDefault="0056124B">
            <w:pPr>
              <w:jc w:val="center"/>
            </w:pPr>
            <w:r>
              <w:rPr>
                <w:color w:val="000000"/>
                <w:sz w:val="24"/>
              </w:rPr>
              <w:lastRenderedPageBreak/>
              <w:t>2015-08-04</w:t>
            </w:r>
          </w:p>
        </w:tc>
        <w:tc>
          <w:tcPr>
            <w:tcW w:w="1275" w:type="dxa"/>
            <w:vAlign w:val="center"/>
          </w:tcPr>
          <w:p w:rsidR="003D270F" w:rsidRDefault="0056124B">
            <w:pPr>
              <w:jc w:val="center"/>
            </w:pPr>
            <w:r>
              <w:rPr>
                <w:color w:val="000000"/>
                <w:sz w:val="24"/>
              </w:rPr>
              <w:t>-</w:t>
            </w:r>
          </w:p>
        </w:tc>
        <w:tc>
          <w:tcPr>
            <w:tcW w:w="993" w:type="dxa"/>
            <w:vAlign w:val="center"/>
          </w:tcPr>
          <w:p w:rsidR="003D270F" w:rsidRDefault="0056124B">
            <w:pPr>
              <w:jc w:val="center"/>
            </w:pPr>
            <w:r>
              <w:rPr>
                <w:color w:val="000000"/>
                <w:sz w:val="24"/>
              </w:rPr>
              <w:t>6</w:t>
            </w:r>
            <w:r>
              <w:rPr>
                <w:color w:val="000000"/>
                <w:sz w:val="24"/>
              </w:rPr>
              <w:t>年</w:t>
            </w:r>
          </w:p>
        </w:tc>
        <w:tc>
          <w:tcPr>
            <w:tcW w:w="2902" w:type="dxa"/>
            <w:vAlign w:val="center"/>
          </w:tcPr>
          <w:p w:rsidR="003D270F" w:rsidRDefault="0056124B">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w:t>
            </w:r>
            <w:r>
              <w:rPr>
                <w:color w:val="000000"/>
                <w:sz w:val="24"/>
              </w:rPr>
              <w:lastRenderedPageBreak/>
              <w:t>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r w:rsidR="003D270F">
        <w:tc>
          <w:tcPr>
            <w:tcW w:w="1276" w:type="dxa"/>
            <w:vAlign w:val="center"/>
          </w:tcPr>
          <w:p w:rsidR="003D270F" w:rsidRDefault="0056124B">
            <w:pPr>
              <w:jc w:val="center"/>
            </w:pPr>
            <w:r>
              <w:rPr>
                <w:color w:val="000000"/>
                <w:sz w:val="24"/>
              </w:rPr>
              <w:lastRenderedPageBreak/>
              <w:t>于海颖</w:t>
            </w:r>
          </w:p>
        </w:tc>
        <w:tc>
          <w:tcPr>
            <w:tcW w:w="1134" w:type="dxa"/>
            <w:vAlign w:val="center"/>
          </w:tcPr>
          <w:p w:rsidR="003D270F" w:rsidRDefault="0056124B">
            <w:pPr>
              <w:jc w:val="center"/>
            </w:pPr>
            <w:r>
              <w:rPr>
                <w:color w:val="000000"/>
                <w:sz w:val="24"/>
              </w:rPr>
              <w:t>交银增利债券、交银纯债债券发起、交银丰盈收益债券、交银丰晟收益债券、交银裕如纯债债券、交银裕泰两年定期开放债券、交银裕坤纯债一年定期开放债券的基</w:t>
            </w:r>
            <w:r>
              <w:rPr>
                <w:color w:val="000000"/>
                <w:sz w:val="24"/>
              </w:rPr>
              <w:lastRenderedPageBreak/>
              <w:t>金经理，公司固定收益（公募）投资总监</w:t>
            </w:r>
          </w:p>
        </w:tc>
        <w:tc>
          <w:tcPr>
            <w:tcW w:w="1418" w:type="dxa"/>
            <w:vAlign w:val="center"/>
          </w:tcPr>
          <w:p w:rsidR="003D270F" w:rsidRDefault="0056124B">
            <w:pPr>
              <w:jc w:val="center"/>
            </w:pPr>
            <w:r>
              <w:rPr>
                <w:color w:val="000000"/>
                <w:sz w:val="24"/>
              </w:rPr>
              <w:lastRenderedPageBreak/>
              <w:t>2016-12-29</w:t>
            </w:r>
          </w:p>
        </w:tc>
        <w:tc>
          <w:tcPr>
            <w:tcW w:w="1275" w:type="dxa"/>
            <w:vAlign w:val="center"/>
          </w:tcPr>
          <w:p w:rsidR="003D270F" w:rsidRDefault="0056124B">
            <w:pPr>
              <w:jc w:val="center"/>
            </w:pPr>
            <w:r>
              <w:rPr>
                <w:color w:val="000000"/>
                <w:sz w:val="24"/>
              </w:rPr>
              <w:t>-</w:t>
            </w:r>
          </w:p>
        </w:tc>
        <w:tc>
          <w:tcPr>
            <w:tcW w:w="993" w:type="dxa"/>
            <w:vAlign w:val="center"/>
          </w:tcPr>
          <w:p w:rsidR="003D270F" w:rsidRDefault="0056124B">
            <w:pPr>
              <w:jc w:val="center"/>
            </w:pPr>
            <w:r>
              <w:rPr>
                <w:color w:val="000000"/>
                <w:sz w:val="24"/>
              </w:rPr>
              <w:t>13</w:t>
            </w:r>
            <w:r>
              <w:rPr>
                <w:color w:val="000000"/>
                <w:sz w:val="24"/>
              </w:rPr>
              <w:t>年</w:t>
            </w:r>
          </w:p>
        </w:tc>
        <w:tc>
          <w:tcPr>
            <w:tcW w:w="2902" w:type="dxa"/>
            <w:vAlign w:val="center"/>
          </w:tcPr>
          <w:p w:rsidR="003D270F" w:rsidRDefault="00C24A5F">
            <w:r w:rsidRPr="00C24A5F">
              <w:rPr>
                <w:rFonts w:hint="eastAsia"/>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sidRPr="00C24A5F">
              <w:rPr>
                <w:rFonts w:hint="eastAsia"/>
                <w:color w:val="000000"/>
                <w:sz w:val="24"/>
              </w:rPr>
              <w:t>2007</w:t>
            </w:r>
            <w:r w:rsidRPr="00C24A5F">
              <w:rPr>
                <w:rFonts w:hint="eastAsia"/>
                <w:color w:val="000000"/>
                <w:sz w:val="24"/>
              </w:rPr>
              <w:t>年</w:t>
            </w:r>
            <w:r w:rsidRPr="00C24A5F">
              <w:rPr>
                <w:rFonts w:hint="eastAsia"/>
                <w:color w:val="000000"/>
                <w:sz w:val="24"/>
              </w:rPr>
              <w:t>11</w:t>
            </w:r>
            <w:r w:rsidRPr="00C24A5F">
              <w:rPr>
                <w:rFonts w:hint="eastAsia"/>
                <w:color w:val="000000"/>
                <w:sz w:val="24"/>
              </w:rPr>
              <w:t>月</w:t>
            </w:r>
            <w:r w:rsidRPr="00C24A5F">
              <w:rPr>
                <w:rFonts w:hint="eastAsia"/>
                <w:color w:val="000000"/>
                <w:sz w:val="24"/>
              </w:rPr>
              <w:t>9</w:t>
            </w:r>
            <w:r w:rsidRPr="00C24A5F">
              <w:rPr>
                <w:rFonts w:hint="eastAsia"/>
                <w:color w:val="000000"/>
                <w:sz w:val="24"/>
              </w:rPr>
              <w:t>日至</w:t>
            </w:r>
            <w:r w:rsidRPr="00C24A5F">
              <w:rPr>
                <w:rFonts w:hint="eastAsia"/>
                <w:color w:val="000000"/>
                <w:sz w:val="24"/>
              </w:rPr>
              <w:t>2010</w:t>
            </w:r>
            <w:r w:rsidRPr="00C24A5F">
              <w:rPr>
                <w:rFonts w:hint="eastAsia"/>
                <w:color w:val="000000"/>
                <w:sz w:val="24"/>
              </w:rPr>
              <w:t>年</w:t>
            </w:r>
            <w:r w:rsidRPr="00C24A5F">
              <w:rPr>
                <w:rFonts w:hint="eastAsia"/>
                <w:color w:val="000000"/>
                <w:sz w:val="24"/>
              </w:rPr>
              <w:t>8</w:t>
            </w:r>
            <w:r w:rsidRPr="00C24A5F">
              <w:rPr>
                <w:rFonts w:hint="eastAsia"/>
                <w:color w:val="000000"/>
                <w:sz w:val="24"/>
              </w:rPr>
              <w:t>月</w:t>
            </w:r>
            <w:r w:rsidRPr="00C24A5F">
              <w:rPr>
                <w:rFonts w:hint="eastAsia"/>
                <w:color w:val="000000"/>
                <w:sz w:val="24"/>
              </w:rPr>
              <w:t>30</w:t>
            </w:r>
            <w:r w:rsidRPr="00C24A5F">
              <w:rPr>
                <w:rFonts w:hint="eastAsia"/>
                <w:color w:val="000000"/>
                <w:sz w:val="24"/>
              </w:rPr>
              <w:t>日任光大保德信货币市场基金基金经理，</w:t>
            </w:r>
            <w:r w:rsidRPr="00C24A5F">
              <w:rPr>
                <w:rFonts w:hint="eastAsia"/>
                <w:color w:val="000000"/>
                <w:sz w:val="24"/>
              </w:rPr>
              <w:t>2008</w:t>
            </w:r>
            <w:r w:rsidRPr="00C24A5F">
              <w:rPr>
                <w:rFonts w:hint="eastAsia"/>
                <w:color w:val="000000"/>
                <w:sz w:val="24"/>
              </w:rPr>
              <w:t>年</w:t>
            </w:r>
            <w:r w:rsidRPr="00C24A5F">
              <w:rPr>
                <w:rFonts w:hint="eastAsia"/>
                <w:color w:val="000000"/>
                <w:sz w:val="24"/>
              </w:rPr>
              <w:t>10</w:t>
            </w:r>
            <w:r w:rsidRPr="00C24A5F">
              <w:rPr>
                <w:rFonts w:hint="eastAsia"/>
                <w:color w:val="000000"/>
                <w:sz w:val="24"/>
              </w:rPr>
              <w:t>月</w:t>
            </w:r>
            <w:r w:rsidRPr="00C24A5F">
              <w:rPr>
                <w:rFonts w:hint="eastAsia"/>
                <w:color w:val="000000"/>
                <w:sz w:val="24"/>
              </w:rPr>
              <w:t>29</w:t>
            </w:r>
            <w:r w:rsidRPr="00C24A5F">
              <w:rPr>
                <w:rFonts w:hint="eastAsia"/>
                <w:color w:val="000000"/>
                <w:sz w:val="24"/>
              </w:rPr>
              <w:t>日至</w:t>
            </w:r>
            <w:r w:rsidRPr="00C24A5F">
              <w:rPr>
                <w:rFonts w:hint="eastAsia"/>
                <w:color w:val="000000"/>
                <w:sz w:val="24"/>
              </w:rPr>
              <w:t>2010</w:t>
            </w:r>
            <w:r w:rsidRPr="00C24A5F">
              <w:rPr>
                <w:rFonts w:hint="eastAsia"/>
                <w:color w:val="000000"/>
                <w:sz w:val="24"/>
              </w:rPr>
              <w:t>年</w:t>
            </w:r>
            <w:r w:rsidRPr="00C24A5F">
              <w:rPr>
                <w:rFonts w:hint="eastAsia"/>
                <w:color w:val="000000"/>
                <w:sz w:val="24"/>
              </w:rPr>
              <w:t>8</w:t>
            </w:r>
            <w:r w:rsidRPr="00C24A5F">
              <w:rPr>
                <w:rFonts w:hint="eastAsia"/>
                <w:color w:val="000000"/>
                <w:sz w:val="24"/>
              </w:rPr>
              <w:t>月</w:t>
            </w:r>
            <w:r w:rsidRPr="00C24A5F">
              <w:rPr>
                <w:rFonts w:hint="eastAsia"/>
                <w:color w:val="000000"/>
                <w:sz w:val="24"/>
              </w:rPr>
              <w:t>30</w:t>
            </w:r>
            <w:r w:rsidRPr="00C24A5F">
              <w:rPr>
                <w:rFonts w:hint="eastAsia"/>
                <w:color w:val="000000"/>
                <w:sz w:val="24"/>
              </w:rPr>
              <w:t>日任光大保德信增利收益债券型证券投资基金基金经理，</w:t>
            </w:r>
            <w:r w:rsidRPr="00C24A5F">
              <w:rPr>
                <w:rFonts w:hint="eastAsia"/>
                <w:color w:val="000000"/>
                <w:sz w:val="24"/>
              </w:rPr>
              <w:t>2011</w:t>
            </w:r>
            <w:r w:rsidRPr="00C24A5F">
              <w:rPr>
                <w:rFonts w:hint="eastAsia"/>
                <w:color w:val="000000"/>
                <w:sz w:val="24"/>
              </w:rPr>
              <w:t>年</w:t>
            </w:r>
            <w:r w:rsidRPr="00C24A5F">
              <w:rPr>
                <w:rFonts w:hint="eastAsia"/>
                <w:color w:val="000000"/>
                <w:sz w:val="24"/>
              </w:rPr>
              <w:t>6</w:t>
            </w:r>
            <w:r w:rsidRPr="00C24A5F">
              <w:rPr>
                <w:rFonts w:hint="eastAsia"/>
                <w:color w:val="000000"/>
                <w:sz w:val="24"/>
              </w:rPr>
              <w:t>月</w:t>
            </w:r>
            <w:r w:rsidRPr="00C24A5F">
              <w:rPr>
                <w:rFonts w:hint="eastAsia"/>
                <w:color w:val="000000"/>
                <w:sz w:val="24"/>
              </w:rPr>
              <w:t>28</w:t>
            </w:r>
            <w:r w:rsidRPr="00C24A5F">
              <w:rPr>
                <w:rFonts w:hint="eastAsia"/>
                <w:color w:val="000000"/>
                <w:sz w:val="24"/>
              </w:rPr>
              <w:t>日至</w:t>
            </w:r>
            <w:r w:rsidRPr="00C24A5F">
              <w:rPr>
                <w:rFonts w:hint="eastAsia"/>
                <w:color w:val="000000"/>
                <w:sz w:val="24"/>
              </w:rPr>
              <w:t>2013</w:t>
            </w:r>
            <w:r w:rsidRPr="00C24A5F">
              <w:rPr>
                <w:rFonts w:hint="eastAsia"/>
                <w:color w:val="000000"/>
                <w:sz w:val="24"/>
              </w:rPr>
              <w:t>年</w:t>
            </w:r>
            <w:r w:rsidRPr="00C24A5F">
              <w:rPr>
                <w:rFonts w:hint="eastAsia"/>
                <w:color w:val="000000"/>
                <w:sz w:val="24"/>
              </w:rPr>
              <w:t>6</w:t>
            </w:r>
            <w:r w:rsidRPr="00C24A5F">
              <w:rPr>
                <w:rFonts w:hint="eastAsia"/>
                <w:color w:val="000000"/>
                <w:sz w:val="24"/>
              </w:rPr>
              <w:t>月</w:t>
            </w:r>
            <w:r w:rsidRPr="00C24A5F">
              <w:rPr>
                <w:rFonts w:hint="eastAsia"/>
                <w:color w:val="000000"/>
                <w:sz w:val="24"/>
              </w:rPr>
              <w:t>16</w:t>
            </w:r>
            <w:r w:rsidRPr="00C24A5F">
              <w:rPr>
                <w:rFonts w:hint="eastAsia"/>
                <w:color w:val="000000"/>
                <w:sz w:val="24"/>
              </w:rPr>
              <w:t>日任银华永祥保本混合型证券投资基金基金经理，</w:t>
            </w:r>
            <w:r w:rsidRPr="00C24A5F">
              <w:rPr>
                <w:rFonts w:hint="eastAsia"/>
                <w:color w:val="000000"/>
                <w:sz w:val="24"/>
              </w:rPr>
              <w:t>2011</w:t>
            </w:r>
            <w:r w:rsidRPr="00C24A5F">
              <w:rPr>
                <w:rFonts w:hint="eastAsia"/>
                <w:color w:val="000000"/>
                <w:sz w:val="24"/>
              </w:rPr>
              <w:t>年</w:t>
            </w:r>
            <w:r w:rsidRPr="00C24A5F">
              <w:rPr>
                <w:rFonts w:hint="eastAsia"/>
                <w:color w:val="000000"/>
                <w:sz w:val="24"/>
              </w:rPr>
              <w:t>8</w:t>
            </w:r>
            <w:r w:rsidRPr="00C24A5F">
              <w:rPr>
                <w:rFonts w:hint="eastAsia"/>
                <w:color w:val="000000"/>
                <w:sz w:val="24"/>
              </w:rPr>
              <w:t>月</w:t>
            </w:r>
            <w:r w:rsidRPr="00C24A5F">
              <w:rPr>
                <w:rFonts w:hint="eastAsia"/>
                <w:color w:val="000000"/>
                <w:sz w:val="24"/>
              </w:rPr>
              <w:t>2</w:t>
            </w:r>
            <w:r w:rsidRPr="00C24A5F">
              <w:rPr>
                <w:rFonts w:hint="eastAsia"/>
                <w:color w:val="000000"/>
                <w:sz w:val="24"/>
              </w:rPr>
              <w:t>日至</w:t>
            </w:r>
            <w:r w:rsidRPr="00C24A5F">
              <w:rPr>
                <w:rFonts w:hint="eastAsia"/>
                <w:color w:val="000000"/>
                <w:sz w:val="24"/>
              </w:rPr>
              <w:t>2014</w:t>
            </w:r>
            <w:r w:rsidRPr="00C24A5F">
              <w:rPr>
                <w:rFonts w:hint="eastAsia"/>
                <w:color w:val="000000"/>
                <w:sz w:val="24"/>
              </w:rPr>
              <w:t>年</w:t>
            </w:r>
            <w:r w:rsidRPr="00C24A5F">
              <w:rPr>
                <w:rFonts w:hint="eastAsia"/>
                <w:color w:val="000000"/>
                <w:sz w:val="24"/>
              </w:rPr>
              <w:t>4</w:t>
            </w:r>
            <w:r w:rsidRPr="00C24A5F">
              <w:rPr>
                <w:rFonts w:hint="eastAsia"/>
                <w:color w:val="000000"/>
                <w:sz w:val="24"/>
              </w:rPr>
              <w:t>月</w:t>
            </w:r>
            <w:r w:rsidRPr="00C24A5F">
              <w:rPr>
                <w:rFonts w:hint="eastAsia"/>
                <w:color w:val="000000"/>
                <w:sz w:val="24"/>
              </w:rPr>
              <w:lastRenderedPageBreak/>
              <w:t>24</w:t>
            </w:r>
            <w:r w:rsidRPr="00C24A5F">
              <w:rPr>
                <w:rFonts w:hint="eastAsia"/>
                <w:color w:val="000000"/>
                <w:sz w:val="24"/>
              </w:rPr>
              <w:t>日任银华货币市场证券投资基金基金经理，</w:t>
            </w:r>
            <w:r w:rsidRPr="00C24A5F">
              <w:rPr>
                <w:rFonts w:hint="eastAsia"/>
                <w:color w:val="000000"/>
                <w:sz w:val="24"/>
              </w:rPr>
              <w:t>2012</w:t>
            </w:r>
            <w:r w:rsidRPr="00C24A5F">
              <w:rPr>
                <w:rFonts w:hint="eastAsia"/>
                <w:color w:val="000000"/>
                <w:sz w:val="24"/>
              </w:rPr>
              <w:t>年</w:t>
            </w:r>
            <w:r w:rsidRPr="00C24A5F">
              <w:rPr>
                <w:rFonts w:hint="eastAsia"/>
                <w:color w:val="000000"/>
                <w:sz w:val="24"/>
              </w:rPr>
              <w:t>8</w:t>
            </w:r>
            <w:r w:rsidRPr="00C24A5F">
              <w:rPr>
                <w:rFonts w:hint="eastAsia"/>
                <w:color w:val="000000"/>
                <w:sz w:val="24"/>
              </w:rPr>
              <w:t>月</w:t>
            </w:r>
            <w:r w:rsidRPr="00C24A5F">
              <w:rPr>
                <w:rFonts w:hint="eastAsia"/>
                <w:color w:val="000000"/>
                <w:sz w:val="24"/>
              </w:rPr>
              <w:t>9</w:t>
            </w:r>
            <w:r w:rsidRPr="00C24A5F">
              <w:rPr>
                <w:rFonts w:hint="eastAsia"/>
                <w:color w:val="000000"/>
                <w:sz w:val="24"/>
              </w:rPr>
              <w:t>日至</w:t>
            </w:r>
            <w:r w:rsidRPr="00C24A5F">
              <w:rPr>
                <w:rFonts w:hint="eastAsia"/>
                <w:color w:val="000000"/>
                <w:sz w:val="24"/>
              </w:rPr>
              <w:t>2014</w:t>
            </w:r>
            <w:r w:rsidRPr="00C24A5F">
              <w:rPr>
                <w:rFonts w:hint="eastAsia"/>
                <w:color w:val="000000"/>
                <w:sz w:val="24"/>
              </w:rPr>
              <w:t>年</w:t>
            </w:r>
            <w:r w:rsidRPr="00C24A5F">
              <w:rPr>
                <w:rFonts w:hint="eastAsia"/>
                <w:color w:val="000000"/>
                <w:sz w:val="24"/>
              </w:rPr>
              <w:t>10</w:t>
            </w:r>
            <w:r w:rsidRPr="00C24A5F">
              <w:rPr>
                <w:rFonts w:hint="eastAsia"/>
                <w:color w:val="000000"/>
                <w:sz w:val="24"/>
              </w:rPr>
              <w:t>月</w:t>
            </w:r>
            <w:r w:rsidRPr="00C24A5F">
              <w:rPr>
                <w:rFonts w:hint="eastAsia"/>
                <w:color w:val="000000"/>
                <w:sz w:val="24"/>
              </w:rPr>
              <w:t>7</w:t>
            </w:r>
            <w:r w:rsidRPr="00C24A5F">
              <w:rPr>
                <w:rFonts w:hint="eastAsia"/>
                <w:color w:val="000000"/>
                <w:sz w:val="24"/>
              </w:rPr>
              <w:t>日任银华纯债信用主题债券型证券投资基金（</w:t>
            </w:r>
            <w:r w:rsidRPr="00C24A5F">
              <w:rPr>
                <w:rFonts w:hint="eastAsia"/>
                <w:color w:val="000000"/>
                <w:sz w:val="24"/>
              </w:rPr>
              <w:t>LOF</w:t>
            </w:r>
            <w:r w:rsidRPr="00C24A5F">
              <w:rPr>
                <w:rFonts w:hint="eastAsia"/>
                <w:color w:val="000000"/>
                <w:sz w:val="24"/>
              </w:rPr>
              <w:t>）基金经理，</w:t>
            </w:r>
            <w:r w:rsidRPr="00C24A5F">
              <w:rPr>
                <w:rFonts w:hint="eastAsia"/>
                <w:color w:val="000000"/>
                <w:sz w:val="24"/>
              </w:rPr>
              <w:t>2013</w:t>
            </w:r>
            <w:r w:rsidRPr="00C24A5F">
              <w:rPr>
                <w:rFonts w:hint="eastAsia"/>
                <w:color w:val="000000"/>
                <w:sz w:val="24"/>
              </w:rPr>
              <w:t>年</w:t>
            </w:r>
            <w:r w:rsidRPr="00C24A5F">
              <w:rPr>
                <w:rFonts w:hint="eastAsia"/>
                <w:color w:val="000000"/>
                <w:sz w:val="24"/>
              </w:rPr>
              <w:t>4</w:t>
            </w:r>
            <w:r w:rsidRPr="00C24A5F">
              <w:rPr>
                <w:rFonts w:hint="eastAsia"/>
                <w:color w:val="000000"/>
                <w:sz w:val="24"/>
              </w:rPr>
              <w:t>月</w:t>
            </w:r>
            <w:r w:rsidRPr="00C24A5F">
              <w:rPr>
                <w:rFonts w:hint="eastAsia"/>
                <w:color w:val="000000"/>
                <w:sz w:val="24"/>
              </w:rPr>
              <w:t>1</w:t>
            </w:r>
            <w:r w:rsidRPr="00C24A5F">
              <w:rPr>
                <w:rFonts w:hint="eastAsia"/>
                <w:color w:val="000000"/>
                <w:sz w:val="24"/>
              </w:rPr>
              <w:t>日至</w:t>
            </w:r>
            <w:r w:rsidRPr="00C24A5F">
              <w:rPr>
                <w:rFonts w:hint="eastAsia"/>
                <w:color w:val="000000"/>
                <w:sz w:val="24"/>
              </w:rPr>
              <w:t>2014</w:t>
            </w:r>
            <w:r w:rsidRPr="00C24A5F">
              <w:rPr>
                <w:rFonts w:hint="eastAsia"/>
                <w:color w:val="000000"/>
                <w:sz w:val="24"/>
              </w:rPr>
              <w:t>年</w:t>
            </w:r>
            <w:r w:rsidRPr="00C24A5F">
              <w:rPr>
                <w:rFonts w:hint="eastAsia"/>
                <w:color w:val="000000"/>
                <w:sz w:val="24"/>
              </w:rPr>
              <w:t>4</w:t>
            </w:r>
            <w:r w:rsidRPr="00C24A5F">
              <w:rPr>
                <w:rFonts w:hint="eastAsia"/>
                <w:color w:val="000000"/>
                <w:sz w:val="24"/>
              </w:rPr>
              <w:t>月</w:t>
            </w:r>
            <w:r w:rsidRPr="00C24A5F">
              <w:rPr>
                <w:rFonts w:hint="eastAsia"/>
                <w:color w:val="000000"/>
                <w:sz w:val="24"/>
              </w:rPr>
              <w:t>24</w:t>
            </w:r>
            <w:r w:rsidRPr="00C24A5F">
              <w:rPr>
                <w:rFonts w:hint="eastAsia"/>
                <w:color w:val="000000"/>
                <w:sz w:val="24"/>
              </w:rPr>
              <w:t>日任银华交易型货币市场基金基金经理，</w:t>
            </w:r>
            <w:r w:rsidRPr="00C24A5F">
              <w:rPr>
                <w:rFonts w:hint="eastAsia"/>
                <w:color w:val="000000"/>
                <w:sz w:val="24"/>
              </w:rPr>
              <w:t>2013</w:t>
            </w:r>
            <w:r w:rsidRPr="00C24A5F">
              <w:rPr>
                <w:rFonts w:hint="eastAsia"/>
                <w:color w:val="000000"/>
                <w:sz w:val="24"/>
              </w:rPr>
              <w:t>年</w:t>
            </w:r>
            <w:r w:rsidRPr="00C24A5F">
              <w:rPr>
                <w:rFonts w:hint="eastAsia"/>
                <w:color w:val="000000"/>
                <w:sz w:val="24"/>
              </w:rPr>
              <w:t>8</w:t>
            </w:r>
            <w:r w:rsidRPr="00C24A5F">
              <w:rPr>
                <w:rFonts w:hint="eastAsia"/>
                <w:color w:val="000000"/>
                <w:sz w:val="24"/>
              </w:rPr>
              <w:t>月</w:t>
            </w:r>
            <w:r w:rsidRPr="00C24A5F">
              <w:rPr>
                <w:rFonts w:hint="eastAsia"/>
                <w:color w:val="000000"/>
                <w:sz w:val="24"/>
              </w:rPr>
              <w:t>7</w:t>
            </w:r>
            <w:r w:rsidRPr="00C24A5F">
              <w:rPr>
                <w:rFonts w:hint="eastAsia"/>
                <w:color w:val="000000"/>
                <w:sz w:val="24"/>
              </w:rPr>
              <w:t>日至</w:t>
            </w:r>
            <w:r w:rsidRPr="00C24A5F">
              <w:rPr>
                <w:rFonts w:hint="eastAsia"/>
                <w:color w:val="000000"/>
                <w:sz w:val="24"/>
              </w:rPr>
              <w:t>2014</w:t>
            </w:r>
            <w:r w:rsidRPr="00C24A5F">
              <w:rPr>
                <w:rFonts w:hint="eastAsia"/>
                <w:color w:val="000000"/>
                <w:sz w:val="24"/>
              </w:rPr>
              <w:t>年</w:t>
            </w:r>
            <w:r w:rsidRPr="00C24A5F">
              <w:rPr>
                <w:rFonts w:hint="eastAsia"/>
                <w:color w:val="000000"/>
                <w:sz w:val="24"/>
              </w:rPr>
              <w:t>10</w:t>
            </w:r>
            <w:r w:rsidRPr="00C24A5F">
              <w:rPr>
                <w:rFonts w:hint="eastAsia"/>
                <w:color w:val="000000"/>
                <w:sz w:val="24"/>
              </w:rPr>
              <w:t>月</w:t>
            </w:r>
            <w:r w:rsidRPr="00C24A5F">
              <w:rPr>
                <w:rFonts w:hint="eastAsia"/>
                <w:color w:val="000000"/>
                <w:sz w:val="24"/>
              </w:rPr>
              <w:t>7</w:t>
            </w:r>
            <w:r w:rsidRPr="00C24A5F">
              <w:rPr>
                <w:rFonts w:hint="eastAsia"/>
                <w:color w:val="000000"/>
                <w:sz w:val="24"/>
              </w:rPr>
              <w:t>日任银华信用四季红债券型证券投资基金基金经理，</w:t>
            </w:r>
            <w:r w:rsidRPr="00C24A5F">
              <w:rPr>
                <w:rFonts w:hint="eastAsia"/>
                <w:color w:val="000000"/>
                <w:sz w:val="24"/>
              </w:rPr>
              <w:t>2013</w:t>
            </w:r>
            <w:r w:rsidRPr="00C24A5F">
              <w:rPr>
                <w:rFonts w:hint="eastAsia"/>
                <w:color w:val="000000"/>
                <w:sz w:val="24"/>
              </w:rPr>
              <w:t>年</w:t>
            </w:r>
            <w:r w:rsidRPr="00C24A5F">
              <w:rPr>
                <w:rFonts w:hint="eastAsia"/>
                <w:color w:val="000000"/>
                <w:sz w:val="24"/>
              </w:rPr>
              <w:t>9</w:t>
            </w:r>
            <w:r w:rsidRPr="00C24A5F">
              <w:rPr>
                <w:rFonts w:hint="eastAsia"/>
                <w:color w:val="000000"/>
                <w:sz w:val="24"/>
              </w:rPr>
              <w:t>月</w:t>
            </w:r>
            <w:r w:rsidRPr="00C24A5F">
              <w:rPr>
                <w:rFonts w:hint="eastAsia"/>
                <w:color w:val="000000"/>
                <w:sz w:val="24"/>
              </w:rPr>
              <w:t>18</w:t>
            </w:r>
            <w:r w:rsidRPr="00C24A5F">
              <w:rPr>
                <w:rFonts w:hint="eastAsia"/>
                <w:color w:val="000000"/>
                <w:sz w:val="24"/>
              </w:rPr>
              <w:t>日至</w:t>
            </w:r>
            <w:r w:rsidRPr="00C24A5F">
              <w:rPr>
                <w:rFonts w:hint="eastAsia"/>
                <w:color w:val="000000"/>
                <w:sz w:val="24"/>
              </w:rPr>
              <w:t>2014</w:t>
            </w:r>
            <w:r w:rsidRPr="00C24A5F">
              <w:rPr>
                <w:rFonts w:hint="eastAsia"/>
                <w:color w:val="000000"/>
                <w:sz w:val="24"/>
              </w:rPr>
              <w:t>年</w:t>
            </w:r>
            <w:r w:rsidRPr="00C24A5F">
              <w:rPr>
                <w:rFonts w:hint="eastAsia"/>
                <w:color w:val="000000"/>
                <w:sz w:val="24"/>
              </w:rPr>
              <w:t>10</w:t>
            </w:r>
            <w:r w:rsidRPr="00C24A5F">
              <w:rPr>
                <w:rFonts w:hint="eastAsia"/>
                <w:color w:val="000000"/>
                <w:sz w:val="24"/>
              </w:rPr>
              <w:t>月</w:t>
            </w:r>
            <w:r w:rsidRPr="00C24A5F">
              <w:rPr>
                <w:rFonts w:hint="eastAsia"/>
                <w:color w:val="000000"/>
                <w:sz w:val="24"/>
              </w:rPr>
              <w:t>7</w:t>
            </w:r>
            <w:r w:rsidRPr="00C24A5F">
              <w:rPr>
                <w:rFonts w:hint="eastAsia"/>
                <w:color w:val="000000"/>
                <w:sz w:val="24"/>
              </w:rPr>
              <w:t>日任银华信用季季红债券型证券投资基金基金经理，</w:t>
            </w:r>
            <w:r w:rsidRPr="00C24A5F">
              <w:rPr>
                <w:rFonts w:hint="eastAsia"/>
                <w:color w:val="000000"/>
                <w:sz w:val="24"/>
              </w:rPr>
              <w:t>2014</w:t>
            </w:r>
            <w:r w:rsidRPr="00C24A5F">
              <w:rPr>
                <w:rFonts w:hint="eastAsia"/>
                <w:color w:val="000000"/>
                <w:sz w:val="24"/>
              </w:rPr>
              <w:t>年</w:t>
            </w:r>
            <w:r w:rsidRPr="00C24A5F">
              <w:rPr>
                <w:rFonts w:hint="eastAsia"/>
                <w:color w:val="000000"/>
                <w:sz w:val="24"/>
              </w:rPr>
              <w:t>5</w:t>
            </w:r>
            <w:r w:rsidRPr="00C24A5F">
              <w:rPr>
                <w:rFonts w:hint="eastAsia"/>
                <w:color w:val="000000"/>
                <w:sz w:val="24"/>
              </w:rPr>
              <w:t>月</w:t>
            </w:r>
            <w:r w:rsidRPr="00C24A5F">
              <w:rPr>
                <w:rFonts w:hint="eastAsia"/>
                <w:color w:val="000000"/>
                <w:sz w:val="24"/>
              </w:rPr>
              <w:t>8</w:t>
            </w:r>
            <w:r w:rsidRPr="00C24A5F">
              <w:rPr>
                <w:rFonts w:hint="eastAsia"/>
                <w:color w:val="000000"/>
                <w:sz w:val="24"/>
              </w:rPr>
              <w:t>日至</w:t>
            </w:r>
            <w:r w:rsidRPr="00C24A5F">
              <w:rPr>
                <w:rFonts w:hint="eastAsia"/>
                <w:color w:val="000000"/>
                <w:sz w:val="24"/>
              </w:rPr>
              <w:t>2014</w:t>
            </w:r>
            <w:r w:rsidRPr="00C24A5F">
              <w:rPr>
                <w:rFonts w:hint="eastAsia"/>
                <w:color w:val="000000"/>
                <w:sz w:val="24"/>
              </w:rPr>
              <w:t>年</w:t>
            </w:r>
            <w:r w:rsidRPr="00C24A5F">
              <w:rPr>
                <w:rFonts w:hint="eastAsia"/>
                <w:color w:val="000000"/>
                <w:sz w:val="24"/>
              </w:rPr>
              <w:t>10</w:t>
            </w:r>
            <w:r w:rsidRPr="00C24A5F">
              <w:rPr>
                <w:rFonts w:hint="eastAsia"/>
                <w:color w:val="000000"/>
                <w:sz w:val="24"/>
              </w:rPr>
              <w:t>月</w:t>
            </w:r>
            <w:r w:rsidRPr="00C24A5F">
              <w:rPr>
                <w:rFonts w:hint="eastAsia"/>
                <w:color w:val="000000"/>
                <w:sz w:val="24"/>
              </w:rPr>
              <w:t>7</w:t>
            </w:r>
            <w:r w:rsidRPr="00C24A5F">
              <w:rPr>
                <w:rFonts w:hint="eastAsia"/>
                <w:color w:val="000000"/>
                <w:sz w:val="24"/>
              </w:rPr>
              <w:t>日任银华信用债券型证券投资基金</w:t>
            </w:r>
            <w:r w:rsidRPr="00C24A5F">
              <w:rPr>
                <w:rFonts w:hint="eastAsia"/>
                <w:color w:val="000000"/>
                <w:sz w:val="24"/>
              </w:rPr>
              <w:t>(LOF)</w:t>
            </w:r>
            <w:r w:rsidRPr="00C24A5F">
              <w:rPr>
                <w:rFonts w:hint="eastAsia"/>
                <w:color w:val="000000"/>
                <w:sz w:val="24"/>
              </w:rPr>
              <w:t>基金经理。</w:t>
            </w:r>
            <w:r w:rsidRPr="00C24A5F">
              <w:rPr>
                <w:rFonts w:hint="eastAsia"/>
                <w:color w:val="000000"/>
                <w:sz w:val="24"/>
              </w:rPr>
              <w:t>2016</w:t>
            </w:r>
            <w:r w:rsidRPr="00C24A5F">
              <w:rPr>
                <w:rFonts w:hint="eastAsia"/>
                <w:color w:val="000000"/>
                <w:sz w:val="24"/>
              </w:rPr>
              <w:t>年加入交银施罗德基金管理有限公司。</w:t>
            </w:r>
            <w:r w:rsidRPr="00C24A5F">
              <w:rPr>
                <w:rFonts w:hint="eastAsia"/>
                <w:color w:val="000000"/>
                <w:sz w:val="24"/>
              </w:rPr>
              <w:t>2017</w:t>
            </w:r>
            <w:r w:rsidRPr="00C24A5F">
              <w:rPr>
                <w:rFonts w:hint="eastAsia"/>
                <w:color w:val="000000"/>
                <w:sz w:val="24"/>
              </w:rPr>
              <w:t>年</w:t>
            </w:r>
            <w:r w:rsidRPr="00C24A5F">
              <w:rPr>
                <w:rFonts w:hint="eastAsia"/>
                <w:color w:val="000000"/>
                <w:sz w:val="24"/>
              </w:rPr>
              <w:t>6</w:t>
            </w:r>
            <w:r w:rsidRPr="00C24A5F">
              <w:rPr>
                <w:rFonts w:hint="eastAsia"/>
                <w:color w:val="000000"/>
                <w:sz w:val="24"/>
              </w:rPr>
              <w:t>月</w:t>
            </w:r>
            <w:r w:rsidRPr="00C24A5F">
              <w:rPr>
                <w:rFonts w:hint="eastAsia"/>
                <w:color w:val="000000"/>
                <w:sz w:val="24"/>
              </w:rPr>
              <w:t>10</w:t>
            </w:r>
            <w:r w:rsidRPr="00C24A5F">
              <w:rPr>
                <w:rFonts w:hint="eastAsia"/>
                <w:color w:val="000000"/>
                <w:sz w:val="24"/>
              </w:rPr>
              <w:t>日至</w:t>
            </w:r>
            <w:r w:rsidRPr="00C24A5F">
              <w:rPr>
                <w:rFonts w:hint="eastAsia"/>
                <w:color w:val="000000"/>
                <w:sz w:val="24"/>
              </w:rPr>
              <w:t>2018</w:t>
            </w:r>
            <w:r w:rsidRPr="00C24A5F">
              <w:rPr>
                <w:rFonts w:hint="eastAsia"/>
                <w:color w:val="000000"/>
                <w:sz w:val="24"/>
              </w:rPr>
              <w:t>年</w:t>
            </w:r>
            <w:r w:rsidRPr="00C24A5F">
              <w:rPr>
                <w:rFonts w:hint="eastAsia"/>
                <w:color w:val="000000"/>
                <w:sz w:val="24"/>
              </w:rPr>
              <w:t>7</w:t>
            </w:r>
            <w:r w:rsidRPr="00C24A5F">
              <w:rPr>
                <w:rFonts w:hint="eastAsia"/>
                <w:color w:val="000000"/>
                <w:sz w:val="24"/>
              </w:rPr>
              <w:t>月</w:t>
            </w:r>
            <w:r w:rsidRPr="00C24A5F">
              <w:rPr>
                <w:rFonts w:hint="eastAsia"/>
                <w:color w:val="000000"/>
                <w:sz w:val="24"/>
              </w:rPr>
              <w:t>18</w:t>
            </w:r>
            <w:r w:rsidRPr="00C24A5F">
              <w:rPr>
                <w:rFonts w:hint="eastAsia"/>
                <w:color w:val="000000"/>
                <w:sz w:val="24"/>
              </w:rPr>
              <w:t>日担任交银施罗德丰硕收益债券型证券投资基金的基金经理。</w:t>
            </w:r>
            <w:r w:rsidRPr="00C24A5F">
              <w:rPr>
                <w:rFonts w:hint="eastAsia"/>
                <w:color w:val="000000"/>
                <w:sz w:val="24"/>
              </w:rPr>
              <w:t>2017</w:t>
            </w:r>
            <w:r w:rsidRPr="00C24A5F">
              <w:rPr>
                <w:rFonts w:hint="eastAsia"/>
                <w:color w:val="000000"/>
                <w:sz w:val="24"/>
              </w:rPr>
              <w:t>年</w:t>
            </w:r>
            <w:r w:rsidRPr="00C24A5F">
              <w:rPr>
                <w:rFonts w:hint="eastAsia"/>
                <w:color w:val="000000"/>
                <w:sz w:val="24"/>
              </w:rPr>
              <w:t>6</w:t>
            </w:r>
            <w:r w:rsidRPr="00C24A5F">
              <w:rPr>
                <w:rFonts w:hint="eastAsia"/>
                <w:color w:val="000000"/>
                <w:sz w:val="24"/>
              </w:rPr>
              <w:t>月</w:t>
            </w:r>
            <w:r w:rsidRPr="00C24A5F">
              <w:rPr>
                <w:rFonts w:hint="eastAsia"/>
                <w:color w:val="000000"/>
                <w:sz w:val="24"/>
              </w:rPr>
              <w:t>10</w:t>
            </w:r>
            <w:r w:rsidRPr="00C24A5F">
              <w:rPr>
                <w:rFonts w:hint="eastAsia"/>
                <w:color w:val="000000"/>
                <w:sz w:val="24"/>
              </w:rPr>
              <w:t>日至</w:t>
            </w:r>
            <w:r w:rsidRPr="00C24A5F">
              <w:rPr>
                <w:rFonts w:hint="eastAsia"/>
                <w:color w:val="000000"/>
                <w:sz w:val="24"/>
              </w:rPr>
              <w:t>2019</w:t>
            </w:r>
            <w:r w:rsidRPr="00C24A5F">
              <w:rPr>
                <w:rFonts w:hint="eastAsia"/>
                <w:color w:val="000000"/>
                <w:sz w:val="24"/>
              </w:rPr>
              <w:t>年</w:t>
            </w:r>
            <w:r w:rsidRPr="00C24A5F">
              <w:rPr>
                <w:rFonts w:hint="eastAsia"/>
                <w:color w:val="000000"/>
                <w:sz w:val="24"/>
              </w:rPr>
              <w:t>3</w:t>
            </w:r>
            <w:r w:rsidRPr="00C24A5F">
              <w:rPr>
                <w:rFonts w:hint="eastAsia"/>
                <w:color w:val="000000"/>
                <w:sz w:val="24"/>
              </w:rPr>
              <w:t>月</w:t>
            </w:r>
            <w:r w:rsidRPr="00C24A5F">
              <w:rPr>
                <w:rFonts w:hint="eastAsia"/>
                <w:color w:val="000000"/>
                <w:sz w:val="24"/>
              </w:rPr>
              <w:t>14</w:t>
            </w:r>
            <w:r w:rsidRPr="00C24A5F">
              <w:rPr>
                <w:rFonts w:hint="eastAsia"/>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bl>
    <w:p w:rsidR="003D270F" w:rsidRDefault="0056124B">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3D270F" w:rsidRDefault="0056124B">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5053FD" w:rsidRDefault="001A59F9" w:rsidP="005053FD">
      <w:pPr>
        <w:pStyle w:val="20"/>
        <w:spacing w:before="29" w:after="0" w:line="288" w:lineRule="auto"/>
        <w:rPr>
          <w:rFonts w:ascii="Times New Roman" w:hAnsi="Times New Roman"/>
          <w:kern w:val="0"/>
          <w:szCs w:val="24"/>
        </w:rPr>
      </w:pPr>
      <w:bookmarkStart w:id="44" w:name="_Toc225498256"/>
      <w:bookmarkStart w:id="45" w:name="_Toc361324856"/>
      <w:bookmarkStart w:id="46" w:name="_Toc35959533"/>
      <w:r w:rsidRPr="005053FD">
        <w:rPr>
          <w:rFonts w:ascii="Times New Roman" w:hAnsi="Times New Roman"/>
          <w:kern w:val="0"/>
          <w:szCs w:val="24"/>
        </w:rPr>
        <w:t xml:space="preserve">4.2 </w:t>
      </w:r>
      <w:r w:rsidRPr="005053FD">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47" w:name="_Toc225498257"/>
      <w:bookmarkStart w:id="48" w:name="_Toc361324857"/>
      <w:bookmarkStart w:id="49" w:name="_Toc35959534"/>
      <w:r w:rsidRPr="005053FD">
        <w:rPr>
          <w:rFonts w:ascii="Times New Roman" w:hAnsi="Times New Roman"/>
          <w:kern w:val="0"/>
          <w:szCs w:val="24"/>
        </w:rPr>
        <w:t xml:space="preserve">4.3 </w:t>
      </w:r>
      <w:r w:rsidRPr="005053FD">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3D270F" w:rsidRDefault="0056124B">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3D270F" w:rsidRDefault="0056124B">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3D270F" w:rsidRDefault="0056124B">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D270F" w:rsidRDefault="0056124B">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3D270F" w:rsidRDefault="0056124B">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3D270F" w:rsidRDefault="0056124B">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D270F" w:rsidRDefault="0056124B">
      <w:pPr>
        <w:spacing w:before="29" w:line="288" w:lineRule="auto"/>
        <w:ind w:firstLineChars="200" w:firstLine="480"/>
        <w:rPr>
          <w:kern w:val="0"/>
          <w:sz w:val="24"/>
        </w:rPr>
      </w:pPr>
      <w:r>
        <w:rPr>
          <w:kern w:val="0"/>
          <w:sz w:val="24"/>
        </w:rPr>
        <w:t>公司建立资源共享的投资研究信息平台，确保各投资组合在获得投资信息、投资建</w:t>
      </w:r>
      <w:r>
        <w:rPr>
          <w:kern w:val="0"/>
          <w:sz w:val="24"/>
        </w:rPr>
        <w:lastRenderedPageBreak/>
        <w:t>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D270F" w:rsidRDefault="0056124B">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50" w:name="_Toc225498258"/>
      <w:bookmarkStart w:id="51" w:name="_Toc361324858"/>
      <w:bookmarkStart w:id="52" w:name="_Toc35959535"/>
      <w:r w:rsidRPr="005053FD">
        <w:rPr>
          <w:rFonts w:ascii="Times New Roman" w:hAnsi="Times New Roman"/>
          <w:kern w:val="0"/>
          <w:szCs w:val="24"/>
        </w:rPr>
        <w:t xml:space="preserve">4.4 </w:t>
      </w:r>
      <w:r w:rsidRPr="005053FD">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3D270F" w:rsidRDefault="0056124B">
      <w:pPr>
        <w:spacing w:before="29" w:line="288" w:lineRule="auto"/>
        <w:ind w:firstLineChars="200" w:firstLine="480"/>
        <w:rPr>
          <w:kern w:val="0"/>
          <w:sz w:val="24"/>
        </w:rPr>
      </w:pPr>
      <w:r>
        <w:rPr>
          <w:kern w:val="0"/>
          <w:sz w:val="24"/>
        </w:rPr>
        <w:t>2019</w:t>
      </w:r>
      <w:r>
        <w:rPr>
          <w:kern w:val="0"/>
          <w:sz w:val="24"/>
        </w:rPr>
        <w:t>年，国内经济增速整体上呈前高后低走势，但</w:t>
      </w:r>
      <w:r>
        <w:rPr>
          <w:kern w:val="0"/>
          <w:sz w:val="24"/>
        </w:rPr>
        <w:t>CPI</w:t>
      </w:r>
      <w:r>
        <w:rPr>
          <w:kern w:val="0"/>
          <w:sz w:val="24"/>
        </w:rPr>
        <w:t>大幅走高。受房地产投资高位下行，基建投资低位徘徊，中美贸易谈判进展曲折等因素影响，今年我国</w:t>
      </w:r>
      <w:r>
        <w:rPr>
          <w:kern w:val="0"/>
          <w:sz w:val="24"/>
        </w:rPr>
        <w:t>GDP</w:t>
      </w:r>
      <w:r>
        <w:rPr>
          <w:kern w:val="0"/>
          <w:sz w:val="24"/>
        </w:rPr>
        <w:t>增速从一季度</w:t>
      </w:r>
      <w:r>
        <w:rPr>
          <w:kern w:val="0"/>
          <w:sz w:val="24"/>
        </w:rPr>
        <w:t>6.4%</w:t>
      </w:r>
      <w:r>
        <w:rPr>
          <w:kern w:val="0"/>
          <w:sz w:val="24"/>
        </w:rPr>
        <w:t>下行至</w:t>
      </w:r>
      <w:r>
        <w:rPr>
          <w:kern w:val="0"/>
          <w:sz w:val="24"/>
        </w:rPr>
        <w:t>6%</w:t>
      </w:r>
      <w:r>
        <w:rPr>
          <w:kern w:val="0"/>
          <w:sz w:val="24"/>
        </w:rPr>
        <w:t>附近，但</w:t>
      </w:r>
      <w:r>
        <w:rPr>
          <w:kern w:val="0"/>
          <w:sz w:val="24"/>
        </w:rPr>
        <w:t>CPI</w:t>
      </w:r>
      <w:r>
        <w:rPr>
          <w:kern w:val="0"/>
          <w:sz w:val="24"/>
        </w:rPr>
        <w:t>由于主要受猪肉价格大涨影响，一路飙升至</w:t>
      </w:r>
      <w:r>
        <w:rPr>
          <w:kern w:val="0"/>
          <w:sz w:val="24"/>
        </w:rPr>
        <w:t>4%</w:t>
      </w:r>
      <w:r>
        <w:rPr>
          <w:kern w:val="0"/>
          <w:sz w:val="24"/>
        </w:rPr>
        <w:t>以上。一季度，我国制造业景气度回升，房地产与基建投资带动固定资产投资增速回升。但是好景不长，二季度中采制造业</w:t>
      </w:r>
      <w:r>
        <w:rPr>
          <w:kern w:val="0"/>
          <w:sz w:val="24"/>
        </w:rPr>
        <w:t>PMI</w:t>
      </w:r>
      <w:r>
        <w:rPr>
          <w:kern w:val="0"/>
          <w:sz w:val="24"/>
        </w:rPr>
        <w:t>降至荣枯线以下，房地产投资增速从高位开始下降，基建投资稳增长乏力，固定资产投资增速下行承压。三季度经济下行压力加大，中采制造业</w:t>
      </w:r>
      <w:r>
        <w:rPr>
          <w:kern w:val="0"/>
          <w:sz w:val="24"/>
        </w:rPr>
        <w:t>PMI</w:t>
      </w:r>
      <w:r>
        <w:rPr>
          <w:kern w:val="0"/>
          <w:sz w:val="24"/>
        </w:rPr>
        <w:t>依然在荣枯线以下，基建投资略有回升，但是受制造业</w:t>
      </w:r>
      <w:r>
        <w:rPr>
          <w:kern w:val="0"/>
          <w:sz w:val="24"/>
        </w:rPr>
        <w:t>FAI</w:t>
      </w:r>
      <w:r>
        <w:rPr>
          <w:kern w:val="0"/>
          <w:sz w:val="24"/>
        </w:rPr>
        <w:t>持续下行且房地产</w:t>
      </w:r>
      <w:r>
        <w:rPr>
          <w:kern w:val="0"/>
          <w:sz w:val="24"/>
        </w:rPr>
        <w:t>FAI</w:t>
      </w:r>
      <w:r>
        <w:rPr>
          <w:kern w:val="0"/>
          <w:sz w:val="24"/>
        </w:rPr>
        <w:t>高位下行影响，</w:t>
      </w:r>
      <w:r>
        <w:rPr>
          <w:kern w:val="0"/>
          <w:sz w:val="24"/>
        </w:rPr>
        <w:t>FAI</w:t>
      </w:r>
      <w:r>
        <w:rPr>
          <w:kern w:val="0"/>
          <w:sz w:val="24"/>
        </w:rPr>
        <w:t>同比增速继续下行承压。四季度，制造业景气度低位回升，工业增加值与制造业投资同比增速也有所好转，但整体上经济依然有下行压力。</w:t>
      </w:r>
    </w:p>
    <w:p w:rsidR="003D270F" w:rsidRDefault="0056124B">
      <w:pPr>
        <w:spacing w:before="29" w:line="288" w:lineRule="auto"/>
        <w:ind w:firstLineChars="200" w:firstLine="480"/>
        <w:rPr>
          <w:kern w:val="0"/>
          <w:sz w:val="24"/>
        </w:rPr>
      </w:pPr>
      <w:r>
        <w:rPr>
          <w:kern w:val="0"/>
          <w:sz w:val="24"/>
        </w:rPr>
        <w:t>中美贸易谈判在曲折中前进。中美贸易谈判在一季度进展向好；但二季度形势逆转，谈判再次遇阻，美方在贸易与科技等领域对我国进一步施压；三季度中美贸易战曾一度升级，但九月有所缓和；四季度谈判取得重要进展，十二月中美宣布就第一阶段经贸协议文本达成一致，贸易战暂时缓和。</w:t>
      </w:r>
    </w:p>
    <w:p w:rsidR="003D270F" w:rsidRDefault="0056124B">
      <w:pPr>
        <w:spacing w:before="29" w:line="288" w:lineRule="auto"/>
        <w:ind w:firstLineChars="200" w:firstLine="480"/>
        <w:rPr>
          <w:kern w:val="0"/>
          <w:sz w:val="24"/>
        </w:rPr>
      </w:pPr>
      <w:r>
        <w:rPr>
          <w:kern w:val="0"/>
          <w:sz w:val="24"/>
        </w:rPr>
        <w:t>货币政策上，受较复杂形势影响，上半年央行货币政策操作曾一度相对谨慎；下半年伴随经济下行压力加大，央行加强逆周期调节力度，货币政策趋于中性偏松，但宽松</w:t>
      </w:r>
      <w:r>
        <w:rPr>
          <w:kern w:val="0"/>
          <w:sz w:val="24"/>
        </w:rPr>
        <w:lastRenderedPageBreak/>
        <w:t>程度较去年相对节制。今年一月初央行降准</w:t>
      </w:r>
      <w:r>
        <w:rPr>
          <w:kern w:val="0"/>
          <w:sz w:val="24"/>
        </w:rPr>
        <w:t>1</w:t>
      </w:r>
      <w:r>
        <w:rPr>
          <w:kern w:val="0"/>
          <w:sz w:val="24"/>
        </w:rPr>
        <w:t>个百分点，但一季度加大了公开市场回笼力度。四月央行货币政策操作边际向中性回归，但是五月中美贸易战硝烟再起，叠加下旬个别银行信用风险事件冲击货币市场流动性，五月下旬央行再次加大了公开市场投放力度。八月人行宣布改革完善贷款市场报价利率（</w:t>
      </w:r>
      <w:r>
        <w:rPr>
          <w:kern w:val="0"/>
          <w:sz w:val="24"/>
        </w:rPr>
        <w:t>LPR</w:t>
      </w:r>
      <w:r>
        <w:rPr>
          <w:kern w:val="0"/>
          <w:sz w:val="24"/>
        </w:rPr>
        <w:t>）形成机制，努力疏通货币传导机制。九月上旬宣布全面降准</w:t>
      </w:r>
      <w:r>
        <w:rPr>
          <w:kern w:val="0"/>
          <w:sz w:val="24"/>
        </w:rPr>
        <w:t>0.5</w:t>
      </w:r>
      <w:r>
        <w:rPr>
          <w:kern w:val="0"/>
          <w:sz w:val="24"/>
        </w:rPr>
        <w:t>个百分点且定向降准</w:t>
      </w:r>
      <w:r>
        <w:rPr>
          <w:kern w:val="0"/>
          <w:sz w:val="24"/>
        </w:rPr>
        <w:t>1</w:t>
      </w:r>
      <w:r>
        <w:rPr>
          <w:kern w:val="0"/>
          <w:sz w:val="24"/>
        </w:rPr>
        <w:t>个百分点。</w:t>
      </w:r>
      <w:r>
        <w:rPr>
          <w:kern w:val="0"/>
          <w:sz w:val="24"/>
        </w:rPr>
        <w:t>11</w:t>
      </w:r>
      <w:r>
        <w:rPr>
          <w:kern w:val="0"/>
          <w:sz w:val="24"/>
        </w:rPr>
        <w:t>月</w:t>
      </w:r>
      <w:r>
        <w:rPr>
          <w:kern w:val="0"/>
          <w:sz w:val="24"/>
        </w:rPr>
        <w:t>5</w:t>
      </w:r>
      <w:r>
        <w:rPr>
          <w:kern w:val="0"/>
          <w:sz w:val="24"/>
        </w:rPr>
        <w:t>日央行小幅下调</w:t>
      </w:r>
      <w:r>
        <w:rPr>
          <w:kern w:val="0"/>
          <w:sz w:val="24"/>
        </w:rPr>
        <w:t>MLF</w:t>
      </w:r>
      <w:r>
        <w:rPr>
          <w:kern w:val="0"/>
          <w:sz w:val="24"/>
        </w:rPr>
        <w:t>利率</w:t>
      </w:r>
      <w:r>
        <w:rPr>
          <w:kern w:val="0"/>
          <w:sz w:val="24"/>
        </w:rPr>
        <w:t>5</w:t>
      </w:r>
      <w:r>
        <w:rPr>
          <w:kern w:val="0"/>
          <w:sz w:val="24"/>
        </w:rPr>
        <w:t>个</w:t>
      </w:r>
      <w:r>
        <w:rPr>
          <w:kern w:val="0"/>
          <w:sz w:val="24"/>
        </w:rPr>
        <w:t>BP,</w:t>
      </w:r>
      <w:r>
        <w:rPr>
          <w:kern w:val="0"/>
          <w:sz w:val="24"/>
        </w:rPr>
        <w:t>并且在</w:t>
      </w:r>
      <w:r>
        <w:rPr>
          <w:kern w:val="0"/>
          <w:sz w:val="24"/>
        </w:rPr>
        <w:t>11</w:t>
      </w:r>
      <w:r>
        <w:rPr>
          <w:kern w:val="0"/>
          <w:sz w:val="24"/>
        </w:rPr>
        <w:t>月</w:t>
      </w:r>
      <w:r>
        <w:rPr>
          <w:kern w:val="0"/>
          <w:sz w:val="24"/>
        </w:rPr>
        <w:t>18</w:t>
      </w:r>
      <w:r>
        <w:rPr>
          <w:kern w:val="0"/>
          <w:sz w:val="24"/>
        </w:rPr>
        <w:t>日同等幅度下调</w:t>
      </w:r>
      <w:r>
        <w:rPr>
          <w:kern w:val="0"/>
          <w:sz w:val="24"/>
        </w:rPr>
        <w:t>7</w:t>
      </w:r>
      <w:r>
        <w:rPr>
          <w:kern w:val="0"/>
          <w:sz w:val="24"/>
        </w:rPr>
        <w:t>天逆回购利率，释放了温和降息的信号，四季度央行也加大力度呵护市场流动性。</w:t>
      </w:r>
    </w:p>
    <w:p w:rsidR="003D270F" w:rsidRDefault="0056124B">
      <w:pPr>
        <w:spacing w:before="29" w:line="288" w:lineRule="auto"/>
        <w:ind w:firstLineChars="200" w:firstLine="480"/>
        <w:rPr>
          <w:kern w:val="0"/>
          <w:sz w:val="24"/>
        </w:rPr>
      </w:pPr>
      <w:r>
        <w:rPr>
          <w:kern w:val="0"/>
          <w:sz w:val="24"/>
        </w:rPr>
        <w:t>资金面上，受降准、缴税以及个别银行信用风险事件等因素影响，上半年货币市场资金面有些波折；下半年，央行逆周期调节力度增强，市场流动性整体上更加宽裕。一季度资金面整体上非常宽松。但是，二季度市场资金面起了波澜，四月中下旬货币市场曾一度趋紧，五月下旬受个别银行信用风险事件冲击，市场资金面大幅趋紧，但随后在央行释放流动性及其他监管机构协调维稳下，资金面整体上趋于宽松。三季度，尽管央行加强了公开市场回笼力度，但是银行间货币市场资金面除九月中下旬有些趋紧之外，大部分交易日保持相对宽松格局。四季度，银行间货币市场资金面曾在十月一度趋紧，但在十一月央行小幅降息，尤其在十二月为了呵护市场平稳跨年，央行加大公开市场净投放力度，资金面比较宽松。</w:t>
      </w:r>
    </w:p>
    <w:p w:rsidR="003D270F" w:rsidRDefault="0056124B">
      <w:pPr>
        <w:spacing w:before="29" w:line="288" w:lineRule="auto"/>
        <w:ind w:firstLineChars="200" w:firstLine="480"/>
        <w:rPr>
          <w:kern w:val="0"/>
          <w:sz w:val="24"/>
        </w:rPr>
      </w:pPr>
      <w:r>
        <w:rPr>
          <w:kern w:val="0"/>
          <w:sz w:val="24"/>
        </w:rPr>
        <w:t>今年存单与存款收益率中枢较去年显著下。上半年同业存款及存单利率曾出现几次回调，但至六月下旬受资金面宽松影响，股份制银行的存款及存单收益率下降。三季度存单与存款收益率中枢下降至历史较低位置。十月至十一月中上旬存单与存款收益率中枢曾持续回升；但是受央行公开市场降息及资金面宽松的影响，十一月下旬后存单存款收益率再次呈回落走势，十二月中下旬更是显著下降。受中美贸易谈判扰动，经济数据波动，以及央行货币政策操作变化等影响，今年债市较为波折，整体上呈震荡格局。</w:t>
      </w:r>
    </w:p>
    <w:p w:rsidR="001A59F9" w:rsidRPr="00A40DA7" w:rsidRDefault="001A59F9" w:rsidP="00A40DA7">
      <w:pPr>
        <w:spacing w:before="29" w:line="288" w:lineRule="auto"/>
        <w:ind w:firstLineChars="200" w:firstLine="480"/>
        <w:rPr>
          <w:kern w:val="0"/>
          <w:sz w:val="24"/>
        </w:rPr>
      </w:pPr>
      <w:r w:rsidRPr="00A40DA7">
        <w:rPr>
          <w:kern w:val="0"/>
          <w:sz w:val="24"/>
        </w:rPr>
        <w:t>基金操作方面，报告期内本基金回笼流动性，以期满足基金份额持有人潜在赎回需求，择机调整组合杠杆与久期，为持有人创造稳健的回报。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53" w:name="_Toc225498259"/>
      <w:bookmarkStart w:id="54" w:name="_Toc361324859"/>
      <w:bookmarkStart w:id="55" w:name="_Toc35959536"/>
      <w:r w:rsidRPr="005053FD">
        <w:rPr>
          <w:rFonts w:ascii="Times New Roman" w:hAnsi="Times New Roman"/>
          <w:kern w:val="0"/>
          <w:szCs w:val="24"/>
        </w:rPr>
        <w:t xml:space="preserve">4.5 </w:t>
      </w:r>
      <w:r w:rsidRPr="005053FD">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考虑中美贸易冲突暂缓、基建稳增长发力以及部分行业库存较低等因素，短期内我国部分经济数据继续弱企稳的概率上升，经济增速边际放缓幅度可能在收敛。但是，由于房地产投资存在下行压力，后续中美贸易谈判前景不确定，海外政治与经济形势不明朗等问题，国内经济下行风险依然存在。我们预计短期内央行货币政策将维持中性偏松，保持逆周期调节作用，但仍需关注经济企稳的力度与央行货币政策操作边际的变动。同时密切关注银保监会关于银行理财监管政策的推进情况、专项债等逆</w:t>
      </w:r>
      <w:r w:rsidRPr="00A40DA7">
        <w:rPr>
          <w:kern w:val="0"/>
          <w:sz w:val="24"/>
        </w:rPr>
        <w:lastRenderedPageBreak/>
        <w:t>周期财政政策进展、以及中美贸易谈判后续进展情况等。组合管理方面，本基金将跟踪研判宏观经济走势与央行货币政策操作，保持较好的流动性，把握市场波动机会，尽力控制风险，努力为投资者创造稳健的回报。</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35959537"/>
      <w:r w:rsidRPr="005053FD">
        <w:rPr>
          <w:rFonts w:ascii="Times New Roman" w:hAnsi="Times New Roman"/>
          <w:kern w:val="0"/>
          <w:szCs w:val="24"/>
        </w:rPr>
        <w:t xml:space="preserve">4.6 </w:t>
      </w:r>
      <w:r w:rsidRPr="005053FD">
        <w:rPr>
          <w:rFonts w:ascii="Times New Roman" w:hAnsi="Times New Roman" w:hint="eastAsia"/>
          <w:kern w:val="0"/>
          <w:szCs w:val="24"/>
        </w:rPr>
        <w:t>管理人内部有关本基金的监察稽核工作情况</w:t>
      </w:r>
      <w:bookmarkEnd w:id="56"/>
      <w:bookmarkEnd w:id="57"/>
      <w:bookmarkEnd w:id="58"/>
      <w:bookmarkEnd w:id="59"/>
    </w:p>
    <w:p w:rsidR="003D270F" w:rsidRDefault="0056124B">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3D270F" w:rsidRDefault="0056124B">
      <w:pPr>
        <w:spacing w:before="29" w:line="288" w:lineRule="auto"/>
        <w:ind w:firstLineChars="200" w:firstLine="480"/>
        <w:rPr>
          <w:kern w:val="0"/>
          <w:sz w:val="24"/>
        </w:rPr>
      </w:pPr>
      <w:r>
        <w:rPr>
          <w:kern w:val="0"/>
          <w:sz w:val="24"/>
        </w:rPr>
        <w:t>本报告期内，本基金管理人为了确保公司业务的规范运作，主要做了以下工作：</w:t>
      </w:r>
    </w:p>
    <w:p w:rsidR="003D270F" w:rsidRDefault="0056124B">
      <w:pPr>
        <w:spacing w:before="29" w:line="288" w:lineRule="auto"/>
        <w:ind w:firstLineChars="200" w:firstLine="480"/>
        <w:rPr>
          <w:kern w:val="0"/>
          <w:sz w:val="24"/>
        </w:rPr>
      </w:pPr>
      <w:r>
        <w:rPr>
          <w:kern w:val="0"/>
          <w:sz w:val="24"/>
        </w:rPr>
        <w:t>（一）继续深化全面风险管理，提高风险控制有效性。</w:t>
      </w:r>
    </w:p>
    <w:p w:rsidR="003D270F" w:rsidRDefault="0056124B">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3D270F" w:rsidRDefault="0056124B">
      <w:pPr>
        <w:spacing w:before="29" w:line="288" w:lineRule="auto"/>
        <w:ind w:firstLineChars="200" w:firstLine="480"/>
        <w:rPr>
          <w:kern w:val="0"/>
          <w:sz w:val="24"/>
        </w:rPr>
      </w:pPr>
      <w:r>
        <w:rPr>
          <w:kern w:val="0"/>
          <w:sz w:val="24"/>
        </w:rPr>
        <w:t>（二）全面开展内部监督检查，强化公司内部控制。</w:t>
      </w:r>
    </w:p>
    <w:p w:rsidR="003D270F" w:rsidRDefault="0056124B">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3D270F" w:rsidRDefault="0056124B">
      <w:pPr>
        <w:spacing w:before="29" w:line="288" w:lineRule="auto"/>
        <w:ind w:firstLineChars="200" w:firstLine="480"/>
        <w:rPr>
          <w:kern w:val="0"/>
          <w:sz w:val="24"/>
        </w:rPr>
      </w:pPr>
      <w:r>
        <w:rPr>
          <w:kern w:val="0"/>
          <w:sz w:val="24"/>
        </w:rPr>
        <w:t>（三）强化全员合规理念，突出重点，全面提升法律、合规管理水平。</w:t>
      </w:r>
    </w:p>
    <w:p w:rsidR="003D270F" w:rsidRDefault="0056124B">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3D270F" w:rsidRDefault="0056124B">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35959538"/>
      <w:r w:rsidRPr="005053FD">
        <w:rPr>
          <w:rFonts w:ascii="Times New Roman" w:hAnsi="Times New Roman"/>
          <w:kern w:val="0"/>
          <w:szCs w:val="24"/>
        </w:rPr>
        <w:t xml:space="preserve">4.7 </w:t>
      </w:r>
      <w:r w:rsidRPr="005053FD">
        <w:rPr>
          <w:rFonts w:ascii="Times New Roman" w:hAnsi="Times New Roman" w:hint="eastAsia"/>
          <w:kern w:val="0"/>
          <w:szCs w:val="24"/>
        </w:rPr>
        <w:t>管理人对报告期内基金估值程序等事项的说明</w:t>
      </w:r>
      <w:bookmarkEnd w:id="60"/>
      <w:bookmarkEnd w:id="61"/>
      <w:bookmarkEnd w:id="62"/>
      <w:bookmarkEnd w:id="63"/>
    </w:p>
    <w:p w:rsidR="003D270F" w:rsidRDefault="0056124B">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3D270F" w:rsidRDefault="0056124B">
      <w:pPr>
        <w:spacing w:before="29" w:line="288" w:lineRule="auto"/>
        <w:ind w:firstLineChars="200" w:firstLine="480"/>
        <w:rPr>
          <w:kern w:val="0"/>
          <w:sz w:val="24"/>
        </w:rPr>
      </w:pPr>
      <w:r>
        <w:rPr>
          <w:kern w:val="0"/>
          <w:sz w:val="24"/>
        </w:rPr>
        <w:lastRenderedPageBreak/>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5053FD" w:rsidRDefault="00BB731C" w:rsidP="005053FD">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35959539"/>
      <w:r w:rsidRPr="005053FD">
        <w:rPr>
          <w:rFonts w:ascii="Times New Roman" w:hAnsi="Times New Roman"/>
          <w:kern w:val="0"/>
          <w:szCs w:val="24"/>
        </w:rPr>
        <w:t>4.</w:t>
      </w:r>
      <w:r w:rsidRPr="005053FD">
        <w:rPr>
          <w:rFonts w:ascii="Times New Roman" w:hAnsi="Times New Roman" w:hint="eastAsia"/>
          <w:kern w:val="0"/>
          <w:szCs w:val="24"/>
        </w:rPr>
        <w:t>8</w:t>
      </w:r>
      <w:r w:rsidRPr="005053FD">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5053FD" w:rsidRDefault="00BB731C" w:rsidP="005053FD">
      <w:pPr>
        <w:pStyle w:val="20"/>
        <w:spacing w:before="29" w:after="0" w:line="288" w:lineRule="auto"/>
        <w:rPr>
          <w:rFonts w:ascii="Times New Roman" w:hAnsi="Times New Roman"/>
          <w:kern w:val="0"/>
          <w:szCs w:val="24"/>
        </w:rPr>
      </w:pPr>
      <w:bookmarkStart w:id="68" w:name="_Toc35959540"/>
      <w:r w:rsidRPr="005053FD">
        <w:rPr>
          <w:rFonts w:ascii="Times New Roman" w:hAnsi="Times New Roman"/>
          <w:kern w:val="0"/>
          <w:szCs w:val="24"/>
        </w:rPr>
        <w:t>4.9</w:t>
      </w:r>
      <w:r w:rsidRPr="005053FD">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本基金本报告期内曾连续二十个工作日以上出现基金资产净值低于</w:t>
      </w:r>
      <w:r w:rsidRPr="00BB731C">
        <w:rPr>
          <w:kern w:val="0"/>
          <w:sz w:val="24"/>
        </w:rPr>
        <w:t>5000</w:t>
      </w:r>
      <w:r w:rsidRPr="00BB731C">
        <w:rPr>
          <w:kern w:val="0"/>
          <w:sz w:val="24"/>
        </w:rPr>
        <w:t>万元的情形，截至本报告期末，本基金基金资产净值</w:t>
      </w:r>
      <w:r w:rsidR="00E750D9">
        <w:rPr>
          <w:rFonts w:hint="eastAsia"/>
          <w:kern w:val="0"/>
          <w:sz w:val="24"/>
        </w:rPr>
        <w:t>仍</w:t>
      </w:r>
      <w:r w:rsidR="00E662B0">
        <w:rPr>
          <w:rFonts w:hint="eastAsia"/>
          <w:kern w:val="0"/>
          <w:sz w:val="24"/>
        </w:rPr>
        <w:t>低</w:t>
      </w:r>
      <w:r w:rsidRPr="00BB731C">
        <w:rPr>
          <w:kern w:val="0"/>
          <w:sz w:val="24"/>
        </w:rPr>
        <w:t>于</w:t>
      </w:r>
      <w:r w:rsidRPr="00BB731C">
        <w:rPr>
          <w:kern w:val="0"/>
          <w:sz w:val="24"/>
        </w:rPr>
        <w:t>5000</w:t>
      </w:r>
      <w:r w:rsidRPr="00BB731C">
        <w:rPr>
          <w:kern w:val="0"/>
          <w:sz w:val="24"/>
        </w:rPr>
        <w:t>万元。</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35959541"/>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5053FD" w:rsidRDefault="001A59F9" w:rsidP="005053FD">
      <w:pPr>
        <w:pStyle w:val="20"/>
        <w:spacing w:before="29" w:after="0" w:line="288" w:lineRule="auto"/>
        <w:rPr>
          <w:rFonts w:ascii="Times New Roman" w:hAnsi="Times New Roman"/>
          <w:kern w:val="0"/>
          <w:szCs w:val="24"/>
        </w:rPr>
      </w:pPr>
      <w:bookmarkStart w:id="72" w:name="_Toc225498264"/>
      <w:bookmarkStart w:id="73" w:name="_Toc361324865"/>
      <w:bookmarkStart w:id="74" w:name="_Toc35959542"/>
      <w:r w:rsidRPr="005053FD">
        <w:rPr>
          <w:rFonts w:ascii="Times New Roman" w:hAnsi="Times New Roman"/>
          <w:kern w:val="0"/>
          <w:szCs w:val="24"/>
        </w:rPr>
        <w:t xml:space="preserve">5.1 </w:t>
      </w:r>
      <w:r w:rsidRPr="005053FD">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作为本基金的托管人，中信银行严格遵守了《证券投资基金法》及其他有关法律法规、基金合同和托管协议的规定，对交银施罗德丰盈收益债券型证券投资基金</w:t>
      </w:r>
      <w:r w:rsidRPr="00A40DA7">
        <w:rPr>
          <w:kern w:val="0"/>
          <w:sz w:val="24"/>
        </w:rPr>
        <w:t>2019</w:t>
      </w:r>
      <w:r w:rsidRPr="00A40DA7">
        <w:rPr>
          <w:kern w:val="0"/>
          <w:sz w:val="24"/>
        </w:rPr>
        <w:t>年的投资运作，进行了认真、独立的会计核算和必要的投资监督，履行了托管人的义务，不存在任何损害基金份额持有人利益的行为。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75" w:name="_Toc225498265"/>
      <w:bookmarkStart w:id="76" w:name="_Toc361324866"/>
      <w:bookmarkStart w:id="77" w:name="_Toc35959543"/>
      <w:r w:rsidRPr="005053FD">
        <w:rPr>
          <w:rFonts w:ascii="Times New Roman" w:hAnsi="Times New Roman"/>
          <w:kern w:val="0"/>
          <w:szCs w:val="24"/>
        </w:rPr>
        <w:t xml:space="preserve">5.2 </w:t>
      </w:r>
      <w:r w:rsidRPr="005053FD">
        <w:rPr>
          <w:rFonts w:ascii="Times New Roman" w:hAnsi="Times New Roman" w:hint="eastAsia"/>
          <w:kern w:val="0"/>
          <w:szCs w:val="24"/>
        </w:rPr>
        <w:t>托管人对报告期内本基金投资运作遵规守信、净值计算、利润分配等情况的</w:t>
      </w:r>
      <w:bookmarkEnd w:id="75"/>
      <w:r w:rsidRPr="005053FD">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丰盈收益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78" w:name="_Toc225498266"/>
      <w:bookmarkStart w:id="79" w:name="_Toc361324867"/>
      <w:bookmarkStart w:id="80" w:name="_Toc35959544"/>
      <w:r w:rsidRPr="005053FD">
        <w:rPr>
          <w:rFonts w:ascii="Times New Roman" w:hAnsi="Times New Roman"/>
          <w:kern w:val="0"/>
          <w:szCs w:val="24"/>
        </w:rPr>
        <w:lastRenderedPageBreak/>
        <w:t xml:space="preserve">5.3 </w:t>
      </w:r>
      <w:r w:rsidRPr="005053FD">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w:t>
      </w:r>
      <w:r w:rsidR="002F3B53" w:rsidRPr="002F3B53">
        <w:rPr>
          <w:rFonts w:hint="eastAsia"/>
          <w:kern w:val="0"/>
          <w:sz w:val="24"/>
        </w:rPr>
        <w:t>公开募集</w:t>
      </w:r>
      <w:r w:rsidRPr="00A40DA7">
        <w:rPr>
          <w:kern w:val="0"/>
          <w:sz w:val="24"/>
        </w:rPr>
        <w:t>证券投资基金信息披露管理办法》及其他相关法律法规的规定，基金管理人所编制和披露的交银施罗德丰盈收益债券型证券投资基金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35959545"/>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9"/>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22346</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交银施罗德丰盈收益债券型证券投资基金全体基金份额持有人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374459273"/>
      <w:bookmarkStart w:id="97" w:name="_Toc362424011"/>
      <w:bookmarkStart w:id="98" w:name="_Toc352331233"/>
      <w:bookmarkStart w:id="99" w:name="_Toc352256055"/>
      <w:bookmarkStart w:id="100" w:name="_Toc352255987"/>
      <w:bookmarkStart w:id="101" w:name="_Toc286996147"/>
      <w:bookmarkStart w:id="102" w:name="_Toc35959546"/>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102"/>
    </w:p>
    <w:p w:rsidR="003D270F" w:rsidRDefault="0056124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3D270F" w:rsidRDefault="0056124B">
      <w:pPr>
        <w:widowControl/>
        <w:spacing w:line="288" w:lineRule="auto"/>
        <w:ind w:firstLine="420"/>
        <w:rPr>
          <w:rFonts w:eastAsiaTheme="minorEastAsia"/>
          <w:kern w:val="0"/>
          <w:sz w:val="24"/>
        </w:rPr>
      </w:pPr>
      <w:r>
        <w:rPr>
          <w:rFonts w:eastAsiaTheme="minorEastAsia"/>
          <w:kern w:val="0"/>
          <w:sz w:val="24"/>
        </w:rPr>
        <w:t>我们审计了交银施罗德丰盈收益债券型证券投资基金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交银丰盈收益债券基金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3D270F" w:rsidRDefault="0056124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发布的有关规定及允许的基金行业实务操作编制，公允反映了交银丰盈收益债券基金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3595954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3D270F" w:rsidRDefault="0056124B">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按照中国注册会计师职业道德守则，我们独立于交银丰盈收益债券基金，并履行了职业道德方面的其他责任。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5959548"/>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4"/>
    </w:p>
    <w:p w:rsidR="003D270F" w:rsidRDefault="0056124B">
      <w:pPr>
        <w:spacing w:line="288" w:lineRule="auto"/>
        <w:ind w:firstLineChars="200" w:firstLine="480"/>
        <w:rPr>
          <w:rFonts w:eastAsiaTheme="minorEastAsia"/>
          <w:sz w:val="24"/>
        </w:rPr>
      </w:pPr>
      <w:r>
        <w:rPr>
          <w:rFonts w:eastAsiaTheme="minorEastAsia"/>
          <w:sz w:val="24"/>
        </w:rPr>
        <w:t>交银丰盈收益债券基金的基金管理人交银施罗德基金管理有限公司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D270F" w:rsidRDefault="003D270F">
      <w:pPr>
        <w:spacing w:line="288" w:lineRule="auto"/>
        <w:ind w:firstLineChars="200" w:firstLine="480"/>
        <w:rPr>
          <w:rFonts w:eastAsiaTheme="minorEastAsia"/>
          <w:sz w:val="24"/>
        </w:rPr>
      </w:pPr>
    </w:p>
    <w:p w:rsidR="003D270F" w:rsidRDefault="0056124B">
      <w:pPr>
        <w:spacing w:line="288" w:lineRule="auto"/>
        <w:ind w:firstLineChars="200" w:firstLine="480"/>
        <w:rPr>
          <w:rFonts w:eastAsiaTheme="minorEastAsia"/>
          <w:sz w:val="24"/>
        </w:rPr>
      </w:pPr>
      <w:r>
        <w:rPr>
          <w:rFonts w:eastAsiaTheme="minorEastAsia"/>
          <w:sz w:val="24"/>
        </w:rPr>
        <w:t>在编制财务报表时，基金管理人管理层负责评估交银丰盈收益债券基金的持续经营能力，披露与持续经营相关的事项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，并运用持续经营假设，除非基金管理人管理层计划清算交银丰盈收益债券基金、终止运营或别无其他现实的选择。</w:t>
      </w:r>
    </w:p>
    <w:p w:rsidR="003D270F" w:rsidRDefault="003D270F">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基金管理人治理层负责监督交银丰盈收益债券基金的财务报告过程。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35959549"/>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3D270F" w:rsidRDefault="0056124B">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D270F" w:rsidRDefault="003D270F">
      <w:pPr>
        <w:spacing w:line="288" w:lineRule="auto"/>
        <w:ind w:firstLineChars="200" w:firstLine="480"/>
        <w:rPr>
          <w:rFonts w:eastAsiaTheme="minorEastAsia"/>
          <w:sz w:val="24"/>
        </w:rPr>
      </w:pPr>
    </w:p>
    <w:p w:rsidR="003D270F" w:rsidRDefault="0056124B">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3D270F" w:rsidRDefault="003D270F">
      <w:pPr>
        <w:spacing w:line="288" w:lineRule="auto"/>
        <w:ind w:firstLineChars="200" w:firstLine="480"/>
        <w:rPr>
          <w:rFonts w:eastAsiaTheme="minorEastAsia"/>
          <w:sz w:val="24"/>
        </w:rPr>
      </w:pPr>
    </w:p>
    <w:p w:rsidR="003D270F" w:rsidRDefault="0056124B">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D270F" w:rsidRDefault="003D270F">
      <w:pPr>
        <w:spacing w:line="288" w:lineRule="auto"/>
        <w:ind w:firstLineChars="200" w:firstLine="480"/>
        <w:rPr>
          <w:rFonts w:eastAsiaTheme="minorEastAsia"/>
          <w:sz w:val="24"/>
        </w:rPr>
      </w:pPr>
    </w:p>
    <w:p w:rsidR="003D270F" w:rsidRDefault="0056124B">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3D270F" w:rsidRDefault="003D270F">
      <w:pPr>
        <w:spacing w:line="288" w:lineRule="auto"/>
        <w:ind w:firstLineChars="200" w:firstLine="480"/>
        <w:rPr>
          <w:rFonts w:eastAsiaTheme="minorEastAsia"/>
          <w:sz w:val="24"/>
        </w:rPr>
      </w:pPr>
    </w:p>
    <w:p w:rsidR="003D270F" w:rsidRDefault="0056124B">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3D270F" w:rsidRDefault="003D270F">
      <w:pPr>
        <w:spacing w:line="288" w:lineRule="auto"/>
        <w:ind w:firstLineChars="200" w:firstLine="480"/>
        <w:rPr>
          <w:rFonts w:eastAsiaTheme="minorEastAsia"/>
          <w:sz w:val="24"/>
        </w:rPr>
      </w:pPr>
    </w:p>
    <w:p w:rsidR="003D270F" w:rsidRDefault="0056124B">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丰盈收益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丰盈收益债券基金不能持续经营。</w:t>
      </w:r>
    </w:p>
    <w:p w:rsidR="003D270F" w:rsidRDefault="003D270F">
      <w:pPr>
        <w:spacing w:line="288" w:lineRule="auto"/>
        <w:ind w:firstLineChars="200" w:firstLine="480"/>
        <w:rPr>
          <w:rFonts w:eastAsiaTheme="minorEastAsia"/>
          <w:sz w:val="24"/>
        </w:rPr>
      </w:pPr>
    </w:p>
    <w:p w:rsidR="003D270F" w:rsidRDefault="0056124B">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3D270F" w:rsidRDefault="003D270F">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35959550"/>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2"/>
    </w:p>
    <w:p w:rsidR="00DB6EA0" w:rsidRPr="00DB6EA0" w:rsidRDefault="00DB6EA0" w:rsidP="00DB6EA0"/>
    <w:p w:rsidR="001A59F9" w:rsidRPr="005053FD" w:rsidRDefault="001A59F9" w:rsidP="005053FD">
      <w:pPr>
        <w:pStyle w:val="20"/>
        <w:spacing w:before="29" w:after="0" w:line="288" w:lineRule="auto"/>
        <w:rPr>
          <w:rFonts w:ascii="Times New Roman" w:hAnsi="Times New Roman"/>
          <w:kern w:val="0"/>
          <w:szCs w:val="24"/>
        </w:rPr>
      </w:pPr>
      <w:bookmarkStart w:id="113" w:name="_Toc225498268"/>
      <w:bookmarkStart w:id="114" w:name="_Toc361324873"/>
      <w:bookmarkStart w:id="115" w:name="_Toc35959551"/>
      <w:r w:rsidRPr="005053FD">
        <w:rPr>
          <w:rFonts w:ascii="Times New Roman" w:hAnsi="Times New Roman"/>
          <w:kern w:val="0"/>
          <w:szCs w:val="24"/>
        </w:rPr>
        <w:t xml:space="preserve">7.1 </w:t>
      </w:r>
      <w:r w:rsidRPr="005053FD">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交银施罗德丰盈收益债券型证券投资基金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170,564.90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76,484.35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396,839.52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66,824.57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2,378.15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5,114.07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37,393,836.10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31,954,566.00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37,393,836.10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31,954,566.00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300,000.00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305,425.62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265.68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673,239.31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891,094.21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10,706.00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20,409.94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lastRenderedPageBreak/>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38,952,989.60</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33,314,758.82</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62,896.59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11,029.87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8,557.45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3,676.64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2,852.48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2,820.92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1,398.25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123.90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305.00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111.48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46.69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59,500.00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89,500.00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140,159.40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102,659.87</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35,308,976.66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30,973,662.51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3,503,853.54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2,238,436.44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38,812,830.20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33,212,098.95</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38,952,989.60</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33,314,758.82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1.092</w:t>
      </w:r>
      <w:r w:rsidRPr="00400137">
        <w:rPr>
          <w:kern w:val="0"/>
          <w:sz w:val="24"/>
        </w:rPr>
        <w:t>元，</w:t>
      </w:r>
      <w:r w:rsidRPr="00400137">
        <w:rPr>
          <w:kern w:val="0"/>
          <w:sz w:val="24"/>
        </w:rPr>
        <w:t>C</w:t>
      </w:r>
      <w:r w:rsidRPr="00400137">
        <w:rPr>
          <w:kern w:val="0"/>
          <w:sz w:val="24"/>
        </w:rPr>
        <w:t>类基金份额净值</w:t>
      </w:r>
      <w:r w:rsidRPr="00400137">
        <w:rPr>
          <w:kern w:val="0"/>
          <w:sz w:val="24"/>
        </w:rPr>
        <w:t>1.134</w:t>
      </w:r>
      <w:r w:rsidRPr="00400137">
        <w:rPr>
          <w:kern w:val="0"/>
          <w:sz w:val="24"/>
        </w:rPr>
        <w:t>元；基金份额总额</w:t>
      </w:r>
      <w:r w:rsidRPr="00400137">
        <w:rPr>
          <w:kern w:val="0"/>
          <w:sz w:val="24"/>
        </w:rPr>
        <w:t>35,308,976.66</w:t>
      </w:r>
      <w:r w:rsidRPr="00400137">
        <w:rPr>
          <w:kern w:val="0"/>
          <w:sz w:val="24"/>
        </w:rPr>
        <w:t>份，其中</w:t>
      </w:r>
      <w:r w:rsidRPr="00400137">
        <w:rPr>
          <w:kern w:val="0"/>
          <w:sz w:val="24"/>
        </w:rPr>
        <w:t>A</w:t>
      </w:r>
      <w:r w:rsidRPr="00400137">
        <w:rPr>
          <w:kern w:val="0"/>
          <w:sz w:val="24"/>
        </w:rPr>
        <w:t>类基金份额</w:t>
      </w:r>
      <w:r w:rsidRPr="00400137">
        <w:rPr>
          <w:kern w:val="0"/>
          <w:sz w:val="24"/>
        </w:rPr>
        <w:t>29,200,922.21</w:t>
      </w:r>
      <w:r w:rsidRPr="00400137">
        <w:rPr>
          <w:kern w:val="0"/>
          <w:sz w:val="24"/>
        </w:rPr>
        <w:t>份，</w:t>
      </w:r>
      <w:r w:rsidRPr="00400137">
        <w:rPr>
          <w:kern w:val="0"/>
          <w:sz w:val="24"/>
        </w:rPr>
        <w:t>C</w:t>
      </w:r>
      <w:r w:rsidRPr="00400137">
        <w:rPr>
          <w:kern w:val="0"/>
          <w:sz w:val="24"/>
        </w:rPr>
        <w:t>类基金份额</w:t>
      </w:r>
      <w:r w:rsidRPr="00400137">
        <w:rPr>
          <w:kern w:val="0"/>
          <w:sz w:val="24"/>
        </w:rPr>
        <w:t>6,108,054.45</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116" w:name="_Toc225498269"/>
      <w:bookmarkStart w:id="117" w:name="_Toc361324874"/>
      <w:bookmarkStart w:id="118" w:name="_Toc35959552"/>
      <w:r w:rsidRPr="005053FD">
        <w:rPr>
          <w:rFonts w:ascii="Times New Roman" w:hAnsi="Times New Roman"/>
          <w:kern w:val="0"/>
          <w:szCs w:val="24"/>
        </w:rPr>
        <w:t xml:space="preserve">7.2 </w:t>
      </w:r>
      <w:r w:rsidRPr="005053FD">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交银施罗德丰盈收益债券型证券投资基金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lastRenderedPageBreak/>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1,152,743.43</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2,207,649.21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1,218,531.92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1,902,881.58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15,234.97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15,618.02</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1,134,861.67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1,813,988.67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68,435.28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73,274.89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-161,785.27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-75,914.51</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-161,785.27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-75,914.51</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94,700.57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378,709.61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1,296.21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1,972.53</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263,947.07</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677,530.28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108,014.56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333,354.77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36,004.94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69,461.67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15,596.32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50,962.21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658.30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770.03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11,941.63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40,664.69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11,941.63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40,664.69</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237.10</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246.92</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91,494.22</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182,069.99</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888,796.36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1,530,118.93</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lastRenderedPageBreak/>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888,796.36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1,530,118.93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119" w:name="_Toc225498270"/>
      <w:bookmarkStart w:id="120" w:name="_Toc361324875"/>
      <w:bookmarkStart w:id="121" w:name="_Toc35959553"/>
      <w:r w:rsidRPr="005053FD">
        <w:rPr>
          <w:rFonts w:ascii="Times New Roman" w:hAnsi="Times New Roman"/>
          <w:kern w:val="0"/>
          <w:szCs w:val="24"/>
        </w:rPr>
        <w:t xml:space="preserve">7.3 </w:t>
      </w:r>
      <w:r w:rsidRPr="005053FD">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交银施罗德丰盈收益债券型证券投资基金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30,973,662.51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2,238,436.44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33,212,098.95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888,796.36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888,796.36</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4,335,314.15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376,620.74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4,711,934.89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101,464,025.88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9,504,781.76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110,968,807.64</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-97,128,711.73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-9,128,161.02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-106,256,872.75</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35,308,976.66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3,503,853.54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38,812,830.20</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61,181,140.97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1,944,295.54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63,125,436.51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1,530,118.93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1,530,118.93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lastRenderedPageBreak/>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-30,207,478.46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-1,235,978.03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-31,443,456.49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64,730,133.26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5,511,040.86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70,241,174.12</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-94,937,611.72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-6,747,018.89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-101,684,630.61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30,973,662.51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2,238,436.44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33,212,098.95</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122" w:name="_Toc225498271"/>
      <w:bookmarkStart w:id="123" w:name="_Toc361324876"/>
      <w:bookmarkStart w:id="124" w:name="_Toc35959554"/>
      <w:r w:rsidRPr="005053FD">
        <w:rPr>
          <w:rFonts w:ascii="Times New Roman" w:hAnsi="Times New Roman"/>
          <w:kern w:val="0"/>
          <w:szCs w:val="24"/>
        </w:rPr>
        <w:t xml:space="preserve">7.4 </w:t>
      </w:r>
      <w:r w:rsidRPr="005053FD">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3D270F" w:rsidRDefault="0056124B">
      <w:pPr>
        <w:spacing w:before="29" w:line="288" w:lineRule="auto"/>
        <w:ind w:firstLineChars="200" w:firstLine="480"/>
        <w:rPr>
          <w:kern w:val="0"/>
          <w:sz w:val="24"/>
        </w:rPr>
      </w:pPr>
      <w:r>
        <w:rPr>
          <w:kern w:val="0"/>
          <w:sz w:val="24"/>
        </w:rPr>
        <w:t>交银施罗德丰盈收益债券型证券投资基金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[2014]721</w:t>
      </w:r>
      <w:r>
        <w:rPr>
          <w:kern w:val="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基金，存续期限不定。本基金在基金合同生效之日起两年（含两年）的期间内封闭式运作（按照基金合同的约定提前转换基金运作方式的除外</w:t>
      </w:r>
      <w:r>
        <w:rPr>
          <w:kern w:val="0"/>
          <w:sz w:val="24"/>
        </w:rPr>
        <w:t>)</w:t>
      </w:r>
      <w:r>
        <w:rPr>
          <w:kern w:val="0"/>
          <w:sz w:val="24"/>
        </w:rPr>
        <w:t>，封闭期结束后转为开放式运作。本基金首次设立募集不包括认购资金利息共募集人民币</w:t>
      </w:r>
      <w:r>
        <w:rPr>
          <w:kern w:val="0"/>
          <w:sz w:val="24"/>
        </w:rPr>
        <w:t>510,569,610.35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(2014)</w:t>
      </w:r>
      <w:r>
        <w:rPr>
          <w:kern w:val="0"/>
          <w:sz w:val="24"/>
        </w:rPr>
        <w:t>第</w:t>
      </w:r>
      <w:r>
        <w:rPr>
          <w:kern w:val="0"/>
          <w:sz w:val="24"/>
        </w:rPr>
        <w:t>451</w:t>
      </w:r>
      <w:r>
        <w:rPr>
          <w:kern w:val="0"/>
          <w:sz w:val="24"/>
        </w:rPr>
        <w:t>号验资报告予以验证。经向中国证监会备案，《交银施罗德丰盈收益债券型证券投资基金基金合同》于</w:t>
      </w:r>
      <w:r>
        <w:rPr>
          <w:kern w:val="0"/>
          <w:sz w:val="24"/>
        </w:rPr>
        <w:t>2014</w:t>
      </w:r>
      <w:r>
        <w:rPr>
          <w:kern w:val="0"/>
          <w:sz w:val="24"/>
        </w:rPr>
        <w:t>年</w:t>
      </w:r>
      <w:r>
        <w:rPr>
          <w:kern w:val="0"/>
          <w:sz w:val="24"/>
        </w:rPr>
        <w:t>8</w:t>
      </w:r>
      <w:r>
        <w:rPr>
          <w:kern w:val="0"/>
          <w:sz w:val="24"/>
        </w:rPr>
        <w:t>月</w:t>
      </w:r>
      <w:r>
        <w:rPr>
          <w:kern w:val="0"/>
          <w:sz w:val="24"/>
        </w:rPr>
        <w:t>11</w:t>
      </w:r>
      <w:r>
        <w:rPr>
          <w:kern w:val="0"/>
          <w:sz w:val="24"/>
        </w:rPr>
        <w:t>日正式生效，基金合同生效日的基金份额总额为</w:t>
      </w:r>
      <w:r>
        <w:rPr>
          <w:kern w:val="0"/>
          <w:sz w:val="24"/>
        </w:rPr>
        <w:t>510,658,140.93</w:t>
      </w:r>
      <w:r>
        <w:rPr>
          <w:kern w:val="0"/>
          <w:sz w:val="24"/>
        </w:rPr>
        <w:t>份基金份额，其中认购资金利息折合</w:t>
      </w:r>
      <w:r>
        <w:rPr>
          <w:kern w:val="0"/>
          <w:sz w:val="24"/>
        </w:rPr>
        <w:t>88,530.58</w:t>
      </w:r>
      <w:r>
        <w:rPr>
          <w:kern w:val="0"/>
          <w:sz w:val="24"/>
        </w:rPr>
        <w:t>份基金份额。本基金的基金管理人为交银施罗德基金管理有限公司，基金托管人为中信银行股份有限公司。</w:t>
      </w:r>
    </w:p>
    <w:p w:rsidR="003D270F" w:rsidRDefault="0056124B">
      <w:pPr>
        <w:spacing w:before="29" w:line="288" w:lineRule="auto"/>
        <w:ind w:firstLineChars="200" w:firstLine="480"/>
        <w:rPr>
          <w:kern w:val="0"/>
          <w:sz w:val="24"/>
        </w:rPr>
      </w:pPr>
      <w:r>
        <w:rPr>
          <w:kern w:val="0"/>
          <w:sz w:val="24"/>
        </w:rPr>
        <w:t>根据《交银施罗德丰盈收益债券型证券投资基金基金合同》和《交银施罗德丰盈收益债券型证券投资基金招募说明书》，本基金根据认购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类基金份额，在投资人申购时不收取申购费用、赎回时收取后端申购费用和赎回费用的，称为</w:t>
      </w:r>
      <w:r>
        <w:rPr>
          <w:kern w:val="0"/>
          <w:sz w:val="24"/>
        </w:rPr>
        <w:t>B</w:t>
      </w:r>
      <w:r>
        <w:rPr>
          <w:kern w:val="0"/>
          <w:sz w:val="24"/>
        </w:rPr>
        <w:t>类基金份额，在投资人申购时不收取申购费用、赎回时收取短期赎回费，且从本类别基金资产中计提销售服务费的，称为</w:t>
      </w:r>
      <w:r>
        <w:rPr>
          <w:kern w:val="0"/>
          <w:sz w:val="24"/>
        </w:rPr>
        <w:lastRenderedPageBreak/>
        <w:t>C</w:t>
      </w:r>
      <w:r>
        <w:rPr>
          <w:kern w:val="0"/>
          <w:sz w:val="24"/>
        </w:rPr>
        <w:t>类基金份额。本基金募集期内仅开通</w:t>
      </w:r>
      <w:r>
        <w:rPr>
          <w:kern w:val="0"/>
          <w:sz w:val="24"/>
        </w:rPr>
        <w:t>A</w:t>
      </w:r>
      <w:r>
        <w:rPr>
          <w:kern w:val="0"/>
          <w:sz w:val="24"/>
        </w:rPr>
        <w:t>类基金份额的认购；在基金合同生效之日起三年</w:t>
      </w:r>
      <w:r>
        <w:rPr>
          <w:kern w:val="0"/>
          <w:sz w:val="24"/>
        </w:rPr>
        <w:t>(</w:t>
      </w:r>
      <w:r>
        <w:rPr>
          <w:kern w:val="0"/>
          <w:sz w:val="24"/>
        </w:rPr>
        <w:t>含三年</w:t>
      </w:r>
      <w:r>
        <w:rPr>
          <w:kern w:val="0"/>
          <w:sz w:val="24"/>
        </w:rPr>
        <w:t>)</w:t>
      </w:r>
      <w:r>
        <w:rPr>
          <w:kern w:val="0"/>
          <w:sz w:val="24"/>
        </w:rPr>
        <w:t>的期间内封闭式运作，封闭期结束后转为开放式运作，并增开</w:t>
      </w:r>
      <w:r>
        <w:rPr>
          <w:kern w:val="0"/>
          <w:sz w:val="24"/>
        </w:rPr>
        <w:t>B</w:t>
      </w:r>
      <w:r>
        <w:rPr>
          <w:kern w:val="0"/>
          <w:sz w:val="24"/>
        </w:rPr>
        <w:t>类和</w:t>
      </w:r>
      <w:r>
        <w:rPr>
          <w:kern w:val="0"/>
          <w:sz w:val="24"/>
        </w:rPr>
        <w:t>C</w:t>
      </w:r>
      <w:r>
        <w:rPr>
          <w:kern w:val="0"/>
          <w:sz w:val="24"/>
        </w:rPr>
        <w:t>类基金份额的申购。根据《关于交银施罗德丰盈收益债券型证券投资基金封闭期结束转为开放式运作并同时增加开通</w:t>
      </w:r>
      <w:r>
        <w:rPr>
          <w:kern w:val="0"/>
          <w:sz w:val="24"/>
        </w:rPr>
        <w:t>C</w:t>
      </w:r>
      <w:r>
        <w:rPr>
          <w:kern w:val="0"/>
          <w:sz w:val="24"/>
        </w:rPr>
        <w:t>类基金份额暨开放基金日常申购、赎回、定期定额投资业务并参与部分销售机构申购费率优惠活动的公告》的相关规定，本基金封闭期自</w:t>
      </w:r>
      <w:r>
        <w:rPr>
          <w:kern w:val="0"/>
          <w:sz w:val="24"/>
        </w:rPr>
        <w:t>2014</w:t>
      </w:r>
      <w:r>
        <w:rPr>
          <w:kern w:val="0"/>
          <w:sz w:val="24"/>
        </w:rPr>
        <w:t>年</w:t>
      </w:r>
      <w:r>
        <w:rPr>
          <w:kern w:val="0"/>
          <w:sz w:val="24"/>
        </w:rPr>
        <w:t>8</w:t>
      </w:r>
      <w:r>
        <w:rPr>
          <w:kern w:val="0"/>
          <w:sz w:val="24"/>
        </w:rPr>
        <w:t>月</w:t>
      </w:r>
      <w:r>
        <w:rPr>
          <w:kern w:val="0"/>
          <w:sz w:val="24"/>
        </w:rPr>
        <w:t>11</w:t>
      </w:r>
      <w:r>
        <w:rPr>
          <w:kern w:val="0"/>
          <w:sz w:val="24"/>
        </w:rPr>
        <w:t>日</w:t>
      </w:r>
      <w:r>
        <w:rPr>
          <w:kern w:val="0"/>
          <w:sz w:val="24"/>
        </w:rPr>
        <w:t>(</w:t>
      </w:r>
      <w:r>
        <w:rPr>
          <w:kern w:val="0"/>
          <w:sz w:val="24"/>
        </w:rPr>
        <w:t>基金合同生效日</w:t>
      </w:r>
      <w:r>
        <w:rPr>
          <w:kern w:val="0"/>
          <w:sz w:val="24"/>
        </w:rPr>
        <w:t>)</w:t>
      </w:r>
      <w:r>
        <w:rPr>
          <w:kern w:val="0"/>
          <w:sz w:val="24"/>
        </w:rPr>
        <w:t>至</w:t>
      </w:r>
      <w:r>
        <w:rPr>
          <w:kern w:val="0"/>
          <w:sz w:val="24"/>
        </w:rPr>
        <w:t>2017</w:t>
      </w:r>
      <w:r>
        <w:rPr>
          <w:kern w:val="0"/>
          <w:sz w:val="24"/>
        </w:rPr>
        <w:t>年</w:t>
      </w:r>
      <w:r>
        <w:rPr>
          <w:kern w:val="0"/>
          <w:sz w:val="24"/>
        </w:rPr>
        <w:t>8</w:t>
      </w:r>
      <w:r>
        <w:rPr>
          <w:kern w:val="0"/>
          <w:sz w:val="24"/>
        </w:rPr>
        <w:t>月</w:t>
      </w:r>
      <w:r>
        <w:rPr>
          <w:kern w:val="0"/>
          <w:sz w:val="24"/>
        </w:rPr>
        <w:t>11</w:t>
      </w:r>
      <w:r>
        <w:rPr>
          <w:kern w:val="0"/>
          <w:sz w:val="24"/>
        </w:rPr>
        <w:t>日止，自</w:t>
      </w:r>
      <w:r>
        <w:rPr>
          <w:kern w:val="0"/>
          <w:sz w:val="24"/>
        </w:rPr>
        <w:t>2017</w:t>
      </w:r>
      <w:r>
        <w:rPr>
          <w:kern w:val="0"/>
          <w:sz w:val="24"/>
        </w:rPr>
        <w:t>年</w:t>
      </w:r>
      <w:r>
        <w:rPr>
          <w:kern w:val="0"/>
          <w:sz w:val="24"/>
        </w:rPr>
        <w:t>8</w:t>
      </w:r>
      <w:r>
        <w:rPr>
          <w:kern w:val="0"/>
          <w:sz w:val="24"/>
        </w:rPr>
        <w:t>月</w:t>
      </w:r>
      <w:r>
        <w:rPr>
          <w:kern w:val="0"/>
          <w:sz w:val="24"/>
        </w:rPr>
        <w:t>14</w:t>
      </w:r>
      <w:r>
        <w:rPr>
          <w:kern w:val="0"/>
          <w:sz w:val="24"/>
        </w:rPr>
        <w:t>日起转为开放式运作，自该日起开始办理日常申购、赎回业务，并同时增加开通</w:t>
      </w:r>
      <w:r>
        <w:rPr>
          <w:kern w:val="0"/>
          <w:sz w:val="24"/>
        </w:rPr>
        <w:t>C</w:t>
      </w:r>
      <w:r>
        <w:rPr>
          <w:kern w:val="0"/>
          <w:sz w:val="24"/>
        </w:rPr>
        <w:t>类基金份额。</w:t>
      </w:r>
    </w:p>
    <w:p w:rsidR="003D270F" w:rsidRDefault="0056124B">
      <w:pPr>
        <w:spacing w:before="29" w:line="288" w:lineRule="auto"/>
        <w:ind w:firstLineChars="200" w:firstLine="480"/>
        <w:rPr>
          <w:kern w:val="0"/>
          <w:sz w:val="24"/>
        </w:rPr>
      </w:pPr>
      <w:r>
        <w:rPr>
          <w:kern w:val="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w:t>
      </w:r>
      <w:r>
        <w:rPr>
          <w:kern w:val="0"/>
          <w:sz w:val="24"/>
        </w:rPr>
        <w:t>(</w:t>
      </w:r>
      <w:r>
        <w:rPr>
          <w:kern w:val="0"/>
          <w:sz w:val="24"/>
        </w:rPr>
        <w:t>含</w:t>
      </w:r>
      <w:r>
        <w:rPr>
          <w:kern w:val="0"/>
          <w:sz w:val="24"/>
        </w:rPr>
        <w:t>)</w:t>
      </w:r>
      <w:r>
        <w:rPr>
          <w:kern w:val="0"/>
          <w:sz w:val="24"/>
        </w:rPr>
        <w:t>以上。本基金不直接在二级市场买入股票、权证等权益类资产，也不参与一级市场新股申购和新股增发。同时本基金不参与可转换债券投资</w:t>
      </w:r>
      <w:r>
        <w:rPr>
          <w:kern w:val="0"/>
          <w:sz w:val="24"/>
        </w:rPr>
        <w:t>(</w:t>
      </w:r>
      <w:r>
        <w:rPr>
          <w:kern w:val="0"/>
          <w:sz w:val="24"/>
        </w:rPr>
        <w:t>分离交易可转债的纯债部分除外</w:t>
      </w:r>
      <w:r>
        <w:rPr>
          <w:kern w:val="0"/>
          <w:sz w:val="24"/>
        </w:rPr>
        <w:t>)</w:t>
      </w:r>
      <w:r>
        <w:rPr>
          <w:kern w:val="0"/>
          <w:sz w:val="24"/>
        </w:rPr>
        <w:t>。基金的投资组合比例为：本基金投资于债券资产的比例不低于基金资产的</w:t>
      </w:r>
      <w:r>
        <w:rPr>
          <w:kern w:val="0"/>
          <w:sz w:val="24"/>
        </w:rPr>
        <w:t>80%</w:t>
      </w:r>
      <w:r>
        <w:rPr>
          <w:kern w:val="0"/>
          <w:sz w:val="24"/>
        </w:rPr>
        <w:t>，但在封闭期结束转开放的前后三个月内，基金投资不受上述债券资产投资比例限制。本基金在开放期内，现金或到期日在一年以内的政府债券的比例合计不低于基金资产净值的</w:t>
      </w:r>
      <w:r>
        <w:rPr>
          <w:kern w:val="0"/>
          <w:sz w:val="24"/>
        </w:rPr>
        <w:t>5%</w:t>
      </w:r>
      <w:r>
        <w:rPr>
          <w:kern w:val="0"/>
          <w:sz w:val="24"/>
        </w:rPr>
        <w:t>，其中现金不包括结算备付金、存出保证金和应收申购款等。本基金封闭期内业绩比较基准为三年期银行定期存款税后收益率，转为开放式运作后业绩比较基准为中债综合全价指数。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3D270F" w:rsidRDefault="0056124B">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颁布的《证券投资基金会计核算业务指引》、《交银施罗德丰盈收益债券型证券投资基金基金合同》和在财务报表附注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3D270F" w:rsidRDefault="0056124B">
      <w:pPr>
        <w:spacing w:before="29" w:line="288" w:lineRule="auto"/>
        <w:ind w:firstLineChars="200" w:firstLine="480"/>
        <w:rPr>
          <w:kern w:val="0"/>
          <w:sz w:val="24"/>
        </w:rPr>
      </w:pPr>
      <w:r>
        <w:rPr>
          <w:kern w:val="0"/>
          <w:sz w:val="24"/>
        </w:rPr>
        <w:t xml:space="preserve">(1) </w:t>
      </w:r>
      <w:r>
        <w:rPr>
          <w:kern w:val="0"/>
          <w:sz w:val="24"/>
        </w:rPr>
        <w:t>金融资产的分类</w:t>
      </w:r>
    </w:p>
    <w:p w:rsidR="003D270F" w:rsidRDefault="0056124B">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3D270F" w:rsidRDefault="0056124B">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3D270F" w:rsidRDefault="0056124B">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3D270F" w:rsidRDefault="0056124B">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3D270F" w:rsidRDefault="0056124B">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3D270F" w:rsidRDefault="0056124B">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3D270F" w:rsidRDefault="0056124B">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w:t>
      </w:r>
      <w:r>
        <w:rPr>
          <w:kern w:val="0"/>
          <w:sz w:val="24"/>
        </w:rPr>
        <w:lastRenderedPageBreak/>
        <w:t>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3D270F" w:rsidRDefault="0056124B">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3D270F" w:rsidRDefault="0056124B">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3D270F" w:rsidRDefault="0056124B">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3D270F" w:rsidRDefault="0056124B">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w:t>
      </w:r>
      <w:r w:rsidRPr="004A3D9A">
        <w:rPr>
          <w:kern w:val="0"/>
          <w:sz w:val="24"/>
        </w:rPr>
        <w:lastRenderedPageBreak/>
        <w:t>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3D270F" w:rsidRDefault="0056124B">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3D270F" w:rsidRDefault="0056124B">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3D270F" w:rsidRDefault="0056124B">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3D270F" w:rsidRDefault="0056124B">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3D270F" w:rsidRDefault="0056124B">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w:t>
      </w:r>
      <w:r>
        <w:rPr>
          <w:kern w:val="0"/>
          <w:sz w:val="24"/>
        </w:rPr>
        <w:lastRenderedPageBreak/>
        <w:t>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3D270F" w:rsidRDefault="0056124B">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3D270F" w:rsidRDefault="0056124B">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(2)</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3D270F" w:rsidRDefault="0056124B">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w:t>
      </w:r>
      <w:r>
        <w:rPr>
          <w:kern w:val="0"/>
          <w:sz w:val="24"/>
        </w:rPr>
        <w:lastRenderedPageBreak/>
        <w:t>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3D270F" w:rsidRDefault="0056124B">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3D270F" w:rsidRDefault="0056124B">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3D270F" w:rsidRDefault="0056124B">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3D270F" w:rsidRDefault="0056124B">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170,564.90</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76,484.35</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170,564.90</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76,484.35</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17,208,360.87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17,245,836.10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37,475.23</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20,077,440.00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20,148,000.00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70,560.00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37,285,800.87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37,393,836.10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108,035.23</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37,285,800.87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37,393,836.10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108,035.23</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31,941,231.34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31,954,566.00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13,334.66</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31,941,231.34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31,954,566.00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13,334.66</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31,941,231.34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31,954,566.00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13,334.66</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 xml:space="preserve"> </w:t>
      </w: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lastRenderedPageBreak/>
              <w:t>项目</w:t>
            </w:r>
          </w:p>
        </w:tc>
        <w:tc>
          <w:tcPr>
            <w:tcW w:w="6631" w:type="dxa"/>
            <w:gridSpan w:val="2"/>
          </w:tcPr>
          <w:p w:rsidR="00C4194D" w:rsidRPr="00C4194D" w:rsidRDefault="00C4194D" w:rsidP="0005301E">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05301E">
            <w:pPr>
              <w:spacing w:line="360" w:lineRule="auto"/>
              <w:jc w:val="center"/>
              <w:rPr>
                <w:rFonts w:eastAsiaTheme="minorEastAsia"/>
                <w:sz w:val="24"/>
              </w:rPr>
            </w:pPr>
            <w:r w:rsidRPr="00C4194D">
              <w:rPr>
                <w:rFonts w:eastAsiaTheme="minorEastAsia"/>
                <w:sz w:val="24"/>
              </w:rPr>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05301E">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300,000.00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300,000.00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1,012.53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23.55</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196.46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33.11</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672,459.31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891,086.54</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-430.20</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-53.12</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1.60</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w:t>
            </w:r>
            <w:r w:rsidRPr="00063F90">
              <w:rPr>
                <w:rFonts w:eastAsiaTheme="minorEastAsia"/>
                <w:sz w:val="24"/>
              </w:rPr>
              <w:lastRenderedPageBreak/>
              <w:t>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lastRenderedPageBreak/>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1.21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2.53</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673,239.31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891,094.21</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123.90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305.00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123.90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305.00</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3D270F">
        <w:tc>
          <w:tcPr>
            <w:tcW w:w="2715" w:type="dxa"/>
            <w:vAlign w:val="center"/>
          </w:tcPr>
          <w:p w:rsidR="003D270F" w:rsidRDefault="0056124B">
            <w:pPr>
              <w:jc w:val="left"/>
            </w:pPr>
            <w:r>
              <w:rPr>
                <w:sz w:val="24"/>
              </w:rPr>
              <w:t>预提审计费</w:t>
            </w:r>
          </w:p>
        </w:tc>
        <w:tc>
          <w:tcPr>
            <w:tcW w:w="3150" w:type="dxa"/>
            <w:vAlign w:val="center"/>
          </w:tcPr>
          <w:p w:rsidR="003D270F" w:rsidRDefault="0056124B">
            <w:pPr>
              <w:jc w:val="right"/>
            </w:pPr>
            <w:r>
              <w:rPr>
                <w:sz w:val="24"/>
              </w:rPr>
              <w:t>50,000.00</w:t>
            </w:r>
          </w:p>
        </w:tc>
        <w:tc>
          <w:tcPr>
            <w:tcW w:w="3150" w:type="dxa"/>
            <w:vAlign w:val="center"/>
          </w:tcPr>
          <w:p w:rsidR="003D270F" w:rsidRDefault="0056124B">
            <w:pPr>
              <w:jc w:val="right"/>
            </w:pPr>
            <w:r>
              <w:rPr>
                <w:sz w:val="24"/>
              </w:rPr>
              <w:t>50,000.00</w:t>
            </w:r>
          </w:p>
        </w:tc>
      </w:tr>
      <w:tr w:rsidR="003D270F">
        <w:tc>
          <w:tcPr>
            <w:tcW w:w="2715" w:type="dxa"/>
            <w:vAlign w:val="center"/>
          </w:tcPr>
          <w:p w:rsidR="003D270F" w:rsidRDefault="0056124B">
            <w:pPr>
              <w:jc w:val="left"/>
            </w:pPr>
            <w:r>
              <w:rPr>
                <w:sz w:val="24"/>
              </w:rPr>
              <w:t>预提账户维护费</w:t>
            </w:r>
          </w:p>
        </w:tc>
        <w:tc>
          <w:tcPr>
            <w:tcW w:w="3150" w:type="dxa"/>
            <w:vAlign w:val="center"/>
          </w:tcPr>
          <w:p w:rsidR="003D270F" w:rsidRDefault="0056124B">
            <w:pPr>
              <w:jc w:val="right"/>
            </w:pPr>
            <w:r>
              <w:rPr>
                <w:sz w:val="24"/>
              </w:rPr>
              <w:t>9,300.00</w:t>
            </w:r>
          </w:p>
        </w:tc>
        <w:tc>
          <w:tcPr>
            <w:tcW w:w="3150" w:type="dxa"/>
            <w:vAlign w:val="center"/>
          </w:tcPr>
          <w:p w:rsidR="003D270F" w:rsidRDefault="0056124B">
            <w:pPr>
              <w:jc w:val="right"/>
            </w:pPr>
            <w:r>
              <w:rPr>
                <w:sz w:val="24"/>
              </w:rPr>
              <w:t>9,300.00</w:t>
            </w:r>
          </w:p>
        </w:tc>
      </w:tr>
      <w:tr w:rsidR="003D270F">
        <w:tc>
          <w:tcPr>
            <w:tcW w:w="2715" w:type="dxa"/>
            <w:vAlign w:val="center"/>
          </w:tcPr>
          <w:p w:rsidR="003D270F" w:rsidRDefault="0056124B">
            <w:pPr>
              <w:jc w:val="left"/>
            </w:pPr>
            <w:r>
              <w:rPr>
                <w:sz w:val="24"/>
              </w:rPr>
              <w:t>其他</w:t>
            </w:r>
          </w:p>
        </w:tc>
        <w:tc>
          <w:tcPr>
            <w:tcW w:w="3150" w:type="dxa"/>
            <w:vAlign w:val="center"/>
          </w:tcPr>
          <w:p w:rsidR="003D270F" w:rsidRDefault="0056124B">
            <w:pPr>
              <w:jc w:val="right"/>
            </w:pPr>
            <w:r>
              <w:rPr>
                <w:sz w:val="24"/>
              </w:rPr>
              <w:t>200.00</w:t>
            </w:r>
          </w:p>
        </w:tc>
        <w:tc>
          <w:tcPr>
            <w:tcW w:w="3150" w:type="dxa"/>
            <w:vAlign w:val="center"/>
          </w:tcPr>
          <w:p w:rsidR="003D270F" w:rsidRDefault="0056124B">
            <w:pPr>
              <w:jc w:val="right"/>
            </w:pPr>
            <w:r>
              <w:rPr>
                <w:sz w:val="24"/>
              </w:rPr>
              <w:t>200.00</w:t>
            </w:r>
          </w:p>
        </w:tc>
      </w:tr>
      <w:tr w:rsidR="003D270F">
        <w:tc>
          <w:tcPr>
            <w:tcW w:w="2715" w:type="dxa"/>
            <w:vAlign w:val="center"/>
          </w:tcPr>
          <w:p w:rsidR="003D270F" w:rsidRDefault="0056124B">
            <w:pPr>
              <w:jc w:val="left"/>
            </w:pPr>
            <w:r>
              <w:rPr>
                <w:sz w:val="24"/>
              </w:rPr>
              <w:t>预提信息披露费</w:t>
            </w:r>
          </w:p>
        </w:tc>
        <w:tc>
          <w:tcPr>
            <w:tcW w:w="3150" w:type="dxa"/>
            <w:vAlign w:val="center"/>
          </w:tcPr>
          <w:p w:rsidR="003D270F" w:rsidRDefault="0056124B">
            <w:pPr>
              <w:jc w:val="right"/>
            </w:pPr>
            <w:r>
              <w:rPr>
                <w:sz w:val="24"/>
              </w:rPr>
              <w:t>-</w:t>
            </w:r>
          </w:p>
        </w:tc>
        <w:tc>
          <w:tcPr>
            <w:tcW w:w="3150" w:type="dxa"/>
            <w:vAlign w:val="center"/>
          </w:tcPr>
          <w:p w:rsidR="003D270F" w:rsidRDefault="0056124B">
            <w:pPr>
              <w:jc w:val="right"/>
            </w:pPr>
            <w:r>
              <w:rPr>
                <w:sz w:val="24"/>
              </w:rPr>
              <w:t>30,000.00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59,500.00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89,500.00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交银丰盈收益债券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27,161,445.45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27,161,445.45</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lastRenderedPageBreak/>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59,461,654.55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59,461,654.55</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-57,422,177.79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-57,422,177.79</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29,200,922.21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29,200,922.21</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交银丰盈收益债券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3,812,217.06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3,812,217.06</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42,002,371.33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42,002,371.33</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-39,706,533.94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-39,706,533.94</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6,108,054.45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6,108,054.45</w:t>
            </w:r>
          </w:p>
        </w:tc>
      </w:tr>
    </w:tbl>
    <w:p w:rsidR="00783479" w:rsidRPr="00783479" w:rsidRDefault="00783479" w:rsidP="00783479">
      <w:pPr>
        <w:tabs>
          <w:tab w:val="left" w:pos="426"/>
        </w:tabs>
        <w:spacing w:before="29" w:line="288" w:lineRule="auto"/>
        <w:jc w:val="left"/>
        <w:rPr>
          <w:kern w:val="0"/>
          <w:sz w:val="24"/>
        </w:rPr>
      </w:pPr>
      <w:r w:rsidRPr="00783479">
        <w:rPr>
          <w:rFonts w:hint="eastAsia"/>
          <w:kern w:val="0"/>
          <w:sz w:val="24"/>
        </w:rPr>
        <w:t>注：</w:t>
      </w:r>
      <w:r w:rsidRPr="00783479">
        <w:rPr>
          <w:rFonts w:hint="eastAsia"/>
          <w:kern w:val="0"/>
          <w:sz w:val="24"/>
        </w:rPr>
        <w:t>1</w:t>
      </w:r>
      <w:r w:rsidRPr="00783479">
        <w:rPr>
          <w:rFonts w:hint="eastAsia"/>
          <w:kern w:val="0"/>
          <w:sz w:val="24"/>
        </w:rPr>
        <w:t>、如果本报告期间发生转换入、红利再投业务，则总申购份额中包含该业务。</w:t>
      </w:r>
    </w:p>
    <w:p w:rsidR="00783479" w:rsidRPr="00783479" w:rsidRDefault="00783479" w:rsidP="00783479">
      <w:pPr>
        <w:tabs>
          <w:tab w:val="left" w:pos="426"/>
        </w:tabs>
        <w:spacing w:before="29" w:line="288" w:lineRule="auto"/>
        <w:jc w:val="left"/>
        <w:rPr>
          <w:kern w:val="0"/>
          <w:sz w:val="24"/>
        </w:rPr>
      </w:pPr>
      <w:r w:rsidRPr="00783479">
        <w:rPr>
          <w:rFonts w:hint="eastAsia"/>
          <w:kern w:val="0"/>
          <w:sz w:val="24"/>
        </w:rPr>
        <w:t>2</w:t>
      </w:r>
      <w:r w:rsidRPr="00783479">
        <w:rPr>
          <w:rFonts w:hint="eastAsia"/>
          <w:kern w:val="0"/>
          <w:sz w:val="24"/>
        </w:rPr>
        <w:t>、如果本报告期间发生转换出业务，则总赎回份额中包含该业务。</w:t>
      </w:r>
    </w:p>
    <w:p w:rsidR="00F45862" w:rsidRDefault="00F45862"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交银丰盈收益债券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1,620,321.03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189,979.24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1,810,300.27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711,163.07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49,101.23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760,264.30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56,808.09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59,550.34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116,358.43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4,179,211.21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434,629.72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4,613,840.93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-4,122,403.12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-375,079.38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-4,497,482.50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2,388,292.19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298,630.81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2,686,923.00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交银丰盈收益债券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400,151.57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27,984.60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428,136.17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82,932.72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45,599.34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128,532.06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268,560.64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-8,298.33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260,262.31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4,677,695.94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213,244.89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4,890,940.83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-4,409,135.30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-221,543.22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-4,630,678.52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751,644.93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65,285.61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816,930.54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10,339.28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8,559.98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2,825.60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5,938.15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2,070.09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1,119.89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15,234.97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15,618.02</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83,824,182.95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89,829,848.08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81,900,058.37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87,515,164.31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2,085,909.85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2,390,598.28</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-161,785.27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-75,914.51</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lastRenderedPageBreak/>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94,700.57</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378,709.61</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94,700.57</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378,709.61</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94,700.57</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378,709.61</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1,296.21</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1,972.53</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1,296.21</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1,972.53</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lastRenderedPageBreak/>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120.80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70.03</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537.50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700.00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658.30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770.03</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05756D">
        <w:tc>
          <w:tcPr>
            <w:tcW w:w="281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5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2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5756D">
        <w:tc>
          <w:tcPr>
            <w:tcW w:w="2819"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56"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c>
          <w:tcPr>
            <w:tcW w:w="332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r>
      <w:tr w:rsidR="001A59F9" w:rsidRPr="00D564C7" w:rsidTr="0005756D">
        <w:tc>
          <w:tcPr>
            <w:tcW w:w="2819"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56"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32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w:t>
            </w:r>
          </w:p>
        </w:tc>
      </w:tr>
      <w:tr w:rsidR="003D270F">
        <w:tc>
          <w:tcPr>
            <w:tcW w:w="2819" w:type="dxa"/>
            <w:vAlign w:val="center"/>
          </w:tcPr>
          <w:p w:rsidR="003D270F" w:rsidRDefault="0056124B">
            <w:pPr>
              <w:jc w:val="left"/>
            </w:pPr>
            <w:r>
              <w:rPr>
                <w:sz w:val="24"/>
              </w:rPr>
              <w:t>律师费</w:t>
            </w:r>
          </w:p>
        </w:tc>
        <w:tc>
          <w:tcPr>
            <w:tcW w:w="2856" w:type="dxa"/>
            <w:vAlign w:val="center"/>
          </w:tcPr>
          <w:p w:rsidR="003D270F" w:rsidRDefault="0056124B">
            <w:pPr>
              <w:jc w:val="right"/>
            </w:pPr>
            <w:r>
              <w:rPr>
                <w:sz w:val="24"/>
              </w:rPr>
              <w:t>-</w:t>
            </w:r>
          </w:p>
        </w:tc>
        <w:tc>
          <w:tcPr>
            <w:tcW w:w="3323" w:type="dxa"/>
            <w:vAlign w:val="center"/>
          </w:tcPr>
          <w:p w:rsidR="003D270F" w:rsidRDefault="0056124B">
            <w:pPr>
              <w:jc w:val="right"/>
            </w:pPr>
            <w:r>
              <w:rPr>
                <w:sz w:val="24"/>
              </w:rPr>
              <w:t>40,000.00</w:t>
            </w:r>
          </w:p>
        </w:tc>
      </w:tr>
      <w:tr w:rsidR="003D270F">
        <w:tc>
          <w:tcPr>
            <w:tcW w:w="2819" w:type="dxa"/>
            <w:vAlign w:val="center"/>
          </w:tcPr>
          <w:p w:rsidR="003D270F" w:rsidRDefault="0056124B">
            <w:pPr>
              <w:jc w:val="left"/>
            </w:pPr>
            <w:r>
              <w:rPr>
                <w:sz w:val="24"/>
              </w:rPr>
              <w:t>债券账户维护费</w:t>
            </w:r>
          </w:p>
        </w:tc>
        <w:tc>
          <w:tcPr>
            <w:tcW w:w="2856" w:type="dxa"/>
            <w:vAlign w:val="center"/>
          </w:tcPr>
          <w:p w:rsidR="003D270F" w:rsidRDefault="0056124B">
            <w:pPr>
              <w:jc w:val="right"/>
            </w:pPr>
            <w:r>
              <w:rPr>
                <w:sz w:val="24"/>
              </w:rPr>
              <w:t>37,200.00</w:t>
            </w:r>
          </w:p>
        </w:tc>
        <w:tc>
          <w:tcPr>
            <w:tcW w:w="3323" w:type="dxa"/>
            <w:vAlign w:val="center"/>
          </w:tcPr>
          <w:p w:rsidR="003D270F" w:rsidRDefault="0056124B">
            <w:pPr>
              <w:jc w:val="right"/>
            </w:pPr>
            <w:r>
              <w:rPr>
                <w:sz w:val="24"/>
              </w:rPr>
              <w:t>46,500.00</w:t>
            </w:r>
          </w:p>
        </w:tc>
      </w:tr>
      <w:tr w:rsidR="003D270F">
        <w:tc>
          <w:tcPr>
            <w:tcW w:w="2819" w:type="dxa"/>
            <w:vAlign w:val="center"/>
          </w:tcPr>
          <w:p w:rsidR="003D270F" w:rsidRDefault="0056124B">
            <w:pPr>
              <w:jc w:val="left"/>
            </w:pPr>
            <w:r>
              <w:rPr>
                <w:sz w:val="24"/>
              </w:rPr>
              <w:t>公证费</w:t>
            </w:r>
          </w:p>
        </w:tc>
        <w:tc>
          <w:tcPr>
            <w:tcW w:w="2856" w:type="dxa"/>
            <w:vAlign w:val="center"/>
          </w:tcPr>
          <w:p w:rsidR="003D270F" w:rsidRDefault="0056124B">
            <w:pPr>
              <w:jc w:val="right"/>
            </w:pPr>
            <w:r>
              <w:rPr>
                <w:sz w:val="24"/>
              </w:rPr>
              <w:t>-</w:t>
            </w:r>
          </w:p>
        </w:tc>
        <w:tc>
          <w:tcPr>
            <w:tcW w:w="3323" w:type="dxa"/>
            <w:vAlign w:val="center"/>
          </w:tcPr>
          <w:p w:rsidR="003D270F" w:rsidRDefault="0056124B">
            <w:pPr>
              <w:jc w:val="right"/>
            </w:pPr>
            <w:r>
              <w:rPr>
                <w:sz w:val="24"/>
              </w:rPr>
              <w:t>10,000.00</w:t>
            </w:r>
          </w:p>
        </w:tc>
      </w:tr>
      <w:tr w:rsidR="003D270F">
        <w:tc>
          <w:tcPr>
            <w:tcW w:w="2819" w:type="dxa"/>
            <w:vAlign w:val="center"/>
          </w:tcPr>
          <w:p w:rsidR="003D270F" w:rsidRDefault="0056124B">
            <w:pPr>
              <w:jc w:val="left"/>
            </w:pPr>
            <w:r>
              <w:rPr>
                <w:sz w:val="24"/>
              </w:rPr>
              <w:t>银行汇划费</w:t>
            </w:r>
          </w:p>
        </w:tc>
        <w:tc>
          <w:tcPr>
            <w:tcW w:w="2856" w:type="dxa"/>
            <w:vAlign w:val="center"/>
          </w:tcPr>
          <w:p w:rsidR="003D270F" w:rsidRDefault="0056124B">
            <w:pPr>
              <w:jc w:val="right"/>
            </w:pPr>
            <w:r>
              <w:rPr>
                <w:sz w:val="24"/>
              </w:rPr>
              <w:t>4,294.22</w:t>
            </w:r>
          </w:p>
        </w:tc>
        <w:tc>
          <w:tcPr>
            <w:tcW w:w="3323" w:type="dxa"/>
            <w:vAlign w:val="center"/>
          </w:tcPr>
          <w:p w:rsidR="003D270F" w:rsidRDefault="0056124B">
            <w:pPr>
              <w:jc w:val="right"/>
            </w:pPr>
            <w:r>
              <w:rPr>
                <w:sz w:val="24"/>
              </w:rPr>
              <w:t>5,569.99</w:t>
            </w:r>
          </w:p>
        </w:tc>
      </w:tr>
      <w:tr w:rsidR="001A59F9" w:rsidRPr="00D564C7" w:rsidTr="0005756D">
        <w:tc>
          <w:tcPr>
            <w:tcW w:w="2819"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91,494.22</w:t>
            </w:r>
          </w:p>
        </w:tc>
        <w:tc>
          <w:tcPr>
            <w:tcW w:w="332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182,069.99</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3D270F">
        <w:tc>
          <w:tcPr>
            <w:tcW w:w="5220" w:type="dxa"/>
            <w:vAlign w:val="center"/>
          </w:tcPr>
          <w:p w:rsidR="003D270F" w:rsidRDefault="0056124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3D270F" w:rsidRDefault="0056124B">
            <w:pPr>
              <w:jc w:val="center"/>
            </w:pPr>
            <w:r>
              <w:rPr>
                <w:color w:val="000000"/>
                <w:sz w:val="24"/>
              </w:rPr>
              <w:t>基金管理人、基金销售机构</w:t>
            </w:r>
          </w:p>
        </w:tc>
      </w:tr>
      <w:tr w:rsidR="003D270F">
        <w:tc>
          <w:tcPr>
            <w:tcW w:w="5220" w:type="dxa"/>
            <w:vAlign w:val="center"/>
          </w:tcPr>
          <w:p w:rsidR="003D270F" w:rsidRDefault="0056124B">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3D270F" w:rsidRDefault="0056124B">
            <w:pPr>
              <w:jc w:val="center"/>
            </w:pPr>
            <w:r>
              <w:rPr>
                <w:color w:val="000000"/>
                <w:sz w:val="24"/>
              </w:rPr>
              <w:t>基金托管人、基金销售机构</w:t>
            </w:r>
          </w:p>
        </w:tc>
      </w:tr>
      <w:tr w:rsidR="003D270F">
        <w:tc>
          <w:tcPr>
            <w:tcW w:w="5220" w:type="dxa"/>
            <w:vAlign w:val="center"/>
          </w:tcPr>
          <w:p w:rsidR="003D270F" w:rsidRDefault="0056124B">
            <w:pPr>
              <w:jc w:val="left"/>
            </w:pPr>
            <w:r>
              <w:rPr>
                <w:color w:val="000000"/>
                <w:sz w:val="24"/>
              </w:rPr>
              <w:lastRenderedPageBreak/>
              <w:t>交通银行股份有限公司</w:t>
            </w:r>
            <w:r>
              <w:rPr>
                <w:color w:val="000000"/>
                <w:sz w:val="24"/>
              </w:rPr>
              <w:t>(“</w:t>
            </w:r>
            <w:r>
              <w:rPr>
                <w:color w:val="000000"/>
                <w:sz w:val="24"/>
              </w:rPr>
              <w:t>交通银行</w:t>
            </w:r>
            <w:r>
              <w:rPr>
                <w:color w:val="000000"/>
                <w:sz w:val="24"/>
              </w:rPr>
              <w:t>”)</w:t>
            </w:r>
          </w:p>
        </w:tc>
        <w:tc>
          <w:tcPr>
            <w:tcW w:w="3780" w:type="dxa"/>
            <w:vAlign w:val="center"/>
          </w:tcPr>
          <w:p w:rsidR="003D270F" w:rsidRDefault="0056124B">
            <w:pPr>
              <w:jc w:val="center"/>
            </w:pPr>
            <w:r>
              <w:rPr>
                <w:color w:val="000000"/>
                <w:sz w:val="24"/>
              </w:rPr>
              <w:t>基金管理人的股东、基金销售机构</w:t>
            </w:r>
          </w:p>
        </w:tc>
      </w:tr>
      <w:tr w:rsidR="003D270F">
        <w:tc>
          <w:tcPr>
            <w:tcW w:w="5220" w:type="dxa"/>
            <w:vAlign w:val="center"/>
          </w:tcPr>
          <w:p w:rsidR="003D270F" w:rsidRDefault="0056124B">
            <w:pPr>
              <w:jc w:val="left"/>
            </w:pPr>
            <w:r>
              <w:rPr>
                <w:color w:val="000000"/>
                <w:sz w:val="24"/>
              </w:rPr>
              <w:t>施罗德投资管理有限公司</w:t>
            </w:r>
          </w:p>
        </w:tc>
        <w:tc>
          <w:tcPr>
            <w:tcW w:w="3780" w:type="dxa"/>
            <w:vAlign w:val="center"/>
          </w:tcPr>
          <w:p w:rsidR="003D270F" w:rsidRDefault="0056124B">
            <w:pPr>
              <w:jc w:val="center"/>
            </w:pPr>
            <w:r>
              <w:rPr>
                <w:color w:val="000000"/>
                <w:sz w:val="24"/>
              </w:rPr>
              <w:t>基金管理人的股东</w:t>
            </w:r>
          </w:p>
        </w:tc>
      </w:tr>
      <w:tr w:rsidR="003D270F">
        <w:tc>
          <w:tcPr>
            <w:tcW w:w="5220" w:type="dxa"/>
            <w:vAlign w:val="center"/>
          </w:tcPr>
          <w:p w:rsidR="003D270F" w:rsidRDefault="0056124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3D270F" w:rsidRDefault="0056124B">
            <w:pPr>
              <w:jc w:val="center"/>
            </w:pPr>
            <w:r>
              <w:rPr>
                <w:color w:val="000000"/>
                <w:sz w:val="24"/>
              </w:rPr>
              <w:t>基金管理人的股东</w:t>
            </w:r>
          </w:p>
        </w:tc>
      </w:tr>
      <w:tr w:rsidR="003D270F">
        <w:tc>
          <w:tcPr>
            <w:tcW w:w="5220" w:type="dxa"/>
            <w:vAlign w:val="center"/>
          </w:tcPr>
          <w:p w:rsidR="003D270F" w:rsidRDefault="0056124B">
            <w:pPr>
              <w:jc w:val="left"/>
            </w:pPr>
            <w:r>
              <w:rPr>
                <w:color w:val="000000"/>
                <w:sz w:val="24"/>
              </w:rPr>
              <w:t>交银施罗德资产管理有限公司</w:t>
            </w:r>
          </w:p>
        </w:tc>
        <w:tc>
          <w:tcPr>
            <w:tcW w:w="3780" w:type="dxa"/>
            <w:vAlign w:val="center"/>
          </w:tcPr>
          <w:p w:rsidR="003D270F" w:rsidRDefault="0056124B">
            <w:pPr>
              <w:jc w:val="center"/>
            </w:pPr>
            <w:r>
              <w:rPr>
                <w:color w:val="000000"/>
                <w:sz w:val="24"/>
              </w:rPr>
              <w:t>基金管理人的子公司</w:t>
            </w:r>
          </w:p>
        </w:tc>
      </w:tr>
      <w:tr w:rsidR="003D270F">
        <w:tc>
          <w:tcPr>
            <w:tcW w:w="5220" w:type="dxa"/>
            <w:vAlign w:val="center"/>
          </w:tcPr>
          <w:p w:rsidR="003D270F" w:rsidRDefault="0056124B">
            <w:pPr>
              <w:jc w:val="left"/>
            </w:pPr>
            <w:r>
              <w:rPr>
                <w:color w:val="000000"/>
                <w:sz w:val="24"/>
              </w:rPr>
              <w:t>上海直源投资管理有限公司</w:t>
            </w:r>
          </w:p>
        </w:tc>
        <w:tc>
          <w:tcPr>
            <w:tcW w:w="3780" w:type="dxa"/>
            <w:vAlign w:val="center"/>
          </w:tcPr>
          <w:p w:rsidR="003D270F" w:rsidRDefault="0056124B">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108,014.56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333,354.77</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50,609.78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136,023.46</w:t>
            </w:r>
          </w:p>
        </w:tc>
      </w:tr>
    </w:tbl>
    <w:p w:rsidR="003D270F" w:rsidRDefault="0056124B">
      <w:pPr>
        <w:tabs>
          <w:tab w:val="left" w:pos="426"/>
        </w:tabs>
        <w:spacing w:before="29" w:line="288" w:lineRule="auto"/>
        <w:jc w:val="left"/>
        <w:rPr>
          <w:kern w:val="0"/>
          <w:sz w:val="24"/>
        </w:rPr>
      </w:pPr>
      <w:r>
        <w:rPr>
          <w:kern w:val="0"/>
          <w:sz w:val="24"/>
        </w:rPr>
        <w:t>注：自</w:t>
      </w:r>
      <w:r>
        <w:rPr>
          <w:kern w:val="0"/>
          <w:sz w:val="24"/>
        </w:rPr>
        <w:t>2014</w:t>
      </w:r>
      <w:r>
        <w:rPr>
          <w:kern w:val="0"/>
          <w:sz w:val="24"/>
        </w:rPr>
        <w:t>年</w:t>
      </w:r>
      <w:r>
        <w:rPr>
          <w:kern w:val="0"/>
          <w:sz w:val="24"/>
        </w:rPr>
        <w:t>8</w:t>
      </w:r>
      <w:r>
        <w:rPr>
          <w:kern w:val="0"/>
          <w:sz w:val="24"/>
        </w:rPr>
        <w:t>月</w:t>
      </w:r>
      <w:r>
        <w:rPr>
          <w:kern w:val="0"/>
          <w:sz w:val="24"/>
        </w:rPr>
        <w:t>11</w:t>
      </w:r>
      <w:r>
        <w:rPr>
          <w:kern w:val="0"/>
          <w:sz w:val="24"/>
        </w:rPr>
        <w:t>日（基金合同生效日）至</w:t>
      </w:r>
      <w:r>
        <w:rPr>
          <w:kern w:val="0"/>
          <w:sz w:val="24"/>
        </w:rPr>
        <w:t>2018</w:t>
      </w:r>
      <w:r>
        <w:rPr>
          <w:kern w:val="0"/>
          <w:sz w:val="24"/>
        </w:rPr>
        <w:t>年</w:t>
      </w:r>
      <w:r>
        <w:rPr>
          <w:kern w:val="0"/>
          <w:sz w:val="24"/>
        </w:rPr>
        <w:t>9</w:t>
      </w:r>
      <w:r>
        <w:rPr>
          <w:kern w:val="0"/>
          <w:sz w:val="24"/>
        </w:rPr>
        <w:t>月</w:t>
      </w:r>
      <w:r>
        <w:rPr>
          <w:kern w:val="0"/>
          <w:sz w:val="24"/>
        </w:rPr>
        <w:t>13</w:t>
      </w:r>
      <w:r>
        <w:rPr>
          <w:kern w:val="0"/>
          <w:sz w:val="24"/>
        </w:rPr>
        <w:t>日，支付基金管理人的管理人报酬按前一日基金资产净值</w:t>
      </w:r>
      <w:r>
        <w:rPr>
          <w:kern w:val="0"/>
          <w:sz w:val="24"/>
        </w:rPr>
        <w:t>0.80%</w:t>
      </w:r>
      <w:r>
        <w:rPr>
          <w:kern w:val="0"/>
          <w:sz w:val="24"/>
        </w:rPr>
        <w:t>的年费率计提，逐日累计至每月月底，按月支付。其计算公式为：</w:t>
      </w:r>
    </w:p>
    <w:p w:rsidR="003D270F" w:rsidRDefault="0056124B">
      <w:pPr>
        <w:tabs>
          <w:tab w:val="left" w:pos="426"/>
        </w:tabs>
        <w:spacing w:before="29" w:line="288" w:lineRule="auto"/>
        <w:jc w:val="left"/>
        <w:rPr>
          <w:kern w:val="0"/>
          <w:sz w:val="24"/>
        </w:rPr>
      </w:pPr>
      <w:r>
        <w:rPr>
          <w:kern w:val="0"/>
          <w:sz w:val="24"/>
        </w:rPr>
        <w:t>日管理人报酬＝前一日基金资产净值</w:t>
      </w:r>
      <w:r>
        <w:rPr>
          <w:kern w:val="0"/>
          <w:sz w:val="24"/>
        </w:rPr>
        <w:t>×0.80%÷</w:t>
      </w:r>
      <w:r>
        <w:rPr>
          <w:kern w:val="0"/>
          <w:sz w:val="24"/>
        </w:rPr>
        <w:t>当年天数。</w:t>
      </w:r>
    </w:p>
    <w:p w:rsidR="003D270F" w:rsidRDefault="0056124B">
      <w:pPr>
        <w:tabs>
          <w:tab w:val="left" w:pos="426"/>
        </w:tabs>
        <w:spacing w:before="29" w:line="288" w:lineRule="auto"/>
        <w:jc w:val="left"/>
        <w:rPr>
          <w:kern w:val="0"/>
          <w:sz w:val="24"/>
        </w:rPr>
      </w:pPr>
      <w:r>
        <w:rPr>
          <w:kern w:val="0"/>
          <w:sz w:val="24"/>
        </w:rPr>
        <w:t>根据基金份额持有人大会表决通过的《交银施罗德基金管理有限公司关于交银施罗德丰盈收益债券型证券投资基金基金份额持有人大会表决结果暨决议生效的公告》，自</w:t>
      </w:r>
      <w:r>
        <w:rPr>
          <w:kern w:val="0"/>
          <w:sz w:val="24"/>
        </w:rPr>
        <w:t>2018</w:t>
      </w:r>
      <w:r>
        <w:rPr>
          <w:kern w:val="0"/>
          <w:sz w:val="24"/>
        </w:rPr>
        <w:t>年</w:t>
      </w:r>
      <w:r>
        <w:rPr>
          <w:kern w:val="0"/>
          <w:sz w:val="24"/>
        </w:rPr>
        <w:t>9</w:t>
      </w:r>
      <w:r>
        <w:rPr>
          <w:kern w:val="0"/>
          <w:sz w:val="24"/>
        </w:rPr>
        <w:t>月</w:t>
      </w:r>
      <w:r>
        <w:rPr>
          <w:kern w:val="0"/>
          <w:sz w:val="24"/>
        </w:rPr>
        <w:t>14</w:t>
      </w:r>
      <w:r>
        <w:rPr>
          <w:kern w:val="0"/>
          <w:sz w:val="24"/>
        </w:rPr>
        <w:t>日起，支付基金管理人的管理人报酬按前一日基金资产净值</w:t>
      </w:r>
      <w:r>
        <w:rPr>
          <w:kern w:val="0"/>
          <w:sz w:val="24"/>
        </w:rPr>
        <w:t>0.30%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0.30%÷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36,004.94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69,461.67</w:t>
            </w:r>
          </w:p>
        </w:tc>
      </w:tr>
    </w:tbl>
    <w:p w:rsidR="003D270F" w:rsidRDefault="0056124B">
      <w:pPr>
        <w:tabs>
          <w:tab w:val="left" w:pos="426"/>
        </w:tabs>
        <w:spacing w:before="29" w:line="288" w:lineRule="auto"/>
        <w:jc w:val="left"/>
        <w:rPr>
          <w:kern w:val="0"/>
          <w:sz w:val="24"/>
        </w:rPr>
      </w:pPr>
      <w:r>
        <w:rPr>
          <w:kern w:val="0"/>
          <w:sz w:val="24"/>
        </w:rPr>
        <w:lastRenderedPageBreak/>
        <w:t>注：自</w:t>
      </w:r>
      <w:r>
        <w:rPr>
          <w:kern w:val="0"/>
          <w:sz w:val="24"/>
        </w:rPr>
        <w:t>2014</w:t>
      </w:r>
      <w:r>
        <w:rPr>
          <w:kern w:val="0"/>
          <w:sz w:val="24"/>
        </w:rPr>
        <w:t>年</w:t>
      </w:r>
      <w:r>
        <w:rPr>
          <w:kern w:val="0"/>
          <w:sz w:val="24"/>
        </w:rPr>
        <w:t>8</w:t>
      </w:r>
      <w:r>
        <w:rPr>
          <w:kern w:val="0"/>
          <w:sz w:val="24"/>
        </w:rPr>
        <w:t>月</w:t>
      </w:r>
      <w:r>
        <w:rPr>
          <w:kern w:val="0"/>
          <w:sz w:val="24"/>
        </w:rPr>
        <w:t>11</w:t>
      </w:r>
      <w:r>
        <w:rPr>
          <w:kern w:val="0"/>
          <w:sz w:val="24"/>
        </w:rPr>
        <w:t>日（基金合同生效日）至</w:t>
      </w:r>
      <w:r>
        <w:rPr>
          <w:kern w:val="0"/>
          <w:sz w:val="24"/>
        </w:rPr>
        <w:t>2018</w:t>
      </w:r>
      <w:r>
        <w:rPr>
          <w:kern w:val="0"/>
          <w:sz w:val="24"/>
        </w:rPr>
        <w:t>年</w:t>
      </w:r>
      <w:r>
        <w:rPr>
          <w:kern w:val="0"/>
          <w:sz w:val="24"/>
        </w:rPr>
        <w:t>09</w:t>
      </w:r>
      <w:r>
        <w:rPr>
          <w:kern w:val="0"/>
          <w:sz w:val="24"/>
        </w:rPr>
        <w:t>月</w:t>
      </w:r>
      <w:r>
        <w:rPr>
          <w:kern w:val="0"/>
          <w:sz w:val="24"/>
        </w:rPr>
        <w:t>13</w:t>
      </w:r>
      <w:r>
        <w:rPr>
          <w:kern w:val="0"/>
          <w:sz w:val="24"/>
        </w:rPr>
        <w:t>日，支付基金托管人的托管费按前一日基金资产净值</w:t>
      </w:r>
      <w:r>
        <w:rPr>
          <w:kern w:val="0"/>
          <w:sz w:val="24"/>
        </w:rPr>
        <w:t>0.15%</w:t>
      </w:r>
      <w:r>
        <w:rPr>
          <w:kern w:val="0"/>
          <w:sz w:val="24"/>
        </w:rPr>
        <w:t>的年费率计提，逐日累计至每月月底，按月支付。其计算公式为：</w:t>
      </w:r>
    </w:p>
    <w:p w:rsidR="003D270F" w:rsidRDefault="0056124B">
      <w:pPr>
        <w:tabs>
          <w:tab w:val="left" w:pos="426"/>
        </w:tabs>
        <w:spacing w:before="29" w:line="288" w:lineRule="auto"/>
        <w:jc w:val="left"/>
        <w:rPr>
          <w:kern w:val="0"/>
          <w:sz w:val="24"/>
        </w:rPr>
      </w:pPr>
      <w:r>
        <w:rPr>
          <w:kern w:val="0"/>
          <w:sz w:val="24"/>
        </w:rPr>
        <w:t>日托管费＝前一日基金资产净值</w:t>
      </w:r>
      <w:r>
        <w:rPr>
          <w:kern w:val="0"/>
          <w:sz w:val="24"/>
        </w:rPr>
        <w:t>×0.15%÷</w:t>
      </w:r>
      <w:r>
        <w:rPr>
          <w:kern w:val="0"/>
          <w:sz w:val="24"/>
        </w:rPr>
        <w:t>当年天数。</w:t>
      </w:r>
    </w:p>
    <w:p w:rsidR="003D270F" w:rsidRDefault="0056124B">
      <w:pPr>
        <w:tabs>
          <w:tab w:val="left" w:pos="426"/>
        </w:tabs>
        <w:spacing w:before="29" w:line="288" w:lineRule="auto"/>
        <w:jc w:val="left"/>
        <w:rPr>
          <w:kern w:val="0"/>
          <w:sz w:val="24"/>
        </w:rPr>
      </w:pPr>
      <w:r>
        <w:rPr>
          <w:kern w:val="0"/>
          <w:sz w:val="24"/>
        </w:rPr>
        <w:t>根据基金份额持有人大会表决通过的《交银施罗德基金管理有限公司关于交银施罗德丰盈收益债券型证券投资基金基金份额持有人大会表决结果暨决议生效的公告》，自</w:t>
      </w:r>
      <w:r>
        <w:rPr>
          <w:kern w:val="0"/>
          <w:sz w:val="24"/>
        </w:rPr>
        <w:t>2018</w:t>
      </w:r>
      <w:r>
        <w:rPr>
          <w:kern w:val="0"/>
          <w:sz w:val="24"/>
        </w:rPr>
        <w:t>年</w:t>
      </w:r>
      <w:r>
        <w:rPr>
          <w:kern w:val="0"/>
          <w:sz w:val="24"/>
        </w:rPr>
        <w:t>09</w:t>
      </w:r>
      <w:r>
        <w:rPr>
          <w:kern w:val="0"/>
          <w:sz w:val="24"/>
        </w:rPr>
        <w:t>月</w:t>
      </w:r>
      <w:r>
        <w:rPr>
          <w:kern w:val="0"/>
          <w:sz w:val="24"/>
        </w:rPr>
        <w:t>14</w:t>
      </w:r>
      <w:r>
        <w:rPr>
          <w:kern w:val="0"/>
          <w:sz w:val="24"/>
        </w:rPr>
        <w:t>日起，支付基金托管人</w:t>
      </w:r>
      <w:r>
        <w:rPr>
          <w:kern w:val="0"/>
          <w:sz w:val="24"/>
        </w:rPr>
        <w:t xml:space="preserve"> </w:t>
      </w:r>
      <w:r>
        <w:rPr>
          <w:kern w:val="0"/>
          <w:sz w:val="24"/>
        </w:rPr>
        <w:t>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 xml:space="preserve"> × 0.10%÷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交银丰盈收益债券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交银丰盈收益债券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3D270F">
        <w:tc>
          <w:tcPr>
            <w:tcW w:w="2045" w:type="dxa"/>
            <w:vAlign w:val="center"/>
          </w:tcPr>
          <w:p w:rsidR="003D270F" w:rsidRDefault="0056124B">
            <w:pPr>
              <w:jc w:val="left"/>
            </w:pPr>
            <w:r>
              <w:rPr>
                <w:sz w:val="24"/>
              </w:rPr>
              <w:t>中信银行</w:t>
            </w:r>
          </w:p>
        </w:tc>
        <w:tc>
          <w:tcPr>
            <w:tcW w:w="2455" w:type="dxa"/>
            <w:vAlign w:val="center"/>
          </w:tcPr>
          <w:p w:rsidR="003D270F" w:rsidRDefault="0056124B">
            <w:pPr>
              <w:jc w:val="right"/>
            </w:pPr>
            <w:r>
              <w:rPr>
                <w:sz w:val="24"/>
              </w:rPr>
              <w:t>-</w:t>
            </w:r>
          </w:p>
        </w:tc>
        <w:tc>
          <w:tcPr>
            <w:tcW w:w="2609" w:type="dxa"/>
            <w:vAlign w:val="center"/>
          </w:tcPr>
          <w:p w:rsidR="003D270F" w:rsidRDefault="0056124B">
            <w:pPr>
              <w:jc w:val="right"/>
            </w:pPr>
            <w:r>
              <w:rPr>
                <w:sz w:val="24"/>
              </w:rPr>
              <w:t>-</w:t>
            </w:r>
          </w:p>
        </w:tc>
        <w:tc>
          <w:tcPr>
            <w:tcW w:w="1889" w:type="dxa"/>
            <w:vAlign w:val="center"/>
          </w:tcPr>
          <w:p w:rsidR="003D270F" w:rsidRDefault="0056124B">
            <w:pPr>
              <w:jc w:val="right"/>
            </w:pPr>
            <w:r>
              <w:rPr>
                <w:sz w:val="24"/>
              </w:rPr>
              <w:t>-</w:t>
            </w:r>
          </w:p>
        </w:tc>
      </w:tr>
      <w:tr w:rsidR="003D270F">
        <w:tc>
          <w:tcPr>
            <w:tcW w:w="2045" w:type="dxa"/>
            <w:vAlign w:val="center"/>
          </w:tcPr>
          <w:p w:rsidR="003D270F" w:rsidRDefault="0056124B">
            <w:pPr>
              <w:jc w:val="left"/>
            </w:pPr>
            <w:r>
              <w:rPr>
                <w:sz w:val="24"/>
              </w:rPr>
              <w:t>交通银行</w:t>
            </w:r>
          </w:p>
        </w:tc>
        <w:tc>
          <w:tcPr>
            <w:tcW w:w="2455" w:type="dxa"/>
            <w:vAlign w:val="center"/>
          </w:tcPr>
          <w:p w:rsidR="003D270F" w:rsidRDefault="0056124B">
            <w:pPr>
              <w:jc w:val="right"/>
            </w:pPr>
            <w:r>
              <w:rPr>
                <w:sz w:val="24"/>
              </w:rPr>
              <w:t>-</w:t>
            </w:r>
          </w:p>
        </w:tc>
        <w:tc>
          <w:tcPr>
            <w:tcW w:w="2609" w:type="dxa"/>
            <w:vAlign w:val="center"/>
          </w:tcPr>
          <w:p w:rsidR="003D270F" w:rsidRDefault="0056124B">
            <w:pPr>
              <w:jc w:val="right"/>
            </w:pPr>
            <w:r>
              <w:rPr>
                <w:sz w:val="24"/>
              </w:rPr>
              <w:t>2,974.25</w:t>
            </w:r>
          </w:p>
        </w:tc>
        <w:tc>
          <w:tcPr>
            <w:tcW w:w="1889" w:type="dxa"/>
            <w:vAlign w:val="center"/>
          </w:tcPr>
          <w:p w:rsidR="003D270F" w:rsidRDefault="0056124B">
            <w:pPr>
              <w:jc w:val="right"/>
            </w:pPr>
            <w:r>
              <w:rPr>
                <w:sz w:val="24"/>
              </w:rPr>
              <w:t>2,974.25</w:t>
            </w:r>
          </w:p>
        </w:tc>
      </w:tr>
      <w:tr w:rsidR="003D270F">
        <w:tc>
          <w:tcPr>
            <w:tcW w:w="2045" w:type="dxa"/>
            <w:vAlign w:val="center"/>
          </w:tcPr>
          <w:p w:rsidR="003D270F" w:rsidRDefault="0056124B">
            <w:pPr>
              <w:jc w:val="left"/>
            </w:pPr>
            <w:r>
              <w:rPr>
                <w:sz w:val="24"/>
              </w:rPr>
              <w:t>交银施罗德基金公司</w:t>
            </w:r>
          </w:p>
        </w:tc>
        <w:tc>
          <w:tcPr>
            <w:tcW w:w="2455" w:type="dxa"/>
            <w:vAlign w:val="center"/>
          </w:tcPr>
          <w:p w:rsidR="003D270F" w:rsidRDefault="0056124B">
            <w:pPr>
              <w:jc w:val="right"/>
            </w:pPr>
            <w:r>
              <w:rPr>
                <w:sz w:val="24"/>
              </w:rPr>
              <w:t>-</w:t>
            </w:r>
          </w:p>
        </w:tc>
        <w:tc>
          <w:tcPr>
            <w:tcW w:w="2609" w:type="dxa"/>
            <w:vAlign w:val="center"/>
          </w:tcPr>
          <w:p w:rsidR="003D270F" w:rsidRDefault="0056124B">
            <w:pPr>
              <w:jc w:val="right"/>
            </w:pPr>
            <w:r>
              <w:rPr>
                <w:sz w:val="24"/>
              </w:rPr>
              <w:t>8,165.95</w:t>
            </w:r>
          </w:p>
        </w:tc>
        <w:tc>
          <w:tcPr>
            <w:tcW w:w="1889" w:type="dxa"/>
            <w:vAlign w:val="center"/>
          </w:tcPr>
          <w:p w:rsidR="003D270F" w:rsidRDefault="0056124B">
            <w:pPr>
              <w:jc w:val="right"/>
            </w:pPr>
            <w:r>
              <w:rPr>
                <w:sz w:val="24"/>
              </w:rPr>
              <w:t>8,165.95</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11,140.20</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11,140.20</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交银丰盈收益债券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交银丰盈收益债券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3D270F">
        <w:tc>
          <w:tcPr>
            <w:tcW w:w="2045" w:type="dxa"/>
            <w:vAlign w:val="center"/>
          </w:tcPr>
          <w:p w:rsidR="003D270F" w:rsidRDefault="0056124B">
            <w:pPr>
              <w:jc w:val="left"/>
            </w:pPr>
            <w:r>
              <w:rPr>
                <w:sz w:val="24"/>
              </w:rPr>
              <w:t>中信银行</w:t>
            </w:r>
          </w:p>
        </w:tc>
        <w:tc>
          <w:tcPr>
            <w:tcW w:w="2455" w:type="dxa"/>
            <w:vAlign w:val="center"/>
          </w:tcPr>
          <w:p w:rsidR="003D270F" w:rsidRDefault="0056124B">
            <w:pPr>
              <w:jc w:val="right"/>
            </w:pPr>
            <w:r>
              <w:rPr>
                <w:sz w:val="24"/>
              </w:rPr>
              <w:t>-</w:t>
            </w:r>
          </w:p>
        </w:tc>
        <w:tc>
          <w:tcPr>
            <w:tcW w:w="2609" w:type="dxa"/>
            <w:vAlign w:val="center"/>
          </w:tcPr>
          <w:p w:rsidR="003D270F" w:rsidRDefault="0056124B">
            <w:pPr>
              <w:jc w:val="right"/>
            </w:pPr>
            <w:r>
              <w:rPr>
                <w:sz w:val="24"/>
              </w:rPr>
              <w:t>-</w:t>
            </w:r>
          </w:p>
        </w:tc>
        <w:tc>
          <w:tcPr>
            <w:tcW w:w="1889" w:type="dxa"/>
            <w:vAlign w:val="center"/>
          </w:tcPr>
          <w:p w:rsidR="003D270F" w:rsidRDefault="0056124B">
            <w:pPr>
              <w:jc w:val="right"/>
            </w:pPr>
            <w:r>
              <w:rPr>
                <w:sz w:val="24"/>
              </w:rPr>
              <w:t>-</w:t>
            </w:r>
          </w:p>
        </w:tc>
      </w:tr>
      <w:tr w:rsidR="003D270F">
        <w:tc>
          <w:tcPr>
            <w:tcW w:w="2045" w:type="dxa"/>
            <w:vAlign w:val="center"/>
          </w:tcPr>
          <w:p w:rsidR="003D270F" w:rsidRDefault="0056124B">
            <w:pPr>
              <w:jc w:val="left"/>
            </w:pPr>
            <w:r>
              <w:rPr>
                <w:sz w:val="24"/>
              </w:rPr>
              <w:t>交通银行</w:t>
            </w:r>
          </w:p>
        </w:tc>
        <w:tc>
          <w:tcPr>
            <w:tcW w:w="2455" w:type="dxa"/>
            <w:vAlign w:val="center"/>
          </w:tcPr>
          <w:p w:rsidR="003D270F" w:rsidRDefault="0056124B">
            <w:pPr>
              <w:jc w:val="right"/>
            </w:pPr>
            <w:r>
              <w:rPr>
                <w:sz w:val="24"/>
              </w:rPr>
              <w:t>-</w:t>
            </w:r>
          </w:p>
        </w:tc>
        <w:tc>
          <w:tcPr>
            <w:tcW w:w="2609" w:type="dxa"/>
            <w:vAlign w:val="center"/>
          </w:tcPr>
          <w:p w:rsidR="003D270F" w:rsidRDefault="0056124B">
            <w:pPr>
              <w:jc w:val="right"/>
            </w:pPr>
            <w:r>
              <w:rPr>
                <w:sz w:val="24"/>
              </w:rPr>
              <w:t>3,970.99</w:t>
            </w:r>
          </w:p>
        </w:tc>
        <w:tc>
          <w:tcPr>
            <w:tcW w:w="1889" w:type="dxa"/>
            <w:vAlign w:val="center"/>
          </w:tcPr>
          <w:p w:rsidR="003D270F" w:rsidRDefault="0056124B">
            <w:pPr>
              <w:jc w:val="right"/>
            </w:pPr>
            <w:r>
              <w:rPr>
                <w:sz w:val="24"/>
              </w:rPr>
              <w:t>3,970.99</w:t>
            </w:r>
          </w:p>
        </w:tc>
      </w:tr>
      <w:tr w:rsidR="003D270F">
        <w:tc>
          <w:tcPr>
            <w:tcW w:w="2045" w:type="dxa"/>
            <w:vAlign w:val="center"/>
          </w:tcPr>
          <w:p w:rsidR="003D270F" w:rsidRDefault="0056124B">
            <w:pPr>
              <w:jc w:val="left"/>
            </w:pPr>
            <w:r>
              <w:rPr>
                <w:sz w:val="24"/>
              </w:rPr>
              <w:t>交银施罗德基金公司</w:t>
            </w:r>
          </w:p>
        </w:tc>
        <w:tc>
          <w:tcPr>
            <w:tcW w:w="2455" w:type="dxa"/>
            <w:vAlign w:val="center"/>
          </w:tcPr>
          <w:p w:rsidR="003D270F" w:rsidRDefault="0056124B">
            <w:pPr>
              <w:jc w:val="right"/>
            </w:pPr>
            <w:r>
              <w:rPr>
                <w:sz w:val="24"/>
              </w:rPr>
              <w:t>-</w:t>
            </w:r>
          </w:p>
        </w:tc>
        <w:tc>
          <w:tcPr>
            <w:tcW w:w="2609" w:type="dxa"/>
            <w:vAlign w:val="center"/>
          </w:tcPr>
          <w:p w:rsidR="003D270F" w:rsidRDefault="0056124B">
            <w:pPr>
              <w:jc w:val="right"/>
            </w:pPr>
            <w:r>
              <w:rPr>
                <w:sz w:val="24"/>
              </w:rPr>
              <w:t>41,614.26</w:t>
            </w:r>
          </w:p>
        </w:tc>
        <w:tc>
          <w:tcPr>
            <w:tcW w:w="1889" w:type="dxa"/>
            <w:vAlign w:val="center"/>
          </w:tcPr>
          <w:p w:rsidR="003D270F" w:rsidRDefault="0056124B">
            <w:pPr>
              <w:jc w:val="right"/>
            </w:pPr>
            <w:r>
              <w:rPr>
                <w:sz w:val="24"/>
              </w:rPr>
              <w:t>41,614.26</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45,585.25</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45,585.25</w:t>
            </w:r>
          </w:p>
        </w:tc>
      </w:tr>
    </w:tbl>
    <w:p w:rsidR="003D270F" w:rsidRDefault="0056124B">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×0.40%÷ </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lastRenderedPageBreak/>
        <w:t>本基金本报告期内及上年度可比期间未发生与关联方进行银行间同业市场的债券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w:t>
      </w:r>
      <w:r w:rsidR="00F45862">
        <w:rPr>
          <w:rFonts w:hint="eastAsia"/>
          <w:kern w:val="0"/>
          <w:sz w:val="24"/>
        </w:rPr>
        <w:t>持有</w:t>
      </w:r>
      <w:r w:rsidRPr="009E3E5B">
        <w:rPr>
          <w:kern w:val="0"/>
          <w:sz w:val="24"/>
        </w:rPr>
        <w:t>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3D270F">
        <w:tc>
          <w:tcPr>
            <w:tcW w:w="2268" w:type="dxa"/>
            <w:vAlign w:val="center"/>
          </w:tcPr>
          <w:p w:rsidR="003D270F" w:rsidRDefault="0056124B">
            <w:pPr>
              <w:jc w:val="left"/>
            </w:pPr>
            <w:r>
              <w:rPr>
                <w:szCs w:val="21"/>
              </w:rPr>
              <w:t>中信银行</w:t>
            </w:r>
          </w:p>
        </w:tc>
        <w:tc>
          <w:tcPr>
            <w:tcW w:w="1683" w:type="dxa"/>
            <w:vAlign w:val="center"/>
          </w:tcPr>
          <w:p w:rsidR="003D270F" w:rsidRDefault="0056124B">
            <w:pPr>
              <w:jc w:val="right"/>
            </w:pPr>
            <w:r>
              <w:rPr>
                <w:szCs w:val="21"/>
              </w:rPr>
              <w:t>170,564.90</w:t>
            </w:r>
          </w:p>
        </w:tc>
        <w:tc>
          <w:tcPr>
            <w:tcW w:w="1683" w:type="dxa"/>
            <w:vAlign w:val="center"/>
          </w:tcPr>
          <w:p w:rsidR="003D270F" w:rsidRDefault="0056124B">
            <w:pPr>
              <w:jc w:val="right"/>
            </w:pPr>
            <w:r>
              <w:rPr>
                <w:szCs w:val="21"/>
              </w:rPr>
              <w:t>10,339.28</w:t>
            </w:r>
          </w:p>
        </w:tc>
        <w:tc>
          <w:tcPr>
            <w:tcW w:w="1683" w:type="dxa"/>
            <w:vAlign w:val="center"/>
          </w:tcPr>
          <w:p w:rsidR="003D270F" w:rsidRDefault="0056124B">
            <w:pPr>
              <w:jc w:val="right"/>
            </w:pPr>
            <w:r>
              <w:rPr>
                <w:szCs w:val="21"/>
              </w:rPr>
              <w:t>76,484.35</w:t>
            </w:r>
          </w:p>
        </w:tc>
        <w:tc>
          <w:tcPr>
            <w:tcW w:w="1683" w:type="dxa"/>
            <w:vAlign w:val="center"/>
          </w:tcPr>
          <w:p w:rsidR="003D270F" w:rsidRDefault="0056124B">
            <w:pPr>
              <w:jc w:val="right"/>
            </w:pPr>
            <w:r>
              <w:rPr>
                <w:szCs w:val="21"/>
              </w:rPr>
              <w:t>8,559.98</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F6B95" w:rsidRDefault="001A59F9" w:rsidP="009F6B95">
      <w:pPr>
        <w:tabs>
          <w:tab w:val="left" w:pos="426"/>
        </w:tabs>
        <w:spacing w:before="29" w:line="288" w:lineRule="auto"/>
        <w:jc w:val="left"/>
        <w:rPr>
          <w:kern w:val="0"/>
          <w:sz w:val="24"/>
        </w:rPr>
      </w:pPr>
      <w:r w:rsidRPr="009F6B95">
        <w:rPr>
          <w:kern w:val="0"/>
          <w:sz w:val="24"/>
        </w:rPr>
        <w:lastRenderedPageBreak/>
        <w:t>本基金本报告期末无从事债券正回购交易形成的卖出回购证券款余额。</w:t>
      </w: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3D270F" w:rsidRDefault="0056124B">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Pr>
          <w:kern w:val="0"/>
          <w:sz w:val="24"/>
        </w:rPr>
        <w:t>AA</w:t>
      </w:r>
      <w:r>
        <w:rPr>
          <w:kern w:val="0"/>
          <w:sz w:val="24"/>
        </w:rPr>
        <w:t>级（含）以上。本基金不直接在二级市场买入股票、权证等权益类资产，也不参与一级市场新股申购和新股增发。同时本基金不参与可转换债券投资（分离交易可转债的纯债部分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3D270F" w:rsidRDefault="0056124B">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3D270F" w:rsidRDefault="0056124B">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3D270F" w:rsidRDefault="0056124B">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3D270F" w:rsidRDefault="0056124B">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w:t>
      </w:r>
      <w:r>
        <w:rPr>
          <w:kern w:val="0"/>
          <w:sz w:val="24"/>
        </w:rPr>
        <w:lastRenderedPageBreak/>
        <w:t>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090EBB"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本基金的基金管理人建立了信用风险管理流程，通过对投资品种信用等级评估来控制证券发行人的信用风险，且通过分散化投资以分散信用风险。于</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日，本基金</w:t>
      </w:r>
      <w:r w:rsidRPr="00BC3A33">
        <w:rPr>
          <w:rFonts w:hint="eastAsia"/>
          <w:kern w:val="0"/>
          <w:sz w:val="24"/>
        </w:rPr>
        <w:t>未持有信用类债券</w:t>
      </w:r>
      <w:r w:rsidRPr="00993BF6">
        <w:rPr>
          <w:kern w:val="0"/>
          <w:sz w:val="24"/>
        </w:rPr>
        <w:t>（</w:t>
      </w:r>
      <w:r w:rsidRPr="00993BF6">
        <w:rPr>
          <w:kern w:val="0"/>
          <w:sz w:val="24"/>
        </w:rPr>
        <w:t>2018</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日：无）。</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3D270F" w:rsidRDefault="0056124B">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D270F" w:rsidRDefault="0056124B">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D270F" w:rsidRDefault="0056124B">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3D270F" w:rsidRDefault="0056124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3D270F" w:rsidRDefault="0056124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w:t>
      </w:r>
      <w:r>
        <w:rPr>
          <w:rFonts w:eastAsiaTheme="minorEastAsia"/>
          <w:color w:val="000000" w:themeColor="text1"/>
          <w:kern w:val="0"/>
          <w:szCs w:val="21"/>
        </w:rPr>
        <w:lastRenderedPageBreak/>
        <w:t>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3D270F" w:rsidRDefault="0056124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3D270F" w:rsidRDefault="0056124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3D270F" w:rsidRDefault="0056124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3D270F" w:rsidRDefault="0056124B">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D270F" w:rsidRDefault="0056124B">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3D270F">
        <w:tc>
          <w:tcPr>
            <w:tcW w:w="1499" w:type="dxa"/>
            <w:vAlign w:val="center"/>
          </w:tcPr>
          <w:p w:rsidR="003D270F" w:rsidRDefault="0056124B">
            <w:pPr>
              <w:jc w:val="center"/>
            </w:pPr>
            <w:r>
              <w:rPr>
                <w:color w:val="000000"/>
                <w:sz w:val="18"/>
                <w:szCs w:val="18"/>
              </w:rPr>
              <w:t>银行存款</w:t>
            </w:r>
          </w:p>
        </w:tc>
        <w:tc>
          <w:tcPr>
            <w:tcW w:w="1499" w:type="dxa"/>
            <w:vAlign w:val="center"/>
          </w:tcPr>
          <w:p w:rsidR="003D270F" w:rsidRDefault="0056124B">
            <w:pPr>
              <w:jc w:val="right"/>
            </w:pPr>
            <w:r>
              <w:rPr>
                <w:color w:val="000000"/>
                <w:sz w:val="18"/>
                <w:szCs w:val="18"/>
              </w:rPr>
              <w:t>170,564.90</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170,564.90</w:t>
            </w:r>
          </w:p>
        </w:tc>
      </w:tr>
      <w:tr w:rsidR="003D270F">
        <w:tc>
          <w:tcPr>
            <w:tcW w:w="1499" w:type="dxa"/>
            <w:vAlign w:val="center"/>
          </w:tcPr>
          <w:p w:rsidR="003D270F" w:rsidRDefault="0056124B">
            <w:pPr>
              <w:jc w:val="center"/>
            </w:pPr>
            <w:r>
              <w:rPr>
                <w:color w:val="000000"/>
                <w:sz w:val="18"/>
                <w:szCs w:val="18"/>
              </w:rPr>
              <w:t>结算备付金</w:t>
            </w:r>
          </w:p>
        </w:tc>
        <w:tc>
          <w:tcPr>
            <w:tcW w:w="1499" w:type="dxa"/>
            <w:vAlign w:val="center"/>
          </w:tcPr>
          <w:p w:rsidR="003D270F" w:rsidRDefault="0056124B">
            <w:pPr>
              <w:jc w:val="right"/>
            </w:pPr>
            <w:r>
              <w:rPr>
                <w:color w:val="000000"/>
                <w:sz w:val="18"/>
                <w:szCs w:val="18"/>
              </w:rPr>
              <w:t>396,839.52</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396,839.52</w:t>
            </w:r>
          </w:p>
        </w:tc>
      </w:tr>
      <w:tr w:rsidR="003D270F">
        <w:tc>
          <w:tcPr>
            <w:tcW w:w="1499" w:type="dxa"/>
            <w:vAlign w:val="center"/>
          </w:tcPr>
          <w:p w:rsidR="003D270F" w:rsidRDefault="0056124B">
            <w:pPr>
              <w:jc w:val="center"/>
            </w:pPr>
            <w:r>
              <w:rPr>
                <w:color w:val="000000"/>
                <w:sz w:val="18"/>
                <w:szCs w:val="18"/>
              </w:rPr>
              <w:t>存出保证金</w:t>
            </w:r>
          </w:p>
        </w:tc>
        <w:tc>
          <w:tcPr>
            <w:tcW w:w="1499" w:type="dxa"/>
            <w:vAlign w:val="center"/>
          </w:tcPr>
          <w:p w:rsidR="003D270F" w:rsidRDefault="0056124B">
            <w:pPr>
              <w:jc w:val="right"/>
            </w:pPr>
            <w:r>
              <w:rPr>
                <w:color w:val="000000"/>
                <w:sz w:val="18"/>
                <w:szCs w:val="18"/>
              </w:rPr>
              <w:t>2,378.15</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2,378.15</w:t>
            </w:r>
          </w:p>
        </w:tc>
      </w:tr>
      <w:tr w:rsidR="003D270F">
        <w:tc>
          <w:tcPr>
            <w:tcW w:w="1499" w:type="dxa"/>
            <w:vAlign w:val="center"/>
          </w:tcPr>
          <w:p w:rsidR="003D270F" w:rsidRDefault="0056124B">
            <w:pPr>
              <w:jc w:val="center"/>
            </w:pPr>
            <w:r>
              <w:rPr>
                <w:color w:val="000000"/>
                <w:sz w:val="18"/>
                <w:szCs w:val="18"/>
              </w:rPr>
              <w:t>交易性金融资产</w:t>
            </w:r>
          </w:p>
        </w:tc>
        <w:tc>
          <w:tcPr>
            <w:tcW w:w="1499" w:type="dxa"/>
            <w:vAlign w:val="center"/>
          </w:tcPr>
          <w:p w:rsidR="003D270F" w:rsidRDefault="0056124B">
            <w:pPr>
              <w:jc w:val="right"/>
            </w:pPr>
            <w:r>
              <w:rPr>
                <w:color w:val="000000"/>
                <w:sz w:val="18"/>
                <w:szCs w:val="18"/>
              </w:rPr>
              <w:t>3,398,250.00</w:t>
            </w:r>
          </w:p>
        </w:tc>
        <w:tc>
          <w:tcPr>
            <w:tcW w:w="1500" w:type="dxa"/>
            <w:vAlign w:val="center"/>
          </w:tcPr>
          <w:p w:rsidR="003D270F" w:rsidRDefault="0056124B">
            <w:pPr>
              <w:jc w:val="right"/>
            </w:pPr>
            <w:r>
              <w:rPr>
                <w:color w:val="000000"/>
                <w:sz w:val="18"/>
                <w:szCs w:val="18"/>
              </w:rPr>
              <w:t>33,995,586.10</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37,393,836.10</w:t>
            </w:r>
          </w:p>
        </w:tc>
      </w:tr>
      <w:tr w:rsidR="003D270F">
        <w:tc>
          <w:tcPr>
            <w:tcW w:w="1499" w:type="dxa"/>
            <w:vAlign w:val="center"/>
          </w:tcPr>
          <w:p w:rsidR="003D270F" w:rsidRDefault="0056124B">
            <w:pPr>
              <w:jc w:val="center"/>
            </w:pPr>
            <w:r>
              <w:rPr>
                <w:color w:val="000000"/>
                <w:sz w:val="18"/>
                <w:szCs w:val="18"/>
              </w:rPr>
              <w:t>应收证券清算款</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305,425.62</w:t>
            </w:r>
          </w:p>
        </w:tc>
        <w:tc>
          <w:tcPr>
            <w:tcW w:w="1500" w:type="dxa"/>
            <w:vAlign w:val="center"/>
          </w:tcPr>
          <w:p w:rsidR="003D270F" w:rsidRDefault="0056124B">
            <w:pPr>
              <w:jc w:val="right"/>
            </w:pPr>
            <w:r>
              <w:rPr>
                <w:color w:val="000000"/>
                <w:sz w:val="18"/>
                <w:szCs w:val="18"/>
              </w:rPr>
              <w:t>305,425.62</w:t>
            </w:r>
          </w:p>
        </w:tc>
      </w:tr>
      <w:tr w:rsidR="003D270F">
        <w:tc>
          <w:tcPr>
            <w:tcW w:w="1499" w:type="dxa"/>
            <w:vAlign w:val="center"/>
          </w:tcPr>
          <w:p w:rsidR="003D270F" w:rsidRDefault="0056124B">
            <w:pPr>
              <w:jc w:val="center"/>
            </w:pPr>
            <w:r>
              <w:rPr>
                <w:color w:val="000000"/>
                <w:sz w:val="18"/>
                <w:szCs w:val="18"/>
              </w:rPr>
              <w:t>应收利息</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673,239.31</w:t>
            </w:r>
          </w:p>
        </w:tc>
        <w:tc>
          <w:tcPr>
            <w:tcW w:w="1500" w:type="dxa"/>
            <w:vAlign w:val="center"/>
          </w:tcPr>
          <w:p w:rsidR="003D270F" w:rsidRDefault="0056124B">
            <w:pPr>
              <w:jc w:val="right"/>
            </w:pPr>
            <w:r>
              <w:rPr>
                <w:color w:val="000000"/>
                <w:sz w:val="18"/>
                <w:szCs w:val="18"/>
              </w:rPr>
              <w:t>673,239.31</w:t>
            </w:r>
          </w:p>
        </w:tc>
      </w:tr>
      <w:tr w:rsidR="003D270F">
        <w:tc>
          <w:tcPr>
            <w:tcW w:w="1499" w:type="dxa"/>
            <w:vAlign w:val="center"/>
          </w:tcPr>
          <w:p w:rsidR="003D270F" w:rsidRDefault="0056124B">
            <w:pPr>
              <w:jc w:val="center"/>
            </w:pPr>
            <w:r>
              <w:rPr>
                <w:color w:val="000000"/>
                <w:sz w:val="18"/>
                <w:szCs w:val="18"/>
              </w:rPr>
              <w:t>应收申购款</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10,706.00</w:t>
            </w:r>
          </w:p>
        </w:tc>
        <w:tc>
          <w:tcPr>
            <w:tcW w:w="1500" w:type="dxa"/>
            <w:vAlign w:val="center"/>
          </w:tcPr>
          <w:p w:rsidR="003D270F" w:rsidRDefault="0056124B">
            <w:pPr>
              <w:jc w:val="right"/>
            </w:pPr>
            <w:r>
              <w:rPr>
                <w:color w:val="000000"/>
                <w:sz w:val="18"/>
                <w:szCs w:val="18"/>
              </w:rPr>
              <w:t>10,706.00</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3,968,032.57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33,995,586.10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989,370.93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38,952,989.60</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3D270F">
        <w:tc>
          <w:tcPr>
            <w:tcW w:w="1499" w:type="dxa"/>
            <w:vAlign w:val="center"/>
          </w:tcPr>
          <w:p w:rsidR="003D270F" w:rsidRDefault="0056124B">
            <w:pPr>
              <w:jc w:val="center"/>
            </w:pPr>
            <w:r>
              <w:rPr>
                <w:color w:val="000000"/>
                <w:sz w:val="18"/>
                <w:szCs w:val="18"/>
              </w:rPr>
              <w:t>应付赎回款</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62,896.59</w:t>
            </w:r>
          </w:p>
        </w:tc>
        <w:tc>
          <w:tcPr>
            <w:tcW w:w="1500" w:type="dxa"/>
            <w:vAlign w:val="center"/>
          </w:tcPr>
          <w:p w:rsidR="003D270F" w:rsidRDefault="0056124B">
            <w:pPr>
              <w:jc w:val="right"/>
            </w:pPr>
            <w:r>
              <w:rPr>
                <w:color w:val="000000"/>
                <w:sz w:val="18"/>
                <w:szCs w:val="18"/>
              </w:rPr>
              <w:t>62,896.59</w:t>
            </w:r>
          </w:p>
        </w:tc>
      </w:tr>
      <w:tr w:rsidR="003D270F">
        <w:tc>
          <w:tcPr>
            <w:tcW w:w="1499" w:type="dxa"/>
            <w:vAlign w:val="center"/>
          </w:tcPr>
          <w:p w:rsidR="003D270F" w:rsidRDefault="0056124B">
            <w:pPr>
              <w:jc w:val="center"/>
            </w:pPr>
            <w:r>
              <w:rPr>
                <w:color w:val="000000"/>
                <w:sz w:val="18"/>
                <w:szCs w:val="18"/>
              </w:rPr>
              <w:t>应付管理人报酬</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11,029.87</w:t>
            </w:r>
          </w:p>
        </w:tc>
        <w:tc>
          <w:tcPr>
            <w:tcW w:w="1500" w:type="dxa"/>
            <w:vAlign w:val="center"/>
          </w:tcPr>
          <w:p w:rsidR="003D270F" w:rsidRDefault="0056124B">
            <w:pPr>
              <w:jc w:val="right"/>
            </w:pPr>
            <w:r>
              <w:rPr>
                <w:color w:val="000000"/>
                <w:sz w:val="18"/>
                <w:szCs w:val="18"/>
              </w:rPr>
              <w:t>11,029.87</w:t>
            </w:r>
          </w:p>
        </w:tc>
      </w:tr>
      <w:tr w:rsidR="003D270F">
        <w:tc>
          <w:tcPr>
            <w:tcW w:w="1499" w:type="dxa"/>
            <w:vAlign w:val="center"/>
          </w:tcPr>
          <w:p w:rsidR="003D270F" w:rsidRDefault="0056124B">
            <w:pPr>
              <w:jc w:val="center"/>
            </w:pPr>
            <w:r>
              <w:rPr>
                <w:color w:val="000000"/>
                <w:sz w:val="18"/>
                <w:szCs w:val="18"/>
              </w:rPr>
              <w:t>应付托管费</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3,676.64</w:t>
            </w:r>
          </w:p>
        </w:tc>
        <w:tc>
          <w:tcPr>
            <w:tcW w:w="1500" w:type="dxa"/>
            <w:vAlign w:val="center"/>
          </w:tcPr>
          <w:p w:rsidR="003D270F" w:rsidRDefault="0056124B">
            <w:pPr>
              <w:jc w:val="right"/>
            </w:pPr>
            <w:r>
              <w:rPr>
                <w:color w:val="000000"/>
                <w:sz w:val="18"/>
                <w:szCs w:val="18"/>
              </w:rPr>
              <w:t>3,676.64</w:t>
            </w:r>
          </w:p>
        </w:tc>
      </w:tr>
      <w:tr w:rsidR="003D270F">
        <w:tc>
          <w:tcPr>
            <w:tcW w:w="1499" w:type="dxa"/>
            <w:vAlign w:val="center"/>
          </w:tcPr>
          <w:p w:rsidR="003D270F" w:rsidRDefault="0056124B">
            <w:pPr>
              <w:jc w:val="center"/>
            </w:pPr>
            <w:r>
              <w:rPr>
                <w:color w:val="000000"/>
                <w:sz w:val="18"/>
                <w:szCs w:val="18"/>
              </w:rPr>
              <w:t>应付销售服务费</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2,820.92</w:t>
            </w:r>
          </w:p>
        </w:tc>
        <w:tc>
          <w:tcPr>
            <w:tcW w:w="1500" w:type="dxa"/>
            <w:vAlign w:val="center"/>
          </w:tcPr>
          <w:p w:rsidR="003D270F" w:rsidRDefault="0056124B">
            <w:pPr>
              <w:jc w:val="right"/>
            </w:pPr>
            <w:r>
              <w:rPr>
                <w:color w:val="000000"/>
                <w:sz w:val="18"/>
                <w:szCs w:val="18"/>
              </w:rPr>
              <w:t>2,820.92</w:t>
            </w:r>
          </w:p>
        </w:tc>
      </w:tr>
      <w:tr w:rsidR="003D270F">
        <w:tc>
          <w:tcPr>
            <w:tcW w:w="1499" w:type="dxa"/>
            <w:vAlign w:val="center"/>
          </w:tcPr>
          <w:p w:rsidR="003D270F" w:rsidRDefault="0056124B">
            <w:pPr>
              <w:jc w:val="center"/>
            </w:pPr>
            <w:r>
              <w:rPr>
                <w:color w:val="000000"/>
                <w:sz w:val="18"/>
                <w:szCs w:val="18"/>
              </w:rPr>
              <w:t>应付交易费用</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123.90</w:t>
            </w:r>
          </w:p>
        </w:tc>
        <w:tc>
          <w:tcPr>
            <w:tcW w:w="1500" w:type="dxa"/>
            <w:vAlign w:val="center"/>
          </w:tcPr>
          <w:p w:rsidR="003D270F" w:rsidRDefault="0056124B">
            <w:pPr>
              <w:jc w:val="right"/>
            </w:pPr>
            <w:r>
              <w:rPr>
                <w:color w:val="000000"/>
                <w:sz w:val="18"/>
                <w:szCs w:val="18"/>
              </w:rPr>
              <w:t>123.90</w:t>
            </w:r>
          </w:p>
        </w:tc>
      </w:tr>
      <w:tr w:rsidR="003D270F">
        <w:tc>
          <w:tcPr>
            <w:tcW w:w="1499" w:type="dxa"/>
            <w:vAlign w:val="center"/>
          </w:tcPr>
          <w:p w:rsidR="003D270F" w:rsidRDefault="0056124B">
            <w:pPr>
              <w:jc w:val="center"/>
            </w:pPr>
            <w:r>
              <w:rPr>
                <w:color w:val="000000"/>
                <w:sz w:val="18"/>
                <w:szCs w:val="18"/>
              </w:rPr>
              <w:t>应交税费</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111.48</w:t>
            </w:r>
          </w:p>
        </w:tc>
        <w:tc>
          <w:tcPr>
            <w:tcW w:w="1500" w:type="dxa"/>
            <w:vAlign w:val="center"/>
          </w:tcPr>
          <w:p w:rsidR="003D270F" w:rsidRDefault="0056124B">
            <w:pPr>
              <w:jc w:val="right"/>
            </w:pPr>
            <w:r>
              <w:rPr>
                <w:color w:val="000000"/>
                <w:sz w:val="18"/>
                <w:szCs w:val="18"/>
              </w:rPr>
              <w:t>111.48</w:t>
            </w:r>
          </w:p>
        </w:tc>
      </w:tr>
      <w:tr w:rsidR="003D270F">
        <w:tc>
          <w:tcPr>
            <w:tcW w:w="1499" w:type="dxa"/>
            <w:vAlign w:val="center"/>
          </w:tcPr>
          <w:p w:rsidR="003D270F" w:rsidRDefault="0056124B">
            <w:pPr>
              <w:jc w:val="center"/>
            </w:pPr>
            <w:r>
              <w:rPr>
                <w:color w:val="000000"/>
                <w:sz w:val="18"/>
                <w:szCs w:val="18"/>
              </w:rPr>
              <w:t>其他负债</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59,500.00</w:t>
            </w:r>
          </w:p>
        </w:tc>
        <w:tc>
          <w:tcPr>
            <w:tcW w:w="1500" w:type="dxa"/>
            <w:vAlign w:val="center"/>
          </w:tcPr>
          <w:p w:rsidR="003D270F" w:rsidRDefault="0056124B">
            <w:pPr>
              <w:jc w:val="right"/>
            </w:pPr>
            <w:r>
              <w:rPr>
                <w:color w:val="000000"/>
                <w:sz w:val="18"/>
                <w:szCs w:val="18"/>
              </w:rPr>
              <w:t>59,500.00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140,159.40</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140,159.40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3,968,032.57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33,995,586.10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849,211.53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38,812,830.20</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3D270F">
        <w:tc>
          <w:tcPr>
            <w:tcW w:w="1499" w:type="dxa"/>
            <w:vAlign w:val="center"/>
          </w:tcPr>
          <w:p w:rsidR="003D270F" w:rsidRDefault="0056124B">
            <w:pPr>
              <w:jc w:val="center"/>
            </w:pPr>
            <w:r>
              <w:rPr>
                <w:color w:val="000000"/>
                <w:sz w:val="18"/>
                <w:szCs w:val="18"/>
              </w:rPr>
              <w:t>银行存款</w:t>
            </w:r>
          </w:p>
        </w:tc>
        <w:tc>
          <w:tcPr>
            <w:tcW w:w="1499" w:type="dxa"/>
            <w:vAlign w:val="center"/>
          </w:tcPr>
          <w:p w:rsidR="003D270F" w:rsidRDefault="0056124B">
            <w:pPr>
              <w:jc w:val="right"/>
            </w:pPr>
            <w:r>
              <w:rPr>
                <w:color w:val="000000"/>
                <w:sz w:val="18"/>
                <w:szCs w:val="18"/>
              </w:rPr>
              <w:t>76,484.35</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76,484.35</w:t>
            </w:r>
          </w:p>
        </w:tc>
      </w:tr>
      <w:tr w:rsidR="003D270F">
        <w:tc>
          <w:tcPr>
            <w:tcW w:w="1499" w:type="dxa"/>
            <w:vAlign w:val="center"/>
          </w:tcPr>
          <w:p w:rsidR="003D270F" w:rsidRDefault="0056124B">
            <w:pPr>
              <w:jc w:val="center"/>
            </w:pPr>
            <w:r>
              <w:rPr>
                <w:color w:val="000000"/>
                <w:sz w:val="18"/>
                <w:szCs w:val="18"/>
              </w:rPr>
              <w:t>结算备付金</w:t>
            </w:r>
          </w:p>
        </w:tc>
        <w:tc>
          <w:tcPr>
            <w:tcW w:w="1499" w:type="dxa"/>
            <w:vAlign w:val="center"/>
          </w:tcPr>
          <w:p w:rsidR="003D270F" w:rsidRDefault="0056124B">
            <w:pPr>
              <w:jc w:val="right"/>
            </w:pPr>
            <w:r>
              <w:rPr>
                <w:color w:val="000000"/>
                <w:sz w:val="18"/>
                <w:szCs w:val="18"/>
              </w:rPr>
              <w:t>66,824.57</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66,824.57</w:t>
            </w:r>
          </w:p>
        </w:tc>
      </w:tr>
      <w:tr w:rsidR="003D270F">
        <w:tc>
          <w:tcPr>
            <w:tcW w:w="1499" w:type="dxa"/>
            <w:vAlign w:val="center"/>
          </w:tcPr>
          <w:p w:rsidR="003D270F" w:rsidRDefault="0056124B">
            <w:pPr>
              <w:jc w:val="center"/>
            </w:pPr>
            <w:r>
              <w:rPr>
                <w:color w:val="000000"/>
                <w:sz w:val="18"/>
                <w:szCs w:val="18"/>
              </w:rPr>
              <w:t>存出保证金</w:t>
            </w:r>
          </w:p>
        </w:tc>
        <w:tc>
          <w:tcPr>
            <w:tcW w:w="1499" w:type="dxa"/>
            <w:vAlign w:val="center"/>
          </w:tcPr>
          <w:p w:rsidR="003D270F" w:rsidRDefault="0056124B">
            <w:pPr>
              <w:jc w:val="right"/>
            </w:pPr>
            <w:r>
              <w:rPr>
                <w:color w:val="000000"/>
                <w:sz w:val="18"/>
                <w:szCs w:val="18"/>
              </w:rPr>
              <w:t>5,114.07</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5,114.07</w:t>
            </w:r>
          </w:p>
        </w:tc>
      </w:tr>
      <w:tr w:rsidR="003D270F">
        <w:tc>
          <w:tcPr>
            <w:tcW w:w="1499" w:type="dxa"/>
            <w:vAlign w:val="center"/>
          </w:tcPr>
          <w:p w:rsidR="003D270F" w:rsidRDefault="0056124B">
            <w:pPr>
              <w:jc w:val="center"/>
            </w:pPr>
            <w:r>
              <w:rPr>
                <w:color w:val="000000"/>
                <w:sz w:val="18"/>
                <w:szCs w:val="18"/>
              </w:rPr>
              <w:t>交易性金融资产</w:t>
            </w:r>
          </w:p>
        </w:tc>
        <w:tc>
          <w:tcPr>
            <w:tcW w:w="1499" w:type="dxa"/>
            <w:vAlign w:val="center"/>
          </w:tcPr>
          <w:p w:rsidR="003D270F" w:rsidRDefault="0056124B">
            <w:pPr>
              <w:jc w:val="right"/>
            </w:pPr>
            <w:r>
              <w:rPr>
                <w:color w:val="000000"/>
                <w:sz w:val="18"/>
                <w:szCs w:val="18"/>
              </w:rPr>
              <w:t>28,891,566.00</w:t>
            </w:r>
          </w:p>
        </w:tc>
        <w:tc>
          <w:tcPr>
            <w:tcW w:w="1500" w:type="dxa"/>
            <w:vAlign w:val="center"/>
          </w:tcPr>
          <w:p w:rsidR="003D270F" w:rsidRDefault="0056124B">
            <w:pPr>
              <w:jc w:val="right"/>
            </w:pPr>
            <w:r>
              <w:rPr>
                <w:color w:val="000000"/>
                <w:sz w:val="18"/>
                <w:szCs w:val="18"/>
              </w:rPr>
              <w:t>3,063,000.00</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31,954,566.00</w:t>
            </w:r>
          </w:p>
        </w:tc>
      </w:tr>
      <w:tr w:rsidR="003D270F">
        <w:tc>
          <w:tcPr>
            <w:tcW w:w="1499" w:type="dxa"/>
            <w:vAlign w:val="center"/>
          </w:tcPr>
          <w:p w:rsidR="003D270F" w:rsidRDefault="0056124B">
            <w:pPr>
              <w:jc w:val="center"/>
            </w:pPr>
            <w:r>
              <w:rPr>
                <w:color w:val="000000"/>
                <w:sz w:val="18"/>
                <w:szCs w:val="18"/>
              </w:rPr>
              <w:t>买入返售金融资产</w:t>
            </w:r>
          </w:p>
        </w:tc>
        <w:tc>
          <w:tcPr>
            <w:tcW w:w="1499" w:type="dxa"/>
            <w:vAlign w:val="center"/>
          </w:tcPr>
          <w:p w:rsidR="003D270F" w:rsidRDefault="0056124B">
            <w:pPr>
              <w:jc w:val="right"/>
            </w:pPr>
            <w:r>
              <w:rPr>
                <w:color w:val="000000"/>
                <w:sz w:val="18"/>
                <w:szCs w:val="18"/>
              </w:rPr>
              <w:t>300,000.00</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300,000.00</w:t>
            </w:r>
          </w:p>
        </w:tc>
      </w:tr>
      <w:tr w:rsidR="003D270F">
        <w:tc>
          <w:tcPr>
            <w:tcW w:w="1499" w:type="dxa"/>
            <w:vAlign w:val="center"/>
          </w:tcPr>
          <w:p w:rsidR="003D270F" w:rsidRDefault="0056124B">
            <w:pPr>
              <w:jc w:val="center"/>
            </w:pPr>
            <w:r>
              <w:rPr>
                <w:color w:val="000000"/>
                <w:sz w:val="18"/>
                <w:szCs w:val="18"/>
              </w:rPr>
              <w:t>应收证券清算款</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265.68</w:t>
            </w:r>
          </w:p>
        </w:tc>
        <w:tc>
          <w:tcPr>
            <w:tcW w:w="1500" w:type="dxa"/>
            <w:vAlign w:val="center"/>
          </w:tcPr>
          <w:p w:rsidR="003D270F" w:rsidRDefault="0056124B">
            <w:pPr>
              <w:jc w:val="right"/>
            </w:pPr>
            <w:r>
              <w:rPr>
                <w:color w:val="000000"/>
                <w:sz w:val="18"/>
                <w:szCs w:val="18"/>
              </w:rPr>
              <w:t>265.68</w:t>
            </w:r>
          </w:p>
        </w:tc>
      </w:tr>
      <w:tr w:rsidR="003D270F">
        <w:tc>
          <w:tcPr>
            <w:tcW w:w="1499" w:type="dxa"/>
            <w:vAlign w:val="center"/>
          </w:tcPr>
          <w:p w:rsidR="003D270F" w:rsidRDefault="0056124B">
            <w:pPr>
              <w:jc w:val="center"/>
            </w:pPr>
            <w:r>
              <w:rPr>
                <w:color w:val="000000"/>
                <w:sz w:val="18"/>
                <w:szCs w:val="18"/>
              </w:rPr>
              <w:t>应收利息</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891,094.21</w:t>
            </w:r>
          </w:p>
        </w:tc>
        <w:tc>
          <w:tcPr>
            <w:tcW w:w="1500" w:type="dxa"/>
            <w:vAlign w:val="center"/>
          </w:tcPr>
          <w:p w:rsidR="003D270F" w:rsidRDefault="0056124B">
            <w:pPr>
              <w:jc w:val="right"/>
            </w:pPr>
            <w:r>
              <w:rPr>
                <w:color w:val="000000"/>
                <w:sz w:val="18"/>
                <w:szCs w:val="18"/>
              </w:rPr>
              <w:t>891,094.21</w:t>
            </w:r>
          </w:p>
        </w:tc>
      </w:tr>
      <w:tr w:rsidR="003D270F">
        <w:tc>
          <w:tcPr>
            <w:tcW w:w="1499" w:type="dxa"/>
            <w:vAlign w:val="center"/>
          </w:tcPr>
          <w:p w:rsidR="003D270F" w:rsidRDefault="0056124B">
            <w:pPr>
              <w:jc w:val="center"/>
            </w:pPr>
            <w:r>
              <w:rPr>
                <w:color w:val="000000"/>
                <w:sz w:val="18"/>
                <w:szCs w:val="18"/>
              </w:rPr>
              <w:t>应收申购款</w:t>
            </w:r>
          </w:p>
        </w:tc>
        <w:tc>
          <w:tcPr>
            <w:tcW w:w="1499" w:type="dxa"/>
            <w:vAlign w:val="center"/>
          </w:tcPr>
          <w:p w:rsidR="003D270F" w:rsidRDefault="0056124B">
            <w:pPr>
              <w:jc w:val="right"/>
            </w:pPr>
            <w:r>
              <w:rPr>
                <w:color w:val="000000"/>
                <w:sz w:val="18"/>
                <w:szCs w:val="18"/>
              </w:rPr>
              <w:t>20,000.00</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409.94</w:t>
            </w:r>
          </w:p>
        </w:tc>
        <w:tc>
          <w:tcPr>
            <w:tcW w:w="1500" w:type="dxa"/>
            <w:vAlign w:val="center"/>
          </w:tcPr>
          <w:p w:rsidR="003D270F" w:rsidRDefault="0056124B">
            <w:pPr>
              <w:jc w:val="right"/>
            </w:pPr>
            <w:r>
              <w:rPr>
                <w:color w:val="000000"/>
                <w:sz w:val="18"/>
                <w:szCs w:val="18"/>
              </w:rPr>
              <w:t>20,409.94</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29,359,988.99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3,063,000.00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891,769.83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33,314,758.82</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3D270F">
        <w:tc>
          <w:tcPr>
            <w:tcW w:w="1499" w:type="dxa"/>
            <w:vAlign w:val="center"/>
          </w:tcPr>
          <w:p w:rsidR="003D270F" w:rsidRDefault="0056124B">
            <w:pPr>
              <w:jc w:val="center"/>
            </w:pPr>
            <w:r>
              <w:rPr>
                <w:color w:val="000000"/>
                <w:sz w:val="18"/>
                <w:szCs w:val="18"/>
              </w:rPr>
              <w:t>应付管理人报酬</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8,557.45</w:t>
            </w:r>
          </w:p>
        </w:tc>
        <w:tc>
          <w:tcPr>
            <w:tcW w:w="1500" w:type="dxa"/>
            <w:vAlign w:val="center"/>
          </w:tcPr>
          <w:p w:rsidR="003D270F" w:rsidRDefault="0056124B">
            <w:pPr>
              <w:jc w:val="right"/>
            </w:pPr>
            <w:r>
              <w:rPr>
                <w:color w:val="000000"/>
                <w:sz w:val="18"/>
                <w:szCs w:val="18"/>
              </w:rPr>
              <w:t>8,557.45</w:t>
            </w:r>
          </w:p>
        </w:tc>
      </w:tr>
      <w:tr w:rsidR="003D270F">
        <w:tc>
          <w:tcPr>
            <w:tcW w:w="1499" w:type="dxa"/>
            <w:vAlign w:val="center"/>
          </w:tcPr>
          <w:p w:rsidR="003D270F" w:rsidRDefault="0056124B">
            <w:pPr>
              <w:jc w:val="center"/>
            </w:pPr>
            <w:r>
              <w:rPr>
                <w:color w:val="000000"/>
                <w:sz w:val="18"/>
                <w:szCs w:val="18"/>
              </w:rPr>
              <w:t>应付托管费</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2,852.48</w:t>
            </w:r>
          </w:p>
        </w:tc>
        <w:tc>
          <w:tcPr>
            <w:tcW w:w="1500" w:type="dxa"/>
            <w:vAlign w:val="center"/>
          </w:tcPr>
          <w:p w:rsidR="003D270F" w:rsidRDefault="0056124B">
            <w:pPr>
              <w:jc w:val="right"/>
            </w:pPr>
            <w:r>
              <w:rPr>
                <w:color w:val="000000"/>
                <w:sz w:val="18"/>
                <w:szCs w:val="18"/>
              </w:rPr>
              <w:t>2,852.48</w:t>
            </w:r>
          </w:p>
        </w:tc>
      </w:tr>
      <w:tr w:rsidR="003D270F">
        <w:tc>
          <w:tcPr>
            <w:tcW w:w="1499" w:type="dxa"/>
            <w:vAlign w:val="center"/>
          </w:tcPr>
          <w:p w:rsidR="003D270F" w:rsidRDefault="0056124B">
            <w:pPr>
              <w:jc w:val="center"/>
            </w:pPr>
            <w:r>
              <w:rPr>
                <w:color w:val="000000"/>
                <w:sz w:val="18"/>
                <w:szCs w:val="18"/>
              </w:rPr>
              <w:t>应付销售服务费</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1,398.25</w:t>
            </w:r>
          </w:p>
        </w:tc>
        <w:tc>
          <w:tcPr>
            <w:tcW w:w="1500" w:type="dxa"/>
            <w:vAlign w:val="center"/>
          </w:tcPr>
          <w:p w:rsidR="003D270F" w:rsidRDefault="0056124B">
            <w:pPr>
              <w:jc w:val="right"/>
            </w:pPr>
            <w:r>
              <w:rPr>
                <w:color w:val="000000"/>
                <w:sz w:val="18"/>
                <w:szCs w:val="18"/>
              </w:rPr>
              <w:t>1,398.25</w:t>
            </w:r>
          </w:p>
        </w:tc>
      </w:tr>
      <w:tr w:rsidR="003D270F">
        <w:tc>
          <w:tcPr>
            <w:tcW w:w="1499" w:type="dxa"/>
            <w:vAlign w:val="center"/>
          </w:tcPr>
          <w:p w:rsidR="003D270F" w:rsidRDefault="0056124B">
            <w:pPr>
              <w:jc w:val="center"/>
            </w:pPr>
            <w:r>
              <w:rPr>
                <w:color w:val="000000"/>
                <w:sz w:val="18"/>
                <w:szCs w:val="18"/>
              </w:rPr>
              <w:lastRenderedPageBreak/>
              <w:t>应付交易费用</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305.00</w:t>
            </w:r>
          </w:p>
        </w:tc>
        <w:tc>
          <w:tcPr>
            <w:tcW w:w="1500" w:type="dxa"/>
            <w:vAlign w:val="center"/>
          </w:tcPr>
          <w:p w:rsidR="003D270F" w:rsidRDefault="0056124B">
            <w:pPr>
              <w:jc w:val="right"/>
            </w:pPr>
            <w:r>
              <w:rPr>
                <w:color w:val="000000"/>
                <w:sz w:val="18"/>
                <w:szCs w:val="18"/>
              </w:rPr>
              <w:t>305.00</w:t>
            </w:r>
          </w:p>
        </w:tc>
      </w:tr>
      <w:tr w:rsidR="003D270F">
        <w:tc>
          <w:tcPr>
            <w:tcW w:w="1499" w:type="dxa"/>
            <w:vAlign w:val="center"/>
          </w:tcPr>
          <w:p w:rsidR="003D270F" w:rsidRDefault="0056124B">
            <w:pPr>
              <w:jc w:val="center"/>
            </w:pPr>
            <w:r>
              <w:rPr>
                <w:color w:val="000000"/>
                <w:sz w:val="18"/>
                <w:szCs w:val="18"/>
              </w:rPr>
              <w:t>应交税费</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46.69</w:t>
            </w:r>
          </w:p>
        </w:tc>
        <w:tc>
          <w:tcPr>
            <w:tcW w:w="1500" w:type="dxa"/>
            <w:vAlign w:val="center"/>
          </w:tcPr>
          <w:p w:rsidR="003D270F" w:rsidRDefault="0056124B">
            <w:pPr>
              <w:jc w:val="right"/>
            </w:pPr>
            <w:r>
              <w:rPr>
                <w:color w:val="000000"/>
                <w:sz w:val="18"/>
                <w:szCs w:val="18"/>
              </w:rPr>
              <w:t>46.69</w:t>
            </w:r>
          </w:p>
        </w:tc>
      </w:tr>
      <w:tr w:rsidR="003D270F">
        <w:tc>
          <w:tcPr>
            <w:tcW w:w="1499" w:type="dxa"/>
            <w:vAlign w:val="center"/>
          </w:tcPr>
          <w:p w:rsidR="003D270F" w:rsidRDefault="0056124B">
            <w:pPr>
              <w:jc w:val="center"/>
            </w:pPr>
            <w:r>
              <w:rPr>
                <w:color w:val="000000"/>
                <w:sz w:val="18"/>
                <w:szCs w:val="18"/>
              </w:rPr>
              <w:t>其他负债</w:t>
            </w:r>
          </w:p>
        </w:tc>
        <w:tc>
          <w:tcPr>
            <w:tcW w:w="1499"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w:t>
            </w:r>
          </w:p>
        </w:tc>
        <w:tc>
          <w:tcPr>
            <w:tcW w:w="1500" w:type="dxa"/>
            <w:vAlign w:val="center"/>
          </w:tcPr>
          <w:p w:rsidR="003D270F" w:rsidRDefault="0056124B">
            <w:pPr>
              <w:jc w:val="right"/>
            </w:pPr>
            <w:r>
              <w:rPr>
                <w:color w:val="000000"/>
                <w:sz w:val="18"/>
                <w:szCs w:val="18"/>
              </w:rPr>
              <w:t>89,500.00</w:t>
            </w:r>
          </w:p>
        </w:tc>
        <w:tc>
          <w:tcPr>
            <w:tcW w:w="1500" w:type="dxa"/>
            <w:vAlign w:val="center"/>
          </w:tcPr>
          <w:p w:rsidR="003D270F" w:rsidRDefault="0056124B">
            <w:pPr>
              <w:jc w:val="right"/>
            </w:pPr>
            <w:r>
              <w:rPr>
                <w:color w:val="000000"/>
                <w:sz w:val="18"/>
                <w:szCs w:val="18"/>
              </w:rPr>
              <w:t>89,500.00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102,659.87</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102,659.87</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29,359,988.99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3,063,000.00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789,109.96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33,212,098.95</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3D270F">
        <w:tc>
          <w:tcPr>
            <w:tcW w:w="1276" w:type="dxa"/>
            <w:vAlign w:val="center"/>
          </w:tcPr>
          <w:p w:rsidR="003D270F" w:rsidRDefault="0056124B">
            <w:pPr>
              <w:jc w:val="left"/>
            </w:pPr>
            <w:r>
              <w:rPr>
                <w:color w:val="000000"/>
                <w:sz w:val="24"/>
              </w:rPr>
              <w:t>假设</w:t>
            </w:r>
          </w:p>
        </w:tc>
        <w:tc>
          <w:tcPr>
            <w:tcW w:w="7722" w:type="dxa"/>
            <w:gridSpan w:val="3"/>
            <w:vAlign w:val="center"/>
          </w:tcPr>
          <w:p w:rsidR="003D270F" w:rsidRDefault="0056124B">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3D270F">
        <w:tc>
          <w:tcPr>
            <w:tcW w:w="1276" w:type="dxa"/>
            <w:vMerge/>
          </w:tcPr>
          <w:p w:rsidR="003D270F" w:rsidRDefault="003D270F"/>
        </w:tc>
        <w:tc>
          <w:tcPr>
            <w:tcW w:w="2693" w:type="dxa"/>
            <w:vAlign w:val="center"/>
          </w:tcPr>
          <w:p w:rsidR="003D270F" w:rsidRDefault="0056124B">
            <w:pPr>
              <w:jc w:val="left"/>
            </w:pPr>
            <w:r>
              <w:rPr>
                <w:color w:val="000000"/>
                <w:sz w:val="24"/>
              </w:rPr>
              <w:t>市场利率上升</w:t>
            </w:r>
            <w:r>
              <w:rPr>
                <w:color w:val="000000"/>
                <w:sz w:val="24"/>
              </w:rPr>
              <w:t>25</w:t>
            </w:r>
            <w:r>
              <w:rPr>
                <w:color w:val="000000"/>
                <w:sz w:val="24"/>
              </w:rPr>
              <w:t>个基点</w:t>
            </w:r>
          </w:p>
        </w:tc>
        <w:tc>
          <w:tcPr>
            <w:tcW w:w="2780" w:type="dxa"/>
            <w:vAlign w:val="center"/>
          </w:tcPr>
          <w:p w:rsidR="003D270F" w:rsidRDefault="0056124B">
            <w:pPr>
              <w:jc w:val="right"/>
            </w:pPr>
            <w:r>
              <w:rPr>
                <w:color w:val="000000"/>
                <w:sz w:val="24"/>
              </w:rPr>
              <w:t>减少约</w:t>
            </w:r>
            <w:r>
              <w:rPr>
                <w:color w:val="000000"/>
                <w:sz w:val="24"/>
              </w:rPr>
              <w:t>19</w:t>
            </w:r>
          </w:p>
        </w:tc>
        <w:tc>
          <w:tcPr>
            <w:tcW w:w="2249" w:type="dxa"/>
            <w:vAlign w:val="center"/>
          </w:tcPr>
          <w:p w:rsidR="003D270F" w:rsidRDefault="0056124B">
            <w:pPr>
              <w:jc w:val="right"/>
            </w:pPr>
            <w:r>
              <w:rPr>
                <w:color w:val="000000"/>
                <w:sz w:val="24"/>
              </w:rPr>
              <w:t>减少约</w:t>
            </w:r>
            <w:r>
              <w:rPr>
                <w:color w:val="000000"/>
                <w:sz w:val="24"/>
              </w:rPr>
              <w:t>4</w:t>
            </w:r>
          </w:p>
        </w:tc>
      </w:tr>
      <w:tr w:rsidR="003D270F">
        <w:tc>
          <w:tcPr>
            <w:tcW w:w="1276" w:type="dxa"/>
            <w:vMerge/>
          </w:tcPr>
          <w:p w:rsidR="003D270F" w:rsidRDefault="003D270F"/>
        </w:tc>
        <w:tc>
          <w:tcPr>
            <w:tcW w:w="2693" w:type="dxa"/>
            <w:vAlign w:val="center"/>
          </w:tcPr>
          <w:p w:rsidR="003D270F" w:rsidRDefault="0056124B">
            <w:pPr>
              <w:jc w:val="left"/>
            </w:pPr>
            <w:r>
              <w:rPr>
                <w:color w:val="000000"/>
                <w:sz w:val="24"/>
              </w:rPr>
              <w:t>市场利率下降</w:t>
            </w:r>
            <w:r>
              <w:rPr>
                <w:color w:val="000000"/>
                <w:sz w:val="24"/>
              </w:rPr>
              <w:t>25</w:t>
            </w:r>
            <w:r>
              <w:rPr>
                <w:color w:val="000000"/>
                <w:sz w:val="24"/>
              </w:rPr>
              <w:t>个基点</w:t>
            </w:r>
          </w:p>
        </w:tc>
        <w:tc>
          <w:tcPr>
            <w:tcW w:w="2780" w:type="dxa"/>
            <w:vAlign w:val="center"/>
          </w:tcPr>
          <w:p w:rsidR="003D270F" w:rsidRDefault="0056124B">
            <w:pPr>
              <w:jc w:val="right"/>
            </w:pPr>
            <w:r>
              <w:rPr>
                <w:color w:val="000000"/>
                <w:sz w:val="24"/>
              </w:rPr>
              <w:t>增加约</w:t>
            </w:r>
            <w:r>
              <w:rPr>
                <w:color w:val="000000"/>
                <w:sz w:val="24"/>
              </w:rPr>
              <w:t>19</w:t>
            </w:r>
          </w:p>
        </w:tc>
        <w:tc>
          <w:tcPr>
            <w:tcW w:w="2249" w:type="dxa"/>
            <w:vAlign w:val="center"/>
          </w:tcPr>
          <w:p w:rsidR="003D270F" w:rsidRDefault="0056124B">
            <w:pPr>
              <w:jc w:val="right"/>
            </w:pPr>
            <w:r>
              <w:rPr>
                <w:color w:val="000000"/>
                <w:sz w:val="24"/>
              </w:rPr>
              <w:t>增加约</w:t>
            </w:r>
            <w:r>
              <w:rPr>
                <w:color w:val="000000"/>
                <w:sz w:val="24"/>
              </w:rPr>
              <w:t>4</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3D270F" w:rsidRDefault="0056124B">
      <w:pPr>
        <w:spacing w:before="29" w:line="288" w:lineRule="auto"/>
        <w:ind w:firstLineChars="200" w:firstLine="480"/>
        <w:rPr>
          <w:kern w:val="0"/>
          <w:sz w:val="24"/>
        </w:rPr>
      </w:pPr>
      <w:r>
        <w:rPr>
          <w:kern w:val="0"/>
          <w:sz w:val="24"/>
        </w:rPr>
        <w:t xml:space="preserve">(1) </w:t>
      </w:r>
      <w:r>
        <w:rPr>
          <w:kern w:val="0"/>
          <w:sz w:val="24"/>
        </w:rPr>
        <w:t>公允价值</w:t>
      </w:r>
    </w:p>
    <w:p w:rsidR="003D270F" w:rsidRDefault="0056124B">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3D270F" w:rsidRDefault="0056124B">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3D270F" w:rsidRDefault="0056124B">
      <w:pPr>
        <w:spacing w:before="29" w:line="288" w:lineRule="auto"/>
        <w:ind w:firstLineChars="200" w:firstLine="480"/>
        <w:rPr>
          <w:kern w:val="0"/>
          <w:sz w:val="24"/>
        </w:rPr>
      </w:pPr>
      <w:r>
        <w:rPr>
          <w:kern w:val="0"/>
          <w:sz w:val="24"/>
        </w:rPr>
        <w:t>第一层次：相同资产或负债在活跃市场上未经调整的报价。</w:t>
      </w:r>
    </w:p>
    <w:p w:rsidR="003D270F" w:rsidRDefault="0056124B">
      <w:pPr>
        <w:spacing w:before="29" w:line="288" w:lineRule="auto"/>
        <w:ind w:firstLineChars="200" w:firstLine="480"/>
        <w:rPr>
          <w:kern w:val="0"/>
          <w:sz w:val="24"/>
        </w:rPr>
      </w:pPr>
      <w:r>
        <w:rPr>
          <w:kern w:val="0"/>
          <w:sz w:val="24"/>
        </w:rPr>
        <w:t>第二层次：除第一层次输入值外相关资产或负债直接或间接可观察的输入值。</w:t>
      </w:r>
    </w:p>
    <w:p w:rsidR="003D270F" w:rsidRDefault="0056124B">
      <w:pPr>
        <w:spacing w:before="29" w:line="288" w:lineRule="auto"/>
        <w:ind w:firstLineChars="200" w:firstLine="480"/>
        <w:rPr>
          <w:kern w:val="0"/>
          <w:sz w:val="24"/>
        </w:rPr>
      </w:pPr>
      <w:r>
        <w:rPr>
          <w:kern w:val="0"/>
          <w:sz w:val="24"/>
        </w:rPr>
        <w:t>第三层次：相关资产或负债的不可观察输入值。</w:t>
      </w:r>
    </w:p>
    <w:p w:rsidR="003D270F" w:rsidRDefault="0056124B">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3D270F" w:rsidRDefault="0056124B">
      <w:pPr>
        <w:spacing w:before="29" w:line="288" w:lineRule="auto"/>
        <w:ind w:firstLineChars="200" w:firstLine="480"/>
        <w:rPr>
          <w:kern w:val="0"/>
          <w:sz w:val="24"/>
        </w:rPr>
      </w:pPr>
      <w:r>
        <w:rPr>
          <w:kern w:val="0"/>
          <w:sz w:val="24"/>
        </w:rPr>
        <w:t xml:space="preserve">(i)  </w:t>
      </w:r>
      <w:r>
        <w:rPr>
          <w:kern w:val="0"/>
          <w:sz w:val="24"/>
        </w:rPr>
        <w:t>各层次金融工具公允价值</w:t>
      </w:r>
    </w:p>
    <w:p w:rsidR="003D270F" w:rsidRDefault="0056124B">
      <w:pPr>
        <w:spacing w:before="29" w:line="288" w:lineRule="auto"/>
        <w:ind w:firstLineChars="200" w:firstLine="480"/>
        <w:rPr>
          <w:kern w:val="0"/>
          <w:sz w:val="24"/>
        </w:rPr>
      </w:pPr>
      <w:r>
        <w:rPr>
          <w:kern w:val="0"/>
          <w:sz w:val="24"/>
        </w:rPr>
        <w:lastRenderedPageBreak/>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37,393,836.10</w:t>
      </w:r>
      <w:r>
        <w:rPr>
          <w:kern w:val="0"/>
          <w:sz w:val="24"/>
        </w:rPr>
        <w:t>元，无属于第一或第三层次的余额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31,954,566.00</w:t>
      </w:r>
      <w:r>
        <w:rPr>
          <w:kern w:val="0"/>
          <w:sz w:val="24"/>
        </w:rPr>
        <w:t>元，无第一或第三层次</w:t>
      </w:r>
      <w:r>
        <w:rPr>
          <w:kern w:val="0"/>
          <w:sz w:val="24"/>
        </w:rPr>
        <w:t>)</w:t>
      </w:r>
      <w:r>
        <w:rPr>
          <w:kern w:val="0"/>
          <w:sz w:val="24"/>
        </w:rPr>
        <w:t>。</w:t>
      </w:r>
    </w:p>
    <w:p w:rsidR="003D270F" w:rsidRDefault="0056124B">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3D270F" w:rsidRDefault="0056124B">
      <w:pPr>
        <w:spacing w:before="29" w:line="288" w:lineRule="auto"/>
        <w:ind w:firstLineChars="200" w:firstLine="480"/>
        <w:rPr>
          <w:kern w:val="0"/>
          <w:sz w:val="24"/>
        </w:rPr>
      </w:pPr>
      <w:r>
        <w:rPr>
          <w:kern w:val="0"/>
          <w:sz w:val="24"/>
        </w:rPr>
        <w:t>本基金以导致各层次之间转换的事项发生日为确认各层次之间转换的时点。</w:t>
      </w:r>
    </w:p>
    <w:p w:rsidR="003D270F" w:rsidRDefault="0056124B">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3D270F" w:rsidRDefault="0056124B">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3D270F" w:rsidRDefault="0056124B">
      <w:pPr>
        <w:spacing w:before="29" w:line="288" w:lineRule="auto"/>
        <w:ind w:firstLineChars="200" w:firstLine="480"/>
        <w:rPr>
          <w:kern w:val="0"/>
          <w:sz w:val="24"/>
        </w:rPr>
      </w:pPr>
      <w:r>
        <w:rPr>
          <w:kern w:val="0"/>
          <w:sz w:val="24"/>
        </w:rPr>
        <w:t>无。</w:t>
      </w:r>
    </w:p>
    <w:p w:rsidR="003D270F" w:rsidRDefault="0056124B">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3D270F" w:rsidRDefault="0056124B">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3D270F" w:rsidRDefault="0056124B">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3D270F" w:rsidRDefault="0056124B">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35959555"/>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5053FD" w:rsidRDefault="00832C5C" w:rsidP="005053FD">
      <w:pPr>
        <w:pStyle w:val="20"/>
        <w:spacing w:before="29" w:after="0" w:line="288" w:lineRule="auto"/>
        <w:rPr>
          <w:rFonts w:ascii="Times New Roman" w:hAnsi="Times New Roman"/>
          <w:kern w:val="0"/>
          <w:szCs w:val="24"/>
        </w:rPr>
      </w:pPr>
      <w:bookmarkStart w:id="128" w:name="_Toc225498273"/>
      <w:bookmarkStart w:id="129" w:name="_Toc361324878"/>
      <w:bookmarkStart w:id="130" w:name="_Toc35959556"/>
      <w:r w:rsidRPr="005053FD">
        <w:rPr>
          <w:rFonts w:ascii="Times New Roman" w:hAnsi="Times New Roman"/>
          <w:kern w:val="0"/>
          <w:szCs w:val="24"/>
        </w:rPr>
        <w:t xml:space="preserve">8.1 </w:t>
      </w:r>
      <w:r w:rsidRPr="005053FD">
        <w:rPr>
          <w:rFonts w:ascii="Times New Roman" w:hAnsi="Times New Roman"/>
          <w:kern w:val="0"/>
          <w:szCs w:val="24"/>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37,393,836.10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96.00</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37,393,836.10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96.00</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w:t>
            </w:r>
            <w:r w:rsidRPr="00A73188">
              <w:rPr>
                <w:rFonts w:eastAsiaTheme="minorEastAsia"/>
                <w:color w:val="000000" w:themeColor="text1"/>
                <w:szCs w:val="21"/>
              </w:rPr>
              <w:lastRenderedPageBreak/>
              <w:t>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lastRenderedPageBreak/>
              <w:t>567,404.42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1.46</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991,749.08</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2.55</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38,952,989.60</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131" w:name="_Toc225498274"/>
      <w:bookmarkStart w:id="132" w:name="_Toc361324879"/>
      <w:bookmarkStart w:id="133" w:name="_Toc35959557"/>
      <w:r w:rsidRPr="005053FD">
        <w:rPr>
          <w:rFonts w:ascii="Times New Roman" w:hAnsi="Times New Roman"/>
          <w:kern w:val="0"/>
          <w:szCs w:val="24"/>
        </w:rPr>
        <w:t>8.2</w:t>
      </w:r>
      <w:r w:rsidRPr="005053FD">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5053FD" w:rsidRDefault="001A59F9" w:rsidP="005053FD">
      <w:pPr>
        <w:pStyle w:val="20"/>
        <w:spacing w:before="29" w:after="0" w:line="288" w:lineRule="auto"/>
        <w:rPr>
          <w:rFonts w:ascii="Times New Roman" w:hAnsi="Times New Roman"/>
          <w:kern w:val="0"/>
          <w:szCs w:val="24"/>
        </w:rPr>
      </w:pPr>
      <w:bookmarkStart w:id="134" w:name="_Toc361324881"/>
      <w:bookmarkStart w:id="135" w:name="_Toc35959558"/>
      <w:r w:rsidRPr="005053FD">
        <w:rPr>
          <w:rFonts w:ascii="Times New Roman" w:hAnsi="Times New Roman"/>
          <w:kern w:val="0"/>
          <w:szCs w:val="24"/>
        </w:rPr>
        <w:t>8.3</w:t>
      </w:r>
      <w:r w:rsidRPr="005053FD">
        <w:rPr>
          <w:rFonts w:ascii="Times New Roman" w:hAnsi="Times New Roman" w:hint="eastAsia"/>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5053FD" w:rsidRDefault="001A59F9" w:rsidP="005053FD">
      <w:pPr>
        <w:pStyle w:val="20"/>
        <w:spacing w:before="29" w:after="0" w:line="288" w:lineRule="auto"/>
        <w:rPr>
          <w:rFonts w:ascii="Times New Roman" w:hAnsi="Times New Roman"/>
          <w:kern w:val="0"/>
          <w:szCs w:val="24"/>
        </w:rPr>
      </w:pPr>
      <w:bookmarkStart w:id="136" w:name="_Toc361324882"/>
      <w:bookmarkStart w:id="137" w:name="_Toc35959559"/>
      <w:r w:rsidRPr="005053FD">
        <w:rPr>
          <w:rFonts w:ascii="Times New Roman" w:hAnsi="Times New Roman"/>
          <w:kern w:val="0"/>
          <w:szCs w:val="24"/>
        </w:rPr>
        <w:t>8.4</w:t>
      </w:r>
      <w:bookmarkStart w:id="138" w:name="_Toc234814103"/>
      <w:r w:rsidRPr="005053FD">
        <w:rPr>
          <w:rFonts w:ascii="Times New Roman" w:hAnsi="Times New Roman" w:hint="eastAsia"/>
          <w:kern w:val="0"/>
          <w:szCs w:val="24"/>
        </w:rPr>
        <w:t>报告期内股票投资组合的重大变动</w:t>
      </w:r>
      <w:bookmarkEnd w:id="136"/>
      <w:bookmarkEnd w:id="137"/>
      <w:bookmarkEnd w:id="13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本基金本报告期内未持有股票。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5053FD" w:rsidRDefault="001A59F9" w:rsidP="005053FD">
      <w:pPr>
        <w:pStyle w:val="20"/>
        <w:spacing w:before="29" w:after="0" w:line="288" w:lineRule="auto"/>
        <w:rPr>
          <w:rFonts w:ascii="Times New Roman" w:hAnsi="Times New Roman"/>
          <w:kern w:val="0"/>
          <w:szCs w:val="24"/>
        </w:rPr>
      </w:pPr>
      <w:bookmarkStart w:id="139" w:name="_Toc234814104"/>
      <w:bookmarkStart w:id="140" w:name="_Toc361324883"/>
      <w:bookmarkStart w:id="141" w:name="_Toc35959560"/>
      <w:r w:rsidRPr="005053FD">
        <w:rPr>
          <w:rFonts w:ascii="Times New Roman" w:hAnsi="Times New Roman"/>
          <w:kern w:val="0"/>
          <w:szCs w:val="24"/>
        </w:rPr>
        <w:t>8.5</w:t>
      </w:r>
      <w:r w:rsidRPr="005053FD">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9,222,507.50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23.76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28,171,328.60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72.58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28,171,328.60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72.58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37,393,836.10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96.34</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053FD" w:rsidRDefault="001A59F9" w:rsidP="005053FD">
      <w:pPr>
        <w:pStyle w:val="20"/>
        <w:spacing w:before="29" w:after="0" w:line="288" w:lineRule="auto"/>
        <w:rPr>
          <w:rFonts w:ascii="Times New Roman" w:hAnsi="Times New Roman"/>
          <w:kern w:val="0"/>
          <w:szCs w:val="24"/>
        </w:rPr>
      </w:pPr>
      <w:bookmarkStart w:id="142" w:name="_Toc361324884"/>
      <w:bookmarkStart w:id="143" w:name="_Toc35959561"/>
      <w:r w:rsidRPr="005053FD">
        <w:rPr>
          <w:rFonts w:ascii="Times New Roman" w:hAnsi="Times New Roman"/>
          <w:kern w:val="0"/>
          <w:szCs w:val="24"/>
        </w:rPr>
        <w:t>8.6</w:t>
      </w:r>
      <w:bookmarkStart w:id="144" w:name="_Toc234814105"/>
      <w:r w:rsidRPr="005053FD">
        <w:rPr>
          <w:rFonts w:ascii="Times New Roman" w:hAnsi="Times New Roman" w:hint="eastAsia"/>
          <w:kern w:val="0"/>
          <w:szCs w:val="24"/>
        </w:rPr>
        <w:t>期末按公允价值占基金资产净值比例大小</w:t>
      </w:r>
      <w:r w:rsidR="0055511D" w:rsidRPr="005053FD">
        <w:rPr>
          <w:rFonts w:ascii="Times New Roman" w:hAnsi="Times New Roman" w:hint="eastAsia"/>
          <w:kern w:val="0"/>
          <w:szCs w:val="24"/>
        </w:rPr>
        <w:t>排序</w:t>
      </w:r>
      <w:r w:rsidRPr="005053FD">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3D270F">
        <w:trPr>
          <w:jc w:val="center"/>
        </w:trPr>
        <w:tc>
          <w:tcPr>
            <w:tcW w:w="788" w:type="dxa"/>
            <w:vAlign w:val="center"/>
          </w:tcPr>
          <w:p w:rsidR="003D270F" w:rsidRDefault="0056124B">
            <w:pPr>
              <w:jc w:val="center"/>
            </w:pPr>
            <w:r>
              <w:rPr>
                <w:color w:val="000000"/>
                <w:sz w:val="24"/>
              </w:rPr>
              <w:t>1</w:t>
            </w:r>
          </w:p>
        </w:tc>
        <w:tc>
          <w:tcPr>
            <w:tcW w:w="1774" w:type="dxa"/>
            <w:vAlign w:val="center"/>
          </w:tcPr>
          <w:p w:rsidR="003D270F" w:rsidRDefault="0056124B">
            <w:pPr>
              <w:jc w:val="center"/>
            </w:pPr>
            <w:r>
              <w:rPr>
                <w:color w:val="000000"/>
                <w:sz w:val="24"/>
              </w:rPr>
              <w:t>190207</w:t>
            </w:r>
          </w:p>
        </w:tc>
        <w:tc>
          <w:tcPr>
            <w:tcW w:w="1282" w:type="dxa"/>
            <w:vAlign w:val="center"/>
          </w:tcPr>
          <w:p w:rsidR="003D270F" w:rsidRDefault="0056124B">
            <w:pPr>
              <w:jc w:val="center"/>
            </w:pPr>
            <w:r>
              <w:rPr>
                <w:color w:val="000000"/>
                <w:sz w:val="24"/>
              </w:rPr>
              <w:t>19</w:t>
            </w:r>
            <w:r>
              <w:rPr>
                <w:color w:val="000000"/>
                <w:sz w:val="24"/>
              </w:rPr>
              <w:t>国开</w:t>
            </w:r>
            <w:r>
              <w:rPr>
                <w:color w:val="000000"/>
                <w:sz w:val="24"/>
              </w:rPr>
              <w:t>07</w:t>
            </w:r>
          </w:p>
        </w:tc>
        <w:tc>
          <w:tcPr>
            <w:tcW w:w="1763" w:type="dxa"/>
            <w:vAlign w:val="center"/>
          </w:tcPr>
          <w:p w:rsidR="003D270F" w:rsidRDefault="0056124B">
            <w:pPr>
              <w:jc w:val="right"/>
            </w:pPr>
            <w:r>
              <w:rPr>
                <w:color w:val="000000"/>
                <w:sz w:val="24"/>
              </w:rPr>
              <w:t>200,000</w:t>
            </w:r>
          </w:p>
        </w:tc>
        <w:tc>
          <w:tcPr>
            <w:tcW w:w="1843" w:type="dxa"/>
            <w:vAlign w:val="center"/>
          </w:tcPr>
          <w:p w:rsidR="003D270F" w:rsidRDefault="0056124B">
            <w:pPr>
              <w:jc w:val="right"/>
            </w:pPr>
            <w:r>
              <w:rPr>
                <w:color w:val="000000"/>
                <w:sz w:val="24"/>
              </w:rPr>
              <w:t>20,148,000.00</w:t>
            </w:r>
          </w:p>
        </w:tc>
        <w:tc>
          <w:tcPr>
            <w:tcW w:w="1493" w:type="dxa"/>
            <w:vAlign w:val="center"/>
          </w:tcPr>
          <w:p w:rsidR="003D270F" w:rsidRDefault="0056124B">
            <w:pPr>
              <w:jc w:val="right"/>
            </w:pPr>
            <w:r>
              <w:rPr>
                <w:color w:val="000000"/>
                <w:sz w:val="24"/>
              </w:rPr>
              <w:t>51.91</w:t>
            </w:r>
          </w:p>
        </w:tc>
      </w:tr>
      <w:tr w:rsidR="003D270F">
        <w:trPr>
          <w:jc w:val="center"/>
        </w:trPr>
        <w:tc>
          <w:tcPr>
            <w:tcW w:w="788" w:type="dxa"/>
            <w:vAlign w:val="center"/>
          </w:tcPr>
          <w:p w:rsidR="003D270F" w:rsidRDefault="0056124B">
            <w:pPr>
              <w:jc w:val="center"/>
            </w:pPr>
            <w:r>
              <w:rPr>
                <w:color w:val="000000"/>
                <w:sz w:val="24"/>
              </w:rPr>
              <w:t>2</w:t>
            </w:r>
          </w:p>
        </w:tc>
        <w:tc>
          <w:tcPr>
            <w:tcW w:w="1774" w:type="dxa"/>
            <w:vAlign w:val="center"/>
          </w:tcPr>
          <w:p w:rsidR="003D270F" w:rsidRDefault="0056124B">
            <w:pPr>
              <w:jc w:val="center"/>
            </w:pPr>
            <w:r>
              <w:rPr>
                <w:color w:val="000000"/>
                <w:sz w:val="24"/>
              </w:rPr>
              <w:t>010107</w:t>
            </w:r>
          </w:p>
        </w:tc>
        <w:tc>
          <w:tcPr>
            <w:tcW w:w="1282" w:type="dxa"/>
            <w:vAlign w:val="center"/>
          </w:tcPr>
          <w:p w:rsidR="003D270F" w:rsidRDefault="0056124B">
            <w:pPr>
              <w:jc w:val="center"/>
            </w:pPr>
            <w:r>
              <w:rPr>
                <w:color w:val="000000"/>
                <w:sz w:val="24"/>
              </w:rPr>
              <w:t>21</w:t>
            </w:r>
            <w:r>
              <w:rPr>
                <w:color w:val="000000"/>
                <w:sz w:val="24"/>
              </w:rPr>
              <w:t>国债</w:t>
            </w:r>
            <w:r>
              <w:rPr>
                <w:color w:val="000000"/>
                <w:sz w:val="24"/>
              </w:rPr>
              <w:t>⑺</w:t>
            </w:r>
          </w:p>
        </w:tc>
        <w:tc>
          <w:tcPr>
            <w:tcW w:w="1763" w:type="dxa"/>
            <w:vAlign w:val="center"/>
          </w:tcPr>
          <w:p w:rsidR="003D270F" w:rsidRDefault="0056124B">
            <w:pPr>
              <w:jc w:val="right"/>
            </w:pPr>
            <w:r>
              <w:rPr>
                <w:color w:val="000000"/>
                <w:sz w:val="24"/>
              </w:rPr>
              <w:t>69,930</w:t>
            </w:r>
          </w:p>
        </w:tc>
        <w:tc>
          <w:tcPr>
            <w:tcW w:w="1843" w:type="dxa"/>
            <w:vAlign w:val="center"/>
          </w:tcPr>
          <w:p w:rsidR="003D270F" w:rsidRDefault="0056124B">
            <w:pPr>
              <w:jc w:val="right"/>
            </w:pPr>
            <w:r>
              <w:rPr>
                <w:color w:val="000000"/>
                <w:sz w:val="24"/>
              </w:rPr>
              <w:t>7,185,307.50</w:t>
            </w:r>
          </w:p>
        </w:tc>
        <w:tc>
          <w:tcPr>
            <w:tcW w:w="1493" w:type="dxa"/>
            <w:vAlign w:val="center"/>
          </w:tcPr>
          <w:p w:rsidR="003D270F" w:rsidRDefault="0056124B">
            <w:pPr>
              <w:jc w:val="right"/>
            </w:pPr>
            <w:r>
              <w:rPr>
                <w:color w:val="000000"/>
                <w:sz w:val="24"/>
              </w:rPr>
              <w:t>18.51</w:t>
            </w:r>
          </w:p>
        </w:tc>
      </w:tr>
      <w:tr w:rsidR="003D270F">
        <w:trPr>
          <w:jc w:val="center"/>
        </w:trPr>
        <w:tc>
          <w:tcPr>
            <w:tcW w:w="788" w:type="dxa"/>
            <w:vAlign w:val="center"/>
          </w:tcPr>
          <w:p w:rsidR="003D270F" w:rsidRDefault="0056124B">
            <w:pPr>
              <w:jc w:val="center"/>
            </w:pPr>
            <w:r>
              <w:rPr>
                <w:color w:val="000000"/>
                <w:sz w:val="24"/>
              </w:rPr>
              <w:t>3</w:t>
            </w:r>
          </w:p>
        </w:tc>
        <w:tc>
          <w:tcPr>
            <w:tcW w:w="1774" w:type="dxa"/>
            <w:vAlign w:val="center"/>
          </w:tcPr>
          <w:p w:rsidR="003D270F" w:rsidRDefault="0056124B">
            <w:pPr>
              <w:jc w:val="center"/>
            </w:pPr>
            <w:r>
              <w:rPr>
                <w:color w:val="000000"/>
                <w:sz w:val="24"/>
              </w:rPr>
              <w:t>018008</w:t>
            </w:r>
          </w:p>
        </w:tc>
        <w:tc>
          <w:tcPr>
            <w:tcW w:w="1282" w:type="dxa"/>
            <w:vAlign w:val="center"/>
          </w:tcPr>
          <w:p w:rsidR="003D270F" w:rsidRDefault="0056124B">
            <w:pPr>
              <w:jc w:val="center"/>
            </w:pPr>
            <w:r>
              <w:rPr>
                <w:color w:val="000000"/>
                <w:sz w:val="24"/>
              </w:rPr>
              <w:t>国开</w:t>
            </w:r>
            <w:r>
              <w:rPr>
                <w:color w:val="000000"/>
                <w:sz w:val="24"/>
              </w:rPr>
              <w:t>1802</w:t>
            </w:r>
          </w:p>
        </w:tc>
        <w:tc>
          <w:tcPr>
            <w:tcW w:w="1763" w:type="dxa"/>
            <w:vAlign w:val="center"/>
          </w:tcPr>
          <w:p w:rsidR="003D270F" w:rsidRDefault="0056124B">
            <w:pPr>
              <w:jc w:val="right"/>
            </w:pPr>
            <w:r>
              <w:rPr>
                <w:color w:val="000000"/>
                <w:sz w:val="24"/>
              </w:rPr>
              <w:t>30,010</w:t>
            </w:r>
          </w:p>
        </w:tc>
        <w:tc>
          <w:tcPr>
            <w:tcW w:w="1843" w:type="dxa"/>
            <w:vAlign w:val="center"/>
          </w:tcPr>
          <w:p w:rsidR="003D270F" w:rsidRDefault="0056124B">
            <w:pPr>
              <w:jc w:val="right"/>
            </w:pPr>
            <w:r>
              <w:rPr>
                <w:color w:val="000000"/>
                <w:sz w:val="24"/>
              </w:rPr>
              <w:t>3,086,828.60</w:t>
            </w:r>
          </w:p>
        </w:tc>
        <w:tc>
          <w:tcPr>
            <w:tcW w:w="1493" w:type="dxa"/>
            <w:vAlign w:val="center"/>
          </w:tcPr>
          <w:p w:rsidR="003D270F" w:rsidRDefault="0056124B">
            <w:pPr>
              <w:jc w:val="right"/>
            </w:pPr>
            <w:r>
              <w:rPr>
                <w:color w:val="000000"/>
                <w:sz w:val="24"/>
              </w:rPr>
              <w:t>7.95</w:t>
            </w:r>
          </w:p>
        </w:tc>
      </w:tr>
      <w:tr w:rsidR="003D270F">
        <w:trPr>
          <w:jc w:val="center"/>
        </w:trPr>
        <w:tc>
          <w:tcPr>
            <w:tcW w:w="788" w:type="dxa"/>
            <w:vAlign w:val="center"/>
          </w:tcPr>
          <w:p w:rsidR="003D270F" w:rsidRDefault="0056124B">
            <w:pPr>
              <w:jc w:val="center"/>
            </w:pPr>
            <w:r>
              <w:rPr>
                <w:color w:val="000000"/>
                <w:sz w:val="24"/>
              </w:rPr>
              <w:t>4</w:t>
            </w:r>
          </w:p>
        </w:tc>
        <w:tc>
          <w:tcPr>
            <w:tcW w:w="1774" w:type="dxa"/>
            <w:vAlign w:val="center"/>
          </w:tcPr>
          <w:p w:rsidR="003D270F" w:rsidRDefault="0056124B">
            <w:pPr>
              <w:jc w:val="center"/>
            </w:pPr>
            <w:r>
              <w:rPr>
                <w:color w:val="000000"/>
                <w:sz w:val="24"/>
              </w:rPr>
              <w:t>018007</w:t>
            </w:r>
          </w:p>
        </w:tc>
        <w:tc>
          <w:tcPr>
            <w:tcW w:w="1282" w:type="dxa"/>
            <w:vAlign w:val="center"/>
          </w:tcPr>
          <w:p w:rsidR="003D270F" w:rsidRDefault="0056124B">
            <w:pPr>
              <w:jc w:val="center"/>
            </w:pPr>
            <w:r>
              <w:rPr>
                <w:color w:val="000000"/>
                <w:sz w:val="24"/>
              </w:rPr>
              <w:t>国开</w:t>
            </w:r>
            <w:r>
              <w:rPr>
                <w:color w:val="000000"/>
                <w:sz w:val="24"/>
              </w:rPr>
              <w:t>1801</w:t>
            </w:r>
          </w:p>
        </w:tc>
        <w:tc>
          <w:tcPr>
            <w:tcW w:w="1763" w:type="dxa"/>
            <w:vAlign w:val="center"/>
          </w:tcPr>
          <w:p w:rsidR="003D270F" w:rsidRDefault="0056124B">
            <w:pPr>
              <w:jc w:val="right"/>
            </w:pPr>
            <w:r>
              <w:rPr>
                <w:color w:val="000000"/>
                <w:sz w:val="24"/>
              </w:rPr>
              <w:t>23,800</w:t>
            </w:r>
          </w:p>
        </w:tc>
        <w:tc>
          <w:tcPr>
            <w:tcW w:w="1843" w:type="dxa"/>
            <w:vAlign w:val="center"/>
          </w:tcPr>
          <w:p w:rsidR="003D270F" w:rsidRDefault="0056124B">
            <w:pPr>
              <w:jc w:val="right"/>
            </w:pPr>
            <w:r>
              <w:rPr>
                <w:color w:val="000000"/>
                <w:sz w:val="24"/>
              </w:rPr>
              <w:t>2,397,850.00</w:t>
            </w:r>
          </w:p>
        </w:tc>
        <w:tc>
          <w:tcPr>
            <w:tcW w:w="1493" w:type="dxa"/>
            <w:vAlign w:val="center"/>
          </w:tcPr>
          <w:p w:rsidR="003D270F" w:rsidRDefault="0056124B">
            <w:pPr>
              <w:jc w:val="right"/>
            </w:pPr>
            <w:r>
              <w:rPr>
                <w:color w:val="000000"/>
                <w:sz w:val="24"/>
              </w:rPr>
              <w:t>6.18</w:t>
            </w:r>
          </w:p>
        </w:tc>
      </w:tr>
      <w:tr w:rsidR="003D270F">
        <w:trPr>
          <w:jc w:val="center"/>
        </w:trPr>
        <w:tc>
          <w:tcPr>
            <w:tcW w:w="788" w:type="dxa"/>
            <w:vAlign w:val="center"/>
          </w:tcPr>
          <w:p w:rsidR="003D270F" w:rsidRDefault="0056124B">
            <w:pPr>
              <w:jc w:val="center"/>
            </w:pPr>
            <w:r>
              <w:rPr>
                <w:color w:val="000000"/>
                <w:sz w:val="24"/>
              </w:rPr>
              <w:t>5</w:t>
            </w:r>
          </w:p>
        </w:tc>
        <w:tc>
          <w:tcPr>
            <w:tcW w:w="1774" w:type="dxa"/>
            <w:vAlign w:val="center"/>
          </w:tcPr>
          <w:p w:rsidR="003D270F" w:rsidRDefault="0056124B">
            <w:pPr>
              <w:jc w:val="center"/>
            </w:pPr>
            <w:r>
              <w:rPr>
                <w:color w:val="000000"/>
                <w:sz w:val="24"/>
              </w:rPr>
              <w:t>010303</w:t>
            </w:r>
          </w:p>
        </w:tc>
        <w:tc>
          <w:tcPr>
            <w:tcW w:w="1282" w:type="dxa"/>
            <w:vAlign w:val="center"/>
          </w:tcPr>
          <w:p w:rsidR="003D270F" w:rsidRDefault="0056124B">
            <w:pPr>
              <w:jc w:val="center"/>
            </w:pPr>
            <w:r>
              <w:rPr>
                <w:color w:val="000000"/>
                <w:sz w:val="24"/>
              </w:rPr>
              <w:t>03</w:t>
            </w:r>
            <w:r>
              <w:rPr>
                <w:color w:val="000000"/>
                <w:sz w:val="24"/>
              </w:rPr>
              <w:t>国债</w:t>
            </w:r>
            <w:r>
              <w:rPr>
                <w:color w:val="000000"/>
                <w:sz w:val="24"/>
              </w:rPr>
              <w:t>⑶</w:t>
            </w:r>
          </w:p>
        </w:tc>
        <w:tc>
          <w:tcPr>
            <w:tcW w:w="1763" w:type="dxa"/>
            <w:vAlign w:val="center"/>
          </w:tcPr>
          <w:p w:rsidR="003D270F" w:rsidRDefault="0056124B">
            <w:pPr>
              <w:jc w:val="right"/>
            </w:pPr>
            <w:r>
              <w:rPr>
                <w:color w:val="000000"/>
                <w:sz w:val="24"/>
              </w:rPr>
              <w:t>20,000</w:t>
            </w:r>
          </w:p>
        </w:tc>
        <w:tc>
          <w:tcPr>
            <w:tcW w:w="1843" w:type="dxa"/>
            <w:vAlign w:val="center"/>
          </w:tcPr>
          <w:p w:rsidR="003D270F" w:rsidRDefault="0056124B">
            <w:pPr>
              <w:jc w:val="right"/>
            </w:pPr>
            <w:r>
              <w:rPr>
                <w:color w:val="000000"/>
                <w:sz w:val="24"/>
              </w:rPr>
              <w:t>2,037,200.00</w:t>
            </w:r>
          </w:p>
        </w:tc>
        <w:tc>
          <w:tcPr>
            <w:tcW w:w="1493" w:type="dxa"/>
            <w:vAlign w:val="center"/>
          </w:tcPr>
          <w:p w:rsidR="003D270F" w:rsidRDefault="0056124B">
            <w:pPr>
              <w:jc w:val="right"/>
            </w:pPr>
            <w:r>
              <w:rPr>
                <w:color w:val="000000"/>
                <w:sz w:val="24"/>
              </w:rPr>
              <w:t>5.25</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053FD" w:rsidRDefault="001A59F9" w:rsidP="005053FD">
      <w:pPr>
        <w:pStyle w:val="20"/>
        <w:spacing w:before="29" w:after="0" w:line="288" w:lineRule="auto"/>
        <w:rPr>
          <w:rFonts w:ascii="Times New Roman" w:hAnsi="Times New Roman"/>
          <w:kern w:val="0"/>
          <w:szCs w:val="24"/>
        </w:rPr>
      </w:pPr>
      <w:bookmarkStart w:id="145" w:name="_Toc361324885"/>
      <w:bookmarkStart w:id="146" w:name="_Toc35959562"/>
      <w:r w:rsidRPr="005053FD">
        <w:rPr>
          <w:rFonts w:ascii="Times New Roman" w:hAnsi="Times New Roman"/>
          <w:kern w:val="0"/>
          <w:szCs w:val="24"/>
        </w:rPr>
        <w:t>8.7</w:t>
      </w:r>
      <w:r w:rsidRPr="005053FD">
        <w:rPr>
          <w:rFonts w:ascii="Times New Roman" w:hAnsi="Times New Roman" w:hint="eastAsia"/>
          <w:kern w:val="0"/>
          <w:szCs w:val="24"/>
        </w:rPr>
        <w:t>期末按公允价值占基金资产净值比例大小</w:t>
      </w:r>
      <w:r w:rsidR="009819C9" w:rsidRPr="005053FD">
        <w:rPr>
          <w:rFonts w:ascii="Times New Roman" w:hAnsi="Times New Roman" w:hint="eastAsia"/>
          <w:kern w:val="0"/>
          <w:szCs w:val="24"/>
        </w:rPr>
        <w:t>排序</w:t>
      </w:r>
      <w:r w:rsidRPr="005053FD">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5053FD" w:rsidRDefault="001B3C1C" w:rsidP="005053FD">
      <w:pPr>
        <w:pStyle w:val="20"/>
        <w:spacing w:before="29" w:after="0" w:line="288" w:lineRule="auto"/>
        <w:rPr>
          <w:rFonts w:ascii="Times New Roman" w:hAnsi="Times New Roman"/>
          <w:kern w:val="0"/>
          <w:szCs w:val="24"/>
        </w:rPr>
      </w:pPr>
      <w:bookmarkStart w:id="147" w:name="_Toc35959563"/>
      <w:r w:rsidRPr="005053FD">
        <w:rPr>
          <w:rFonts w:ascii="Times New Roman" w:hAnsi="Times New Roman"/>
          <w:kern w:val="0"/>
          <w:szCs w:val="24"/>
        </w:rPr>
        <w:t>8.8</w:t>
      </w:r>
      <w:r w:rsidRPr="005053FD">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5053FD" w:rsidRDefault="001A59F9" w:rsidP="005053FD">
      <w:pPr>
        <w:pStyle w:val="20"/>
        <w:spacing w:before="29" w:after="0" w:line="288" w:lineRule="auto"/>
        <w:rPr>
          <w:rFonts w:ascii="Times New Roman" w:hAnsi="Times New Roman"/>
          <w:kern w:val="0"/>
          <w:szCs w:val="24"/>
        </w:rPr>
      </w:pPr>
      <w:bookmarkStart w:id="148" w:name="_Toc361324886"/>
      <w:bookmarkStart w:id="149" w:name="_Toc35959564"/>
      <w:r w:rsidRPr="005053FD">
        <w:rPr>
          <w:rFonts w:ascii="Times New Roman" w:hAnsi="Times New Roman"/>
          <w:kern w:val="0"/>
          <w:szCs w:val="24"/>
        </w:rPr>
        <w:t>8.9</w:t>
      </w:r>
      <w:r w:rsidRPr="005053FD">
        <w:rPr>
          <w:rFonts w:ascii="Times New Roman" w:hAnsi="Times New Roman" w:hint="eastAsia"/>
          <w:kern w:val="0"/>
          <w:szCs w:val="24"/>
        </w:rPr>
        <w:t>期末按公允价值占基金资产净值比例大小排</w:t>
      </w:r>
      <w:r w:rsidR="00A63E24" w:rsidRPr="005053FD">
        <w:rPr>
          <w:rFonts w:ascii="Times New Roman" w:hAnsi="Times New Roman" w:hint="eastAsia"/>
          <w:kern w:val="0"/>
          <w:szCs w:val="24"/>
        </w:rPr>
        <w:t>序</w:t>
      </w:r>
      <w:r w:rsidRPr="005053FD">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5053FD" w:rsidRDefault="005D072B" w:rsidP="005053FD">
      <w:pPr>
        <w:pStyle w:val="20"/>
        <w:spacing w:before="29" w:after="0" w:line="288" w:lineRule="auto"/>
        <w:rPr>
          <w:rFonts w:ascii="Times New Roman" w:hAnsi="Times New Roman"/>
          <w:kern w:val="0"/>
          <w:szCs w:val="24"/>
        </w:rPr>
      </w:pPr>
      <w:bookmarkStart w:id="150" w:name="_Toc35959565"/>
      <w:r w:rsidRPr="005053FD">
        <w:rPr>
          <w:rFonts w:ascii="Times New Roman" w:hAnsi="Times New Roman" w:hint="eastAsia"/>
          <w:kern w:val="0"/>
          <w:szCs w:val="24"/>
        </w:rPr>
        <w:t xml:space="preserve">8.10 </w:t>
      </w:r>
      <w:r w:rsidRPr="005053FD">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5053FD" w:rsidRDefault="00FF26CE" w:rsidP="005053FD">
      <w:pPr>
        <w:pStyle w:val="20"/>
        <w:spacing w:before="29" w:after="0" w:line="288" w:lineRule="auto"/>
        <w:rPr>
          <w:rFonts w:ascii="Times New Roman" w:hAnsi="Times New Roman"/>
          <w:kern w:val="0"/>
          <w:szCs w:val="24"/>
        </w:rPr>
      </w:pPr>
      <w:bookmarkStart w:id="151" w:name="_Toc35959566"/>
      <w:r w:rsidRPr="005053FD">
        <w:rPr>
          <w:rFonts w:ascii="Times New Roman" w:hAnsi="Times New Roman" w:hint="eastAsia"/>
          <w:kern w:val="0"/>
          <w:szCs w:val="24"/>
        </w:rPr>
        <w:t>8.11</w:t>
      </w:r>
      <w:r w:rsidRPr="005053FD">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5053FD" w:rsidRDefault="001A59F9" w:rsidP="005053FD">
      <w:pPr>
        <w:pStyle w:val="20"/>
        <w:spacing w:before="29" w:after="0" w:line="288" w:lineRule="auto"/>
        <w:rPr>
          <w:rFonts w:ascii="Times New Roman" w:hAnsi="Times New Roman"/>
          <w:kern w:val="0"/>
          <w:szCs w:val="24"/>
        </w:rPr>
      </w:pPr>
      <w:bookmarkStart w:id="152" w:name="_Toc361324887"/>
      <w:bookmarkStart w:id="153" w:name="_Toc35959567"/>
      <w:r w:rsidRPr="005053FD">
        <w:rPr>
          <w:rFonts w:ascii="Times New Roman" w:hAnsi="Times New Roman"/>
          <w:kern w:val="0"/>
          <w:szCs w:val="24"/>
        </w:rPr>
        <w:t xml:space="preserve">8.12 </w:t>
      </w:r>
      <w:r w:rsidRPr="005053FD">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2,378.15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305,425.62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673,239.31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10,706.00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991,749.08</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35959568"/>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5053FD" w:rsidRDefault="001A59F9" w:rsidP="005053FD">
      <w:pPr>
        <w:pStyle w:val="20"/>
        <w:spacing w:before="29" w:after="0" w:line="288" w:lineRule="auto"/>
        <w:rPr>
          <w:rFonts w:ascii="Times New Roman" w:hAnsi="Times New Roman"/>
          <w:kern w:val="0"/>
          <w:szCs w:val="24"/>
        </w:rPr>
      </w:pPr>
      <w:bookmarkStart w:id="157" w:name="_Toc225500051"/>
      <w:bookmarkStart w:id="158" w:name="_Toc361324889"/>
      <w:bookmarkStart w:id="159" w:name="_Toc35959569"/>
      <w:r w:rsidRPr="005053FD">
        <w:rPr>
          <w:rFonts w:ascii="Times New Roman" w:hAnsi="Times New Roman"/>
          <w:kern w:val="0"/>
          <w:szCs w:val="24"/>
        </w:rPr>
        <w:t xml:space="preserve">9.1 </w:t>
      </w:r>
      <w:r w:rsidRPr="005053FD">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交银丰盈收益债券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201,385.67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17,446,280.99</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59.75%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11,754,641.22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40.25%</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lastRenderedPageBreak/>
              <w:t>交银丰盈收益债券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3,269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1,868.48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5,000,000.03</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81.86%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1,108,054.42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18.14%</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3,414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10,342.41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22,446,281.02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63.57%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12,862,695.64</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36.43%</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160" w:name="_Toc361324891"/>
      <w:bookmarkStart w:id="161" w:name="_Toc35959570"/>
      <w:r w:rsidRPr="005053FD">
        <w:rPr>
          <w:rFonts w:ascii="Times New Roman" w:hAnsi="Times New Roman"/>
          <w:kern w:val="0"/>
          <w:szCs w:val="24"/>
        </w:rPr>
        <w:t>9.2</w:t>
      </w:r>
      <w:r w:rsidRPr="005053FD">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交银丰盈收益债券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交银丰盈收益债券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284.81</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284.81</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5053FD" w:rsidRDefault="001C1C7F" w:rsidP="005053FD">
      <w:pPr>
        <w:pStyle w:val="20"/>
        <w:spacing w:before="29" w:after="0" w:line="288" w:lineRule="auto"/>
        <w:rPr>
          <w:rFonts w:ascii="Times New Roman" w:hAnsi="Times New Roman"/>
          <w:kern w:val="0"/>
          <w:szCs w:val="24"/>
        </w:rPr>
      </w:pPr>
      <w:bookmarkStart w:id="162" w:name="_Toc35959571"/>
      <w:r w:rsidRPr="005053FD">
        <w:rPr>
          <w:rFonts w:ascii="Times New Roman" w:hAnsi="Times New Roman"/>
          <w:kern w:val="0"/>
          <w:szCs w:val="24"/>
        </w:rPr>
        <w:t>9.3</w:t>
      </w:r>
      <w:r w:rsidRPr="005053FD">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交银丰盈收益债券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交银丰盈收益债券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交银丰盈收益债券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交银丰盈收益债券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35959572"/>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交银丰盈收益债券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交银丰盈收益债券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2014</w:t>
            </w:r>
            <w:r w:rsidR="00146153" w:rsidRPr="00133414">
              <w:rPr>
                <w:sz w:val="24"/>
              </w:rPr>
              <w:t>年</w:t>
            </w:r>
            <w:r w:rsidR="00146153" w:rsidRPr="00133414">
              <w:rPr>
                <w:sz w:val="24"/>
              </w:rPr>
              <w:t>8</w:t>
            </w:r>
            <w:r w:rsidR="00146153" w:rsidRPr="00133414">
              <w:rPr>
                <w:sz w:val="24"/>
              </w:rPr>
              <w:t>月</w:t>
            </w:r>
            <w:r w:rsidR="00146153" w:rsidRPr="00133414">
              <w:rPr>
                <w:sz w:val="24"/>
              </w:rPr>
              <w:t>11</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510,658,140.93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27,161,445.45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3,812,217.06</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59,461,654.55</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42,002,371.33</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57,422,177.79</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39,706,533.94</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29,200,922.21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6,108,054.45</w:t>
            </w:r>
          </w:p>
        </w:tc>
      </w:tr>
    </w:tbl>
    <w:p w:rsidR="003D270F" w:rsidRDefault="0056124B">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35959573"/>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5053FD" w:rsidRDefault="001A59F9" w:rsidP="005053FD">
      <w:pPr>
        <w:pStyle w:val="20"/>
        <w:spacing w:before="29" w:after="0" w:line="288" w:lineRule="auto"/>
        <w:rPr>
          <w:rFonts w:ascii="Times New Roman" w:hAnsi="Times New Roman"/>
          <w:kern w:val="0"/>
          <w:szCs w:val="24"/>
        </w:rPr>
      </w:pPr>
      <w:bookmarkStart w:id="169" w:name="_Toc361324894"/>
      <w:bookmarkStart w:id="170" w:name="_Toc35959574"/>
      <w:r w:rsidRPr="005053FD">
        <w:rPr>
          <w:rFonts w:ascii="Times New Roman" w:hAnsi="Times New Roman"/>
          <w:kern w:val="0"/>
          <w:szCs w:val="24"/>
        </w:rPr>
        <w:t>11.1</w:t>
      </w:r>
      <w:r w:rsidRPr="005053FD">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171" w:name="_Toc361324895"/>
      <w:bookmarkStart w:id="172" w:name="_Toc35959575"/>
      <w:r w:rsidRPr="005053FD">
        <w:rPr>
          <w:rFonts w:ascii="Times New Roman" w:hAnsi="Times New Roman"/>
          <w:kern w:val="0"/>
          <w:szCs w:val="24"/>
        </w:rPr>
        <w:t xml:space="preserve">11.2 </w:t>
      </w:r>
      <w:r w:rsidRPr="005053FD">
        <w:rPr>
          <w:rFonts w:ascii="Times New Roman" w:hAnsi="Times New Roman" w:hint="eastAsia"/>
          <w:kern w:val="0"/>
          <w:szCs w:val="24"/>
        </w:rPr>
        <w:t>基金管理人、基金托管人的专门基金托管部门的重大人事变动</w:t>
      </w:r>
      <w:bookmarkEnd w:id="171"/>
      <w:bookmarkEnd w:id="172"/>
    </w:p>
    <w:p w:rsidR="003D270F" w:rsidRDefault="0056124B">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、基金托管人的基金托管部门的重大人事变动：本报告期内，经中信银行股份有限公司董事会会议审议通过，聘任方合英先生为本行行长，任职资格于</w:t>
      </w:r>
      <w:r w:rsidRPr="00E87573">
        <w:rPr>
          <w:kern w:val="0"/>
          <w:sz w:val="24"/>
        </w:rPr>
        <w:t>2019</w:t>
      </w:r>
      <w:r w:rsidRPr="00E87573">
        <w:rPr>
          <w:kern w:val="0"/>
          <w:sz w:val="24"/>
        </w:rPr>
        <w:t>年</w:t>
      </w:r>
      <w:r w:rsidRPr="00E87573">
        <w:rPr>
          <w:kern w:val="0"/>
          <w:sz w:val="24"/>
        </w:rPr>
        <w:t>3</w:t>
      </w:r>
      <w:r w:rsidRPr="00E87573">
        <w:rPr>
          <w:kern w:val="0"/>
          <w:sz w:val="24"/>
        </w:rPr>
        <w:t>月</w:t>
      </w:r>
      <w:r w:rsidRPr="00E87573">
        <w:rPr>
          <w:kern w:val="0"/>
          <w:sz w:val="24"/>
        </w:rPr>
        <w:t>29</w:t>
      </w:r>
      <w:r w:rsidRPr="00E87573">
        <w:rPr>
          <w:kern w:val="0"/>
          <w:sz w:val="24"/>
        </w:rPr>
        <w:t>日获中国银行保险监督管理委员批复核准。根据工作需要，任命杨璋琪先生担任本行资产托管部副总经理，主持资产托管部相关工作。</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173" w:name="_Toc361324896"/>
      <w:bookmarkStart w:id="174" w:name="_Toc35959576"/>
      <w:r w:rsidRPr="005053FD">
        <w:rPr>
          <w:rFonts w:ascii="Times New Roman" w:hAnsi="Times New Roman"/>
          <w:kern w:val="0"/>
          <w:szCs w:val="24"/>
        </w:rPr>
        <w:t xml:space="preserve">11.3 </w:t>
      </w:r>
      <w:r w:rsidRPr="005053FD">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175" w:name="_Toc361324897"/>
      <w:bookmarkStart w:id="176" w:name="_Toc35959577"/>
      <w:r w:rsidRPr="005053FD">
        <w:rPr>
          <w:rFonts w:ascii="Times New Roman" w:hAnsi="Times New Roman"/>
          <w:kern w:val="0"/>
          <w:szCs w:val="24"/>
        </w:rPr>
        <w:t xml:space="preserve">11.4 </w:t>
      </w:r>
      <w:r w:rsidRPr="005053FD">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5053FD" w:rsidRDefault="00C0329C" w:rsidP="005053FD">
      <w:pPr>
        <w:pStyle w:val="20"/>
        <w:spacing w:before="29" w:after="0" w:line="288" w:lineRule="auto"/>
        <w:rPr>
          <w:rFonts w:ascii="Times New Roman" w:hAnsi="Times New Roman"/>
          <w:kern w:val="0"/>
          <w:szCs w:val="24"/>
        </w:rPr>
      </w:pPr>
      <w:bookmarkStart w:id="177" w:name="_Toc361324898"/>
      <w:bookmarkStart w:id="178" w:name="_Toc409100466"/>
      <w:bookmarkStart w:id="179" w:name="_Toc409100103"/>
      <w:bookmarkStart w:id="180" w:name="_Toc35959578"/>
      <w:r w:rsidRPr="005053FD">
        <w:rPr>
          <w:rFonts w:ascii="Times New Roman" w:hAnsi="Times New Roman"/>
          <w:kern w:val="0"/>
          <w:szCs w:val="24"/>
        </w:rPr>
        <w:t>11.</w:t>
      </w:r>
      <w:bookmarkEnd w:id="177"/>
      <w:r w:rsidR="008825BF" w:rsidRPr="005053FD">
        <w:rPr>
          <w:rFonts w:ascii="Times New Roman" w:hAnsi="Times New Roman"/>
          <w:kern w:val="0"/>
          <w:szCs w:val="24"/>
        </w:rPr>
        <w:t>5</w:t>
      </w:r>
      <w:r w:rsidRPr="005053FD">
        <w:rPr>
          <w:rFonts w:ascii="Times New Roman" w:hAnsi="Times New Roman"/>
          <w:kern w:val="0"/>
          <w:szCs w:val="24"/>
        </w:rPr>
        <w:t>为基金进行审计的会计师事务所情况</w:t>
      </w:r>
      <w:bookmarkEnd w:id="178"/>
      <w:bookmarkEnd w:id="179"/>
      <w:bookmarkEnd w:id="180"/>
    </w:p>
    <w:p w:rsidR="00C0329C" w:rsidRPr="00256071"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50,000</w:t>
      </w:r>
      <w:r w:rsidRPr="00256071">
        <w:rPr>
          <w:rFonts w:eastAsiaTheme="minorEastAsia"/>
          <w:color w:val="000000" w:themeColor="text1"/>
          <w:sz w:val="24"/>
        </w:rPr>
        <w:t>元。自本基金基金合同生效以来，本基金未改聘为其审计的会计师事务所。</w:t>
      </w:r>
    </w:p>
    <w:p w:rsidR="00C0329C" w:rsidRPr="005053FD" w:rsidRDefault="00C0329C" w:rsidP="005053FD">
      <w:pPr>
        <w:pStyle w:val="20"/>
        <w:spacing w:before="29" w:after="0" w:line="288" w:lineRule="auto"/>
        <w:rPr>
          <w:rFonts w:ascii="Times New Roman" w:hAnsi="Times New Roman"/>
          <w:kern w:val="0"/>
          <w:szCs w:val="24"/>
        </w:rPr>
      </w:pPr>
      <w:bookmarkStart w:id="182" w:name="_Toc409100104"/>
      <w:bookmarkStart w:id="183" w:name="_Toc409100467"/>
      <w:bookmarkStart w:id="184" w:name="_Toc361324899"/>
      <w:bookmarkStart w:id="185" w:name="_Toc35959579"/>
      <w:bookmarkEnd w:id="181"/>
      <w:r w:rsidRPr="005053FD">
        <w:rPr>
          <w:rFonts w:ascii="Times New Roman" w:hAnsi="Times New Roman"/>
          <w:kern w:val="0"/>
          <w:szCs w:val="24"/>
        </w:rPr>
        <w:t>11.</w:t>
      </w:r>
      <w:r w:rsidR="008825BF" w:rsidRPr="005053FD">
        <w:rPr>
          <w:rFonts w:ascii="Times New Roman" w:hAnsi="Times New Roman"/>
          <w:kern w:val="0"/>
          <w:szCs w:val="24"/>
        </w:rPr>
        <w:t>6</w:t>
      </w:r>
      <w:r w:rsidRPr="005053FD">
        <w:rPr>
          <w:rFonts w:ascii="Times New Roman" w:hAnsi="Times New Roman"/>
          <w:kern w:val="0"/>
          <w:szCs w:val="24"/>
        </w:rPr>
        <w:t xml:space="preserve"> </w:t>
      </w:r>
      <w:r w:rsidRPr="005053FD">
        <w:rPr>
          <w:rFonts w:ascii="Times New Roman" w:hAnsi="Times New Roman"/>
          <w:kern w:val="0"/>
          <w:szCs w:val="24"/>
        </w:rPr>
        <w:t>管理人、托管人及其高级管理人员受稽查或处罚等情况</w:t>
      </w:r>
      <w:bookmarkEnd w:id="182"/>
      <w:bookmarkEnd w:id="183"/>
      <w:bookmarkEnd w:id="184"/>
      <w:bookmarkEnd w:id="185"/>
    </w:p>
    <w:p w:rsidR="003D270F" w:rsidRDefault="0056124B">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3D270F" w:rsidRDefault="0056124B">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3D270F" w:rsidRDefault="0056124B">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w:t>
      </w:r>
      <w:r>
        <w:rPr>
          <w:rFonts w:eastAsiaTheme="minorEastAsia"/>
          <w:color w:val="000000" w:themeColor="text1"/>
          <w:sz w:val="24"/>
        </w:rPr>
        <w:lastRenderedPageBreak/>
        <w:t>罚。</w:t>
      </w:r>
    </w:p>
    <w:p w:rsidR="003D270F" w:rsidRDefault="0056124B">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5053FD" w:rsidRDefault="00C0329C" w:rsidP="005053FD">
      <w:pPr>
        <w:pStyle w:val="20"/>
        <w:spacing w:before="29" w:after="0" w:line="288" w:lineRule="auto"/>
        <w:rPr>
          <w:rFonts w:ascii="Times New Roman" w:hAnsi="Times New Roman"/>
          <w:kern w:val="0"/>
          <w:szCs w:val="24"/>
        </w:rPr>
      </w:pPr>
      <w:bookmarkStart w:id="186" w:name="_Toc361324900"/>
      <w:bookmarkStart w:id="187" w:name="_Toc409100468"/>
      <w:bookmarkStart w:id="188" w:name="_Toc409100105"/>
      <w:bookmarkStart w:id="189" w:name="_Toc35959580"/>
      <w:r w:rsidRPr="005053FD">
        <w:rPr>
          <w:rFonts w:ascii="Times New Roman" w:hAnsi="Times New Roman"/>
          <w:kern w:val="0"/>
          <w:szCs w:val="24"/>
        </w:rPr>
        <w:t>11.</w:t>
      </w:r>
      <w:r w:rsidR="008825BF" w:rsidRPr="005053FD">
        <w:rPr>
          <w:rFonts w:ascii="Times New Roman" w:hAnsi="Times New Roman"/>
          <w:kern w:val="0"/>
          <w:szCs w:val="24"/>
        </w:rPr>
        <w:t>7</w:t>
      </w:r>
      <w:r w:rsidRPr="005053FD">
        <w:rPr>
          <w:rFonts w:ascii="Times New Roman" w:hAnsi="Times New Roman"/>
          <w:kern w:val="0"/>
          <w:szCs w:val="24"/>
        </w:rPr>
        <w:t xml:space="preserve"> </w:t>
      </w:r>
      <w:r w:rsidRPr="005053FD">
        <w:rPr>
          <w:rFonts w:ascii="Times New Roman" w:hAnsi="Times New Roman"/>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3D270F">
        <w:tc>
          <w:tcPr>
            <w:tcW w:w="1560" w:type="dxa"/>
            <w:vAlign w:val="center"/>
          </w:tcPr>
          <w:p w:rsidR="003D270F" w:rsidRDefault="0056124B">
            <w:pPr>
              <w:jc w:val="left"/>
            </w:pPr>
            <w:r>
              <w:rPr>
                <w:rFonts w:eastAsiaTheme="minorEastAsia"/>
                <w:color w:val="000000" w:themeColor="text1"/>
                <w:sz w:val="24"/>
              </w:rPr>
              <w:t>安信证券股份有限公司</w:t>
            </w:r>
          </w:p>
        </w:tc>
        <w:tc>
          <w:tcPr>
            <w:tcW w:w="780" w:type="dxa"/>
            <w:vAlign w:val="center"/>
          </w:tcPr>
          <w:p w:rsidR="003D270F" w:rsidRDefault="0056124B">
            <w:pPr>
              <w:jc w:val="right"/>
            </w:pPr>
            <w:r>
              <w:rPr>
                <w:rFonts w:eastAsiaTheme="minorEastAsia"/>
                <w:color w:val="000000" w:themeColor="text1"/>
                <w:sz w:val="24"/>
              </w:rPr>
              <w:t>2</w:t>
            </w:r>
          </w:p>
        </w:tc>
        <w:tc>
          <w:tcPr>
            <w:tcW w:w="180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right"/>
            </w:pPr>
            <w:r>
              <w:rPr>
                <w:rFonts w:eastAsiaTheme="minorEastAsia"/>
                <w:color w:val="000000" w:themeColor="text1"/>
                <w:sz w:val="24"/>
              </w:rPr>
              <w:t>-</w:t>
            </w:r>
          </w:p>
        </w:tc>
        <w:tc>
          <w:tcPr>
            <w:tcW w:w="162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left"/>
            </w:pPr>
            <w:r>
              <w:rPr>
                <w:rFonts w:eastAsiaTheme="minorEastAsia"/>
                <w:color w:val="000000" w:themeColor="text1"/>
                <w:sz w:val="24"/>
              </w:rPr>
              <w:t>-</w:t>
            </w:r>
          </w:p>
        </w:tc>
      </w:tr>
      <w:tr w:rsidR="003D270F">
        <w:tc>
          <w:tcPr>
            <w:tcW w:w="1560" w:type="dxa"/>
            <w:vAlign w:val="center"/>
          </w:tcPr>
          <w:p w:rsidR="003D270F" w:rsidRDefault="0056124B">
            <w:pPr>
              <w:jc w:val="left"/>
            </w:pPr>
            <w:r>
              <w:rPr>
                <w:rFonts w:eastAsiaTheme="minorEastAsia"/>
                <w:color w:val="000000" w:themeColor="text1"/>
                <w:sz w:val="24"/>
              </w:rPr>
              <w:t>国金证券股份有限公司</w:t>
            </w:r>
          </w:p>
        </w:tc>
        <w:tc>
          <w:tcPr>
            <w:tcW w:w="780" w:type="dxa"/>
            <w:vAlign w:val="center"/>
          </w:tcPr>
          <w:p w:rsidR="003D270F" w:rsidRDefault="0056124B">
            <w:pPr>
              <w:jc w:val="right"/>
            </w:pPr>
            <w:r>
              <w:rPr>
                <w:rFonts w:eastAsiaTheme="minorEastAsia"/>
                <w:color w:val="000000" w:themeColor="text1"/>
                <w:sz w:val="24"/>
              </w:rPr>
              <w:t>2</w:t>
            </w:r>
          </w:p>
        </w:tc>
        <w:tc>
          <w:tcPr>
            <w:tcW w:w="180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right"/>
            </w:pPr>
            <w:r>
              <w:rPr>
                <w:rFonts w:eastAsiaTheme="minorEastAsia"/>
                <w:color w:val="000000" w:themeColor="text1"/>
                <w:sz w:val="24"/>
              </w:rPr>
              <w:t>-</w:t>
            </w:r>
          </w:p>
        </w:tc>
        <w:tc>
          <w:tcPr>
            <w:tcW w:w="162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left"/>
            </w:pPr>
            <w:r>
              <w:rPr>
                <w:rFonts w:eastAsiaTheme="minorEastAsia"/>
                <w:color w:val="000000" w:themeColor="text1"/>
                <w:sz w:val="24"/>
              </w:rPr>
              <w:t>-</w:t>
            </w:r>
          </w:p>
        </w:tc>
      </w:tr>
      <w:tr w:rsidR="003D270F">
        <w:tc>
          <w:tcPr>
            <w:tcW w:w="1560" w:type="dxa"/>
            <w:vAlign w:val="center"/>
          </w:tcPr>
          <w:p w:rsidR="003D270F" w:rsidRDefault="0056124B">
            <w:pPr>
              <w:jc w:val="left"/>
            </w:pPr>
            <w:r>
              <w:rPr>
                <w:rFonts w:eastAsiaTheme="minorEastAsia"/>
                <w:color w:val="000000" w:themeColor="text1"/>
                <w:sz w:val="24"/>
              </w:rPr>
              <w:t>中泰证券股份有限公司</w:t>
            </w:r>
          </w:p>
        </w:tc>
        <w:tc>
          <w:tcPr>
            <w:tcW w:w="780" w:type="dxa"/>
            <w:vAlign w:val="center"/>
          </w:tcPr>
          <w:p w:rsidR="003D270F" w:rsidRDefault="0056124B">
            <w:pPr>
              <w:jc w:val="right"/>
            </w:pPr>
            <w:r>
              <w:rPr>
                <w:rFonts w:eastAsiaTheme="minorEastAsia"/>
                <w:color w:val="000000" w:themeColor="text1"/>
                <w:sz w:val="24"/>
              </w:rPr>
              <w:t>3</w:t>
            </w:r>
          </w:p>
        </w:tc>
        <w:tc>
          <w:tcPr>
            <w:tcW w:w="180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right"/>
            </w:pPr>
            <w:r>
              <w:rPr>
                <w:rFonts w:eastAsiaTheme="minorEastAsia"/>
                <w:color w:val="000000" w:themeColor="text1"/>
                <w:sz w:val="24"/>
              </w:rPr>
              <w:t>-</w:t>
            </w:r>
          </w:p>
        </w:tc>
        <w:tc>
          <w:tcPr>
            <w:tcW w:w="162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left"/>
            </w:pPr>
            <w:r>
              <w:rPr>
                <w:rFonts w:eastAsiaTheme="minorEastAsia"/>
                <w:color w:val="000000" w:themeColor="text1"/>
                <w:sz w:val="24"/>
              </w:rPr>
              <w:t>-</w:t>
            </w:r>
          </w:p>
        </w:tc>
      </w:tr>
      <w:tr w:rsidR="003D270F">
        <w:tc>
          <w:tcPr>
            <w:tcW w:w="1560" w:type="dxa"/>
            <w:vAlign w:val="center"/>
          </w:tcPr>
          <w:p w:rsidR="003D270F" w:rsidRDefault="0056124B">
            <w:pPr>
              <w:jc w:val="left"/>
            </w:pPr>
            <w:r>
              <w:rPr>
                <w:rFonts w:eastAsiaTheme="minorEastAsia"/>
                <w:color w:val="000000" w:themeColor="text1"/>
                <w:sz w:val="24"/>
              </w:rPr>
              <w:t>新时代证券股份有限公司</w:t>
            </w:r>
          </w:p>
        </w:tc>
        <w:tc>
          <w:tcPr>
            <w:tcW w:w="780" w:type="dxa"/>
            <w:vAlign w:val="center"/>
          </w:tcPr>
          <w:p w:rsidR="003D270F" w:rsidRDefault="0056124B">
            <w:pPr>
              <w:jc w:val="right"/>
            </w:pPr>
            <w:r>
              <w:rPr>
                <w:rFonts w:eastAsiaTheme="minorEastAsia"/>
                <w:color w:val="000000" w:themeColor="text1"/>
                <w:sz w:val="24"/>
              </w:rPr>
              <w:t>1</w:t>
            </w:r>
          </w:p>
        </w:tc>
        <w:tc>
          <w:tcPr>
            <w:tcW w:w="180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right"/>
            </w:pPr>
            <w:r>
              <w:rPr>
                <w:rFonts w:eastAsiaTheme="minorEastAsia"/>
                <w:color w:val="000000" w:themeColor="text1"/>
                <w:sz w:val="24"/>
              </w:rPr>
              <w:t>-</w:t>
            </w:r>
          </w:p>
        </w:tc>
        <w:tc>
          <w:tcPr>
            <w:tcW w:w="162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left"/>
            </w:pPr>
            <w:r>
              <w:rPr>
                <w:rFonts w:eastAsiaTheme="minorEastAsia"/>
                <w:color w:val="000000" w:themeColor="text1"/>
                <w:sz w:val="24"/>
              </w:rPr>
              <w:t>-</w:t>
            </w:r>
          </w:p>
        </w:tc>
      </w:tr>
      <w:tr w:rsidR="003D270F">
        <w:tc>
          <w:tcPr>
            <w:tcW w:w="1560" w:type="dxa"/>
            <w:vAlign w:val="center"/>
          </w:tcPr>
          <w:p w:rsidR="003D270F" w:rsidRDefault="0056124B">
            <w:pPr>
              <w:jc w:val="left"/>
            </w:pPr>
            <w:r>
              <w:rPr>
                <w:rFonts w:eastAsiaTheme="minorEastAsia"/>
                <w:color w:val="000000" w:themeColor="text1"/>
                <w:sz w:val="24"/>
              </w:rPr>
              <w:t>国盛证券有限责任公司</w:t>
            </w:r>
          </w:p>
        </w:tc>
        <w:tc>
          <w:tcPr>
            <w:tcW w:w="780" w:type="dxa"/>
            <w:vAlign w:val="center"/>
          </w:tcPr>
          <w:p w:rsidR="003D270F" w:rsidRDefault="0056124B">
            <w:pPr>
              <w:jc w:val="right"/>
            </w:pPr>
            <w:r>
              <w:rPr>
                <w:rFonts w:eastAsiaTheme="minorEastAsia"/>
                <w:color w:val="000000" w:themeColor="text1"/>
                <w:sz w:val="24"/>
              </w:rPr>
              <w:t>1</w:t>
            </w:r>
          </w:p>
        </w:tc>
        <w:tc>
          <w:tcPr>
            <w:tcW w:w="180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right"/>
            </w:pPr>
            <w:r>
              <w:rPr>
                <w:rFonts w:eastAsiaTheme="minorEastAsia"/>
                <w:color w:val="000000" w:themeColor="text1"/>
                <w:sz w:val="24"/>
              </w:rPr>
              <w:t>-</w:t>
            </w:r>
          </w:p>
        </w:tc>
        <w:tc>
          <w:tcPr>
            <w:tcW w:w="162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left"/>
            </w:pPr>
            <w:r>
              <w:rPr>
                <w:rFonts w:eastAsiaTheme="minorEastAsia"/>
                <w:color w:val="000000" w:themeColor="text1"/>
                <w:sz w:val="24"/>
              </w:rPr>
              <w:t>-</w:t>
            </w:r>
          </w:p>
        </w:tc>
      </w:tr>
      <w:tr w:rsidR="003D270F">
        <w:tc>
          <w:tcPr>
            <w:tcW w:w="1560" w:type="dxa"/>
            <w:vAlign w:val="center"/>
          </w:tcPr>
          <w:p w:rsidR="003D270F" w:rsidRDefault="0056124B">
            <w:pPr>
              <w:jc w:val="left"/>
            </w:pPr>
            <w:r>
              <w:rPr>
                <w:rFonts w:eastAsiaTheme="minorEastAsia"/>
                <w:color w:val="000000" w:themeColor="text1"/>
                <w:sz w:val="24"/>
              </w:rPr>
              <w:t>中信证券股份有限公司</w:t>
            </w:r>
          </w:p>
        </w:tc>
        <w:tc>
          <w:tcPr>
            <w:tcW w:w="780" w:type="dxa"/>
            <w:vAlign w:val="center"/>
          </w:tcPr>
          <w:p w:rsidR="003D270F" w:rsidRDefault="0056124B">
            <w:pPr>
              <w:jc w:val="right"/>
            </w:pPr>
            <w:r>
              <w:rPr>
                <w:rFonts w:eastAsiaTheme="minorEastAsia"/>
                <w:color w:val="000000" w:themeColor="text1"/>
                <w:sz w:val="24"/>
              </w:rPr>
              <w:t>1</w:t>
            </w:r>
          </w:p>
        </w:tc>
        <w:tc>
          <w:tcPr>
            <w:tcW w:w="180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right"/>
            </w:pPr>
            <w:r>
              <w:rPr>
                <w:rFonts w:eastAsiaTheme="minorEastAsia"/>
                <w:color w:val="000000" w:themeColor="text1"/>
                <w:sz w:val="24"/>
              </w:rPr>
              <w:t>-</w:t>
            </w:r>
          </w:p>
        </w:tc>
        <w:tc>
          <w:tcPr>
            <w:tcW w:w="162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right"/>
            </w:pPr>
            <w:r>
              <w:rPr>
                <w:rFonts w:eastAsiaTheme="minorEastAsia"/>
                <w:color w:val="000000" w:themeColor="text1"/>
                <w:sz w:val="24"/>
              </w:rPr>
              <w:t>-</w:t>
            </w:r>
          </w:p>
        </w:tc>
        <w:tc>
          <w:tcPr>
            <w:tcW w:w="1080" w:type="dxa"/>
            <w:vAlign w:val="center"/>
          </w:tcPr>
          <w:p w:rsidR="003D270F" w:rsidRDefault="0056124B">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3D270F">
        <w:tc>
          <w:tcPr>
            <w:tcW w:w="1560" w:type="dxa"/>
            <w:vAlign w:val="center"/>
          </w:tcPr>
          <w:p w:rsidR="003D270F" w:rsidRDefault="0056124B">
            <w:pPr>
              <w:jc w:val="center"/>
            </w:pPr>
            <w:r>
              <w:rPr>
                <w:rFonts w:eastAsiaTheme="minorEastAsia"/>
                <w:color w:val="000000" w:themeColor="text1"/>
                <w:sz w:val="24"/>
              </w:rPr>
              <w:t>安信证券股份有限公司</w:t>
            </w:r>
          </w:p>
        </w:tc>
        <w:tc>
          <w:tcPr>
            <w:tcW w:w="1320" w:type="dxa"/>
            <w:vAlign w:val="center"/>
          </w:tcPr>
          <w:p w:rsidR="003D270F" w:rsidRDefault="0056124B">
            <w:pPr>
              <w:jc w:val="right"/>
            </w:pPr>
            <w:r>
              <w:rPr>
                <w:rFonts w:eastAsiaTheme="minorEastAsia"/>
                <w:color w:val="000000" w:themeColor="text1"/>
                <w:sz w:val="24"/>
              </w:rPr>
              <w:t>118,600,166.00</w:t>
            </w:r>
          </w:p>
        </w:tc>
        <w:tc>
          <w:tcPr>
            <w:tcW w:w="1080" w:type="dxa"/>
            <w:vAlign w:val="center"/>
          </w:tcPr>
          <w:p w:rsidR="003D270F" w:rsidRDefault="0056124B">
            <w:pPr>
              <w:jc w:val="right"/>
            </w:pPr>
            <w:r>
              <w:rPr>
                <w:rFonts w:eastAsiaTheme="minorEastAsia"/>
                <w:color w:val="000000" w:themeColor="text1"/>
                <w:sz w:val="24"/>
              </w:rPr>
              <w:t>100.00%</w:t>
            </w:r>
          </w:p>
        </w:tc>
        <w:tc>
          <w:tcPr>
            <w:tcW w:w="1143" w:type="dxa"/>
            <w:vAlign w:val="center"/>
          </w:tcPr>
          <w:p w:rsidR="003D270F" w:rsidRDefault="0056124B">
            <w:pPr>
              <w:jc w:val="right"/>
            </w:pPr>
            <w:r>
              <w:rPr>
                <w:rFonts w:eastAsiaTheme="minorEastAsia"/>
                <w:color w:val="000000" w:themeColor="text1"/>
                <w:sz w:val="24"/>
              </w:rPr>
              <w:t>411,700,000.00</w:t>
            </w:r>
          </w:p>
        </w:tc>
        <w:tc>
          <w:tcPr>
            <w:tcW w:w="1197" w:type="dxa"/>
            <w:vAlign w:val="center"/>
          </w:tcPr>
          <w:p w:rsidR="003D270F" w:rsidRDefault="0056124B">
            <w:pPr>
              <w:jc w:val="right"/>
            </w:pPr>
            <w:r>
              <w:rPr>
                <w:rFonts w:eastAsiaTheme="minorEastAsia"/>
                <w:color w:val="000000" w:themeColor="text1"/>
                <w:sz w:val="24"/>
              </w:rPr>
              <w:t>100.00%</w:t>
            </w:r>
          </w:p>
        </w:tc>
        <w:tc>
          <w:tcPr>
            <w:tcW w:w="1497" w:type="dxa"/>
            <w:vAlign w:val="center"/>
          </w:tcPr>
          <w:p w:rsidR="003D270F" w:rsidRDefault="0056124B">
            <w:pPr>
              <w:jc w:val="right"/>
            </w:pPr>
            <w:r>
              <w:rPr>
                <w:rFonts w:eastAsiaTheme="minorEastAsia"/>
                <w:color w:val="000000" w:themeColor="text1"/>
                <w:sz w:val="24"/>
              </w:rPr>
              <w:t>-</w:t>
            </w:r>
          </w:p>
        </w:tc>
        <w:tc>
          <w:tcPr>
            <w:tcW w:w="1203" w:type="dxa"/>
            <w:vAlign w:val="center"/>
          </w:tcPr>
          <w:p w:rsidR="003D270F" w:rsidRDefault="0056124B">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3D270F" w:rsidRDefault="0056124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、报告期内，本基金新增加国盛证券有限责任公司，其它交易单元未发生变化；</w:t>
      </w:r>
    </w:p>
    <w:p w:rsidR="003D270F" w:rsidRDefault="0056124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w:t>
      </w:r>
      <w:r>
        <w:rPr>
          <w:rFonts w:eastAsiaTheme="minorEastAsia"/>
          <w:color w:val="000000" w:themeColor="text1"/>
          <w:sz w:val="24"/>
        </w:rPr>
        <w:lastRenderedPageBreak/>
        <w:t>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193" w:name="_Toc361324901"/>
      <w:bookmarkStart w:id="194" w:name="_Toc35959581"/>
      <w:r w:rsidRPr="005053FD">
        <w:rPr>
          <w:rFonts w:ascii="Times New Roman" w:hAnsi="Times New Roman"/>
          <w:kern w:val="0"/>
          <w:szCs w:val="24"/>
        </w:rPr>
        <w:t>11.8</w:t>
      </w:r>
      <w:r w:rsidRPr="005053FD">
        <w:rPr>
          <w:rFonts w:ascii="Times New Roman" w:hAnsi="Times New Roman" w:hint="eastAsia"/>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3D270F">
        <w:tc>
          <w:tcPr>
            <w:tcW w:w="720" w:type="dxa"/>
            <w:vAlign w:val="center"/>
          </w:tcPr>
          <w:p w:rsidR="003D270F" w:rsidRDefault="0056124B">
            <w:pPr>
              <w:jc w:val="center"/>
            </w:pPr>
            <w:r>
              <w:rPr>
                <w:color w:val="000000"/>
                <w:sz w:val="24"/>
              </w:rPr>
              <w:t>1</w:t>
            </w:r>
          </w:p>
        </w:tc>
        <w:tc>
          <w:tcPr>
            <w:tcW w:w="4320" w:type="dxa"/>
            <w:vAlign w:val="center"/>
          </w:tcPr>
          <w:p w:rsidR="003D270F" w:rsidRDefault="0056124B">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3D270F" w:rsidRDefault="0056124B">
            <w:pPr>
              <w:jc w:val="center"/>
            </w:pPr>
            <w:r>
              <w:rPr>
                <w:color w:val="000000"/>
                <w:sz w:val="24"/>
              </w:rPr>
              <w:t>中国证券报、上海证券报、证券时报</w:t>
            </w:r>
          </w:p>
        </w:tc>
        <w:tc>
          <w:tcPr>
            <w:tcW w:w="1629" w:type="dxa"/>
            <w:vAlign w:val="center"/>
          </w:tcPr>
          <w:p w:rsidR="003D270F" w:rsidRDefault="0056124B">
            <w:pPr>
              <w:jc w:val="center"/>
            </w:pPr>
            <w:r>
              <w:rPr>
                <w:color w:val="000000"/>
                <w:sz w:val="24"/>
              </w:rPr>
              <w:t>2019-01-15</w:t>
            </w:r>
          </w:p>
        </w:tc>
      </w:tr>
      <w:tr w:rsidR="003D270F">
        <w:tc>
          <w:tcPr>
            <w:tcW w:w="720" w:type="dxa"/>
            <w:vAlign w:val="center"/>
          </w:tcPr>
          <w:p w:rsidR="003D270F" w:rsidRDefault="0056124B">
            <w:pPr>
              <w:jc w:val="center"/>
            </w:pPr>
            <w:r>
              <w:rPr>
                <w:color w:val="000000"/>
                <w:sz w:val="24"/>
              </w:rPr>
              <w:t>2</w:t>
            </w:r>
          </w:p>
        </w:tc>
        <w:tc>
          <w:tcPr>
            <w:tcW w:w="4320" w:type="dxa"/>
            <w:vAlign w:val="center"/>
          </w:tcPr>
          <w:p w:rsidR="003D270F" w:rsidRDefault="0056124B">
            <w:pPr>
              <w:jc w:val="left"/>
            </w:pPr>
            <w:r>
              <w:rPr>
                <w:color w:val="000000"/>
                <w:sz w:val="24"/>
              </w:rPr>
              <w:t>交银施罗德丰盈收益债券型证券投资基金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3D270F" w:rsidRDefault="0056124B">
            <w:pPr>
              <w:jc w:val="center"/>
            </w:pPr>
            <w:r>
              <w:rPr>
                <w:color w:val="000000"/>
                <w:sz w:val="24"/>
              </w:rPr>
              <w:t>证券时报</w:t>
            </w:r>
          </w:p>
        </w:tc>
        <w:tc>
          <w:tcPr>
            <w:tcW w:w="1629" w:type="dxa"/>
            <w:vAlign w:val="center"/>
          </w:tcPr>
          <w:p w:rsidR="003D270F" w:rsidRDefault="0056124B">
            <w:pPr>
              <w:jc w:val="center"/>
            </w:pPr>
            <w:r>
              <w:rPr>
                <w:color w:val="000000"/>
                <w:sz w:val="24"/>
              </w:rPr>
              <w:t>2019-01-21</w:t>
            </w:r>
          </w:p>
        </w:tc>
      </w:tr>
      <w:tr w:rsidR="003D270F">
        <w:tc>
          <w:tcPr>
            <w:tcW w:w="720" w:type="dxa"/>
            <w:vAlign w:val="center"/>
          </w:tcPr>
          <w:p w:rsidR="003D270F" w:rsidRDefault="0056124B">
            <w:pPr>
              <w:jc w:val="center"/>
            </w:pPr>
            <w:r>
              <w:rPr>
                <w:color w:val="000000"/>
                <w:sz w:val="24"/>
              </w:rPr>
              <w:t>3</w:t>
            </w:r>
          </w:p>
        </w:tc>
        <w:tc>
          <w:tcPr>
            <w:tcW w:w="4320" w:type="dxa"/>
            <w:vAlign w:val="center"/>
          </w:tcPr>
          <w:p w:rsidR="003D270F" w:rsidRDefault="0056124B">
            <w:pPr>
              <w:jc w:val="left"/>
            </w:pPr>
            <w:r>
              <w:rPr>
                <w:color w:val="000000"/>
                <w:sz w:val="24"/>
              </w:rPr>
              <w:t>交银施罗德基金管理有限公司关于开展网上直销交易平台交易费率优惠活动的公告</w:t>
            </w:r>
          </w:p>
        </w:tc>
        <w:tc>
          <w:tcPr>
            <w:tcW w:w="2331" w:type="dxa"/>
            <w:vAlign w:val="center"/>
          </w:tcPr>
          <w:p w:rsidR="003D270F" w:rsidRDefault="0056124B">
            <w:pPr>
              <w:jc w:val="center"/>
            </w:pPr>
            <w:r>
              <w:rPr>
                <w:color w:val="000000"/>
                <w:sz w:val="24"/>
              </w:rPr>
              <w:t>中国证券报、上海证券报、证券时报</w:t>
            </w:r>
          </w:p>
        </w:tc>
        <w:tc>
          <w:tcPr>
            <w:tcW w:w="1629" w:type="dxa"/>
            <w:vAlign w:val="center"/>
          </w:tcPr>
          <w:p w:rsidR="003D270F" w:rsidRDefault="0056124B">
            <w:pPr>
              <w:jc w:val="center"/>
            </w:pPr>
            <w:r>
              <w:rPr>
                <w:color w:val="000000"/>
                <w:sz w:val="24"/>
              </w:rPr>
              <w:t>2019-01-28</w:t>
            </w:r>
          </w:p>
        </w:tc>
      </w:tr>
      <w:tr w:rsidR="003D270F">
        <w:tc>
          <w:tcPr>
            <w:tcW w:w="720" w:type="dxa"/>
            <w:vAlign w:val="center"/>
          </w:tcPr>
          <w:p w:rsidR="003D270F" w:rsidRDefault="0056124B">
            <w:pPr>
              <w:jc w:val="center"/>
            </w:pPr>
            <w:r>
              <w:rPr>
                <w:color w:val="000000"/>
                <w:sz w:val="24"/>
              </w:rPr>
              <w:t>4</w:t>
            </w:r>
          </w:p>
        </w:tc>
        <w:tc>
          <w:tcPr>
            <w:tcW w:w="4320" w:type="dxa"/>
            <w:vAlign w:val="center"/>
          </w:tcPr>
          <w:p w:rsidR="003D270F" w:rsidRDefault="0056124B">
            <w:pPr>
              <w:jc w:val="left"/>
            </w:pPr>
            <w:r>
              <w:rPr>
                <w:color w:val="000000"/>
                <w:sz w:val="24"/>
              </w:rPr>
              <w:t>交银施罗德基金管理有限公司关于暂停大泰金石基金销售有限公司办理相关销售业务的公告</w:t>
            </w:r>
          </w:p>
        </w:tc>
        <w:tc>
          <w:tcPr>
            <w:tcW w:w="2331" w:type="dxa"/>
            <w:vAlign w:val="center"/>
          </w:tcPr>
          <w:p w:rsidR="003D270F" w:rsidRDefault="0056124B">
            <w:pPr>
              <w:jc w:val="center"/>
            </w:pPr>
            <w:r>
              <w:rPr>
                <w:color w:val="000000"/>
                <w:sz w:val="24"/>
              </w:rPr>
              <w:t>中国证券报、上海证券报、证券时报</w:t>
            </w:r>
          </w:p>
        </w:tc>
        <w:tc>
          <w:tcPr>
            <w:tcW w:w="1629" w:type="dxa"/>
            <w:vAlign w:val="center"/>
          </w:tcPr>
          <w:p w:rsidR="003D270F" w:rsidRDefault="0056124B">
            <w:pPr>
              <w:jc w:val="center"/>
            </w:pPr>
            <w:r>
              <w:rPr>
                <w:color w:val="000000"/>
                <w:sz w:val="24"/>
              </w:rPr>
              <w:t>2019-01-29</w:t>
            </w:r>
          </w:p>
        </w:tc>
      </w:tr>
      <w:tr w:rsidR="003D270F">
        <w:tc>
          <w:tcPr>
            <w:tcW w:w="720" w:type="dxa"/>
            <w:vAlign w:val="center"/>
          </w:tcPr>
          <w:p w:rsidR="003D270F" w:rsidRDefault="0056124B">
            <w:pPr>
              <w:jc w:val="center"/>
            </w:pPr>
            <w:r>
              <w:rPr>
                <w:color w:val="000000"/>
                <w:sz w:val="24"/>
              </w:rPr>
              <w:t>5</w:t>
            </w:r>
          </w:p>
        </w:tc>
        <w:tc>
          <w:tcPr>
            <w:tcW w:w="4320" w:type="dxa"/>
            <w:vAlign w:val="center"/>
          </w:tcPr>
          <w:p w:rsidR="003D270F" w:rsidRDefault="0056124B">
            <w:pPr>
              <w:jc w:val="left"/>
            </w:pPr>
            <w:r>
              <w:rPr>
                <w:color w:val="000000"/>
                <w:sz w:val="24"/>
              </w:rPr>
              <w:t>交银施罗德基金管理有限公司关于总经理变更的公告</w:t>
            </w:r>
          </w:p>
        </w:tc>
        <w:tc>
          <w:tcPr>
            <w:tcW w:w="2331" w:type="dxa"/>
            <w:vAlign w:val="center"/>
          </w:tcPr>
          <w:p w:rsidR="003D270F" w:rsidRDefault="0056124B">
            <w:pPr>
              <w:jc w:val="center"/>
            </w:pPr>
            <w:r>
              <w:rPr>
                <w:color w:val="000000"/>
                <w:sz w:val="24"/>
              </w:rPr>
              <w:t>中国证券报、上海证券报、证券时报</w:t>
            </w:r>
          </w:p>
        </w:tc>
        <w:tc>
          <w:tcPr>
            <w:tcW w:w="1629" w:type="dxa"/>
            <w:vAlign w:val="center"/>
          </w:tcPr>
          <w:p w:rsidR="003D270F" w:rsidRDefault="0056124B">
            <w:pPr>
              <w:jc w:val="center"/>
            </w:pPr>
            <w:r>
              <w:rPr>
                <w:color w:val="000000"/>
                <w:sz w:val="24"/>
              </w:rPr>
              <w:t>2019-02-28</w:t>
            </w:r>
          </w:p>
        </w:tc>
      </w:tr>
      <w:tr w:rsidR="003D270F">
        <w:tc>
          <w:tcPr>
            <w:tcW w:w="720" w:type="dxa"/>
            <w:vAlign w:val="center"/>
          </w:tcPr>
          <w:p w:rsidR="003D270F" w:rsidRDefault="0056124B">
            <w:pPr>
              <w:jc w:val="center"/>
            </w:pPr>
            <w:r>
              <w:rPr>
                <w:color w:val="000000"/>
                <w:sz w:val="24"/>
              </w:rPr>
              <w:t>6</w:t>
            </w:r>
          </w:p>
        </w:tc>
        <w:tc>
          <w:tcPr>
            <w:tcW w:w="4320" w:type="dxa"/>
            <w:vAlign w:val="center"/>
          </w:tcPr>
          <w:p w:rsidR="003D270F" w:rsidRDefault="0056124B">
            <w:pPr>
              <w:jc w:val="left"/>
            </w:pPr>
            <w:r>
              <w:rPr>
                <w:color w:val="000000"/>
                <w:sz w:val="24"/>
              </w:rPr>
              <w:t>交银施罗德基金管理有限公司关于暂停苏州财路基金销售有限公司办理相关销售业务的公告</w:t>
            </w:r>
          </w:p>
        </w:tc>
        <w:tc>
          <w:tcPr>
            <w:tcW w:w="2331" w:type="dxa"/>
            <w:vAlign w:val="center"/>
          </w:tcPr>
          <w:p w:rsidR="003D270F" w:rsidRDefault="0056124B">
            <w:pPr>
              <w:jc w:val="center"/>
            </w:pPr>
            <w:r>
              <w:rPr>
                <w:color w:val="000000"/>
                <w:sz w:val="24"/>
              </w:rPr>
              <w:t>中国证券报、上海证券报、证券时报</w:t>
            </w:r>
          </w:p>
        </w:tc>
        <w:tc>
          <w:tcPr>
            <w:tcW w:w="1629" w:type="dxa"/>
            <w:vAlign w:val="center"/>
          </w:tcPr>
          <w:p w:rsidR="003D270F" w:rsidRDefault="0056124B">
            <w:pPr>
              <w:jc w:val="center"/>
            </w:pPr>
            <w:r>
              <w:rPr>
                <w:color w:val="000000"/>
                <w:sz w:val="24"/>
              </w:rPr>
              <w:t>2019-03-07</w:t>
            </w:r>
          </w:p>
        </w:tc>
      </w:tr>
      <w:tr w:rsidR="003D270F">
        <w:tc>
          <w:tcPr>
            <w:tcW w:w="720" w:type="dxa"/>
            <w:vAlign w:val="center"/>
          </w:tcPr>
          <w:p w:rsidR="003D270F" w:rsidRDefault="0056124B">
            <w:pPr>
              <w:jc w:val="center"/>
            </w:pPr>
            <w:r>
              <w:rPr>
                <w:color w:val="000000"/>
                <w:sz w:val="24"/>
              </w:rPr>
              <w:t>7</w:t>
            </w:r>
          </w:p>
        </w:tc>
        <w:tc>
          <w:tcPr>
            <w:tcW w:w="4320" w:type="dxa"/>
            <w:vAlign w:val="center"/>
          </w:tcPr>
          <w:p w:rsidR="003D270F" w:rsidRDefault="0056124B">
            <w:pPr>
              <w:jc w:val="left"/>
            </w:pPr>
            <w:r>
              <w:rPr>
                <w:color w:val="000000"/>
                <w:sz w:val="24"/>
              </w:rPr>
              <w:t>交银施罗德丰盈收益债券型证券投资基金</w:t>
            </w:r>
            <w:r>
              <w:rPr>
                <w:color w:val="000000"/>
                <w:sz w:val="24"/>
              </w:rPr>
              <w:t>2018</w:t>
            </w:r>
            <w:r>
              <w:rPr>
                <w:color w:val="000000"/>
                <w:sz w:val="24"/>
              </w:rPr>
              <w:t>年年度报告摘要</w:t>
            </w:r>
          </w:p>
        </w:tc>
        <w:tc>
          <w:tcPr>
            <w:tcW w:w="2331" w:type="dxa"/>
            <w:vAlign w:val="center"/>
          </w:tcPr>
          <w:p w:rsidR="003D270F" w:rsidRDefault="0056124B">
            <w:pPr>
              <w:jc w:val="center"/>
            </w:pPr>
            <w:r>
              <w:rPr>
                <w:color w:val="000000"/>
                <w:sz w:val="24"/>
              </w:rPr>
              <w:t>证券时报</w:t>
            </w:r>
          </w:p>
        </w:tc>
        <w:tc>
          <w:tcPr>
            <w:tcW w:w="1629" w:type="dxa"/>
            <w:vAlign w:val="center"/>
          </w:tcPr>
          <w:p w:rsidR="003D270F" w:rsidRDefault="0056124B">
            <w:pPr>
              <w:jc w:val="center"/>
            </w:pPr>
            <w:r>
              <w:rPr>
                <w:color w:val="000000"/>
                <w:sz w:val="24"/>
              </w:rPr>
              <w:t>2019-03-27</w:t>
            </w:r>
          </w:p>
        </w:tc>
      </w:tr>
      <w:tr w:rsidR="003D270F">
        <w:tc>
          <w:tcPr>
            <w:tcW w:w="720" w:type="dxa"/>
            <w:vAlign w:val="center"/>
          </w:tcPr>
          <w:p w:rsidR="003D270F" w:rsidRDefault="0056124B">
            <w:pPr>
              <w:jc w:val="center"/>
            </w:pPr>
            <w:r>
              <w:rPr>
                <w:color w:val="000000"/>
                <w:sz w:val="24"/>
              </w:rPr>
              <w:t>8</w:t>
            </w:r>
          </w:p>
        </w:tc>
        <w:tc>
          <w:tcPr>
            <w:tcW w:w="4320" w:type="dxa"/>
            <w:vAlign w:val="center"/>
          </w:tcPr>
          <w:p w:rsidR="003D270F" w:rsidRDefault="0056124B">
            <w:pPr>
              <w:jc w:val="left"/>
            </w:pPr>
            <w:r>
              <w:rPr>
                <w:color w:val="000000"/>
                <w:sz w:val="24"/>
              </w:rPr>
              <w:t>交银施罗德丰盈收益债券型证券投资基金（更新）招募说明书摘要（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3D270F" w:rsidRDefault="0056124B">
            <w:pPr>
              <w:jc w:val="center"/>
            </w:pPr>
            <w:r>
              <w:rPr>
                <w:color w:val="000000"/>
                <w:sz w:val="24"/>
              </w:rPr>
              <w:t>证券时报</w:t>
            </w:r>
          </w:p>
        </w:tc>
        <w:tc>
          <w:tcPr>
            <w:tcW w:w="1629" w:type="dxa"/>
            <w:vAlign w:val="center"/>
          </w:tcPr>
          <w:p w:rsidR="003D270F" w:rsidRDefault="0056124B">
            <w:pPr>
              <w:jc w:val="center"/>
            </w:pPr>
            <w:r>
              <w:rPr>
                <w:color w:val="000000"/>
                <w:sz w:val="24"/>
              </w:rPr>
              <w:t>2019-03-28</w:t>
            </w:r>
          </w:p>
        </w:tc>
      </w:tr>
      <w:tr w:rsidR="003D270F">
        <w:tc>
          <w:tcPr>
            <w:tcW w:w="720" w:type="dxa"/>
            <w:vAlign w:val="center"/>
          </w:tcPr>
          <w:p w:rsidR="003D270F" w:rsidRDefault="0056124B">
            <w:pPr>
              <w:jc w:val="center"/>
            </w:pPr>
            <w:r>
              <w:rPr>
                <w:color w:val="000000"/>
                <w:sz w:val="24"/>
              </w:rPr>
              <w:t>9</w:t>
            </w:r>
          </w:p>
        </w:tc>
        <w:tc>
          <w:tcPr>
            <w:tcW w:w="4320" w:type="dxa"/>
            <w:vAlign w:val="center"/>
          </w:tcPr>
          <w:p w:rsidR="003D270F" w:rsidRDefault="0056124B">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3D270F" w:rsidRDefault="0056124B">
            <w:pPr>
              <w:jc w:val="center"/>
            </w:pPr>
            <w:r>
              <w:rPr>
                <w:color w:val="000000"/>
                <w:sz w:val="24"/>
              </w:rPr>
              <w:t>中国证券报、上海证券报、证券时报</w:t>
            </w:r>
          </w:p>
        </w:tc>
        <w:tc>
          <w:tcPr>
            <w:tcW w:w="1629" w:type="dxa"/>
            <w:vAlign w:val="center"/>
          </w:tcPr>
          <w:p w:rsidR="003D270F" w:rsidRDefault="0056124B">
            <w:pPr>
              <w:jc w:val="center"/>
            </w:pPr>
            <w:r>
              <w:rPr>
                <w:color w:val="000000"/>
                <w:sz w:val="24"/>
              </w:rPr>
              <w:t>2019-04-12</w:t>
            </w:r>
          </w:p>
        </w:tc>
      </w:tr>
      <w:tr w:rsidR="003D270F">
        <w:tc>
          <w:tcPr>
            <w:tcW w:w="720" w:type="dxa"/>
            <w:vAlign w:val="center"/>
          </w:tcPr>
          <w:p w:rsidR="003D270F" w:rsidRDefault="0056124B">
            <w:pPr>
              <w:jc w:val="center"/>
            </w:pPr>
            <w:r>
              <w:rPr>
                <w:color w:val="000000"/>
                <w:sz w:val="24"/>
              </w:rPr>
              <w:t>10</w:t>
            </w:r>
          </w:p>
        </w:tc>
        <w:tc>
          <w:tcPr>
            <w:tcW w:w="4320" w:type="dxa"/>
            <w:vAlign w:val="center"/>
          </w:tcPr>
          <w:p w:rsidR="003D270F" w:rsidRDefault="0056124B">
            <w:pPr>
              <w:jc w:val="left"/>
            </w:pPr>
            <w:r>
              <w:rPr>
                <w:color w:val="000000"/>
                <w:sz w:val="24"/>
              </w:rPr>
              <w:t>交银施罗德基金管理有限公司关于取消纸质对账单寄送的公告</w:t>
            </w:r>
          </w:p>
        </w:tc>
        <w:tc>
          <w:tcPr>
            <w:tcW w:w="2331" w:type="dxa"/>
            <w:vAlign w:val="center"/>
          </w:tcPr>
          <w:p w:rsidR="003D270F" w:rsidRDefault="0056124B">
            <w:pPr>
              <w:jc w:val="center"/>
            </w:pPr>
            <w:r>
              <w:rPr>
                <w:color w:val="000000"/>
                <w:sz w:val="24"/>
              </w:rPr>
              <w:t>中国证券报、上海证券报、证券时报</w:t>
            </w:r>
          </w:p>
        </w:tc>
        <w:tc>
          <w:tcPr>
            <w:tcW w:w="1629" w:type="dxa"/>
            <w:vAlign w:val="center"/>
          </w:tcPr>
          <w:p w:rsidR="003D270F" w:rsidRDefault="0056124B">
            <w:pPr>
              <w:jc w:val="center"/>
            </w:pPr>
            <w:r>
              <w:rPr>
                <w:color w:val="000000"/>
                <w:sz w:val="24"/>
              </w:rPr>
              <w:t>2019-04-12</w:t>
            </w:r>
          </w:p>
        </w:tc>
      </w:tr>
      <w:tr w:rsidR="003D270F">
        <w:tc>
          <w:tcPr>
            <w:tcW w:w="720" w:type="dxa"/>
            <w:vAlign w:val="center"/>
          </w:tcPr>
          <w:p w:rsidR="003D270F" w:rsidRDefault="0056124B">
            <w:pPr>
              <w:jc w:val="center"/>
            </w:pPr>
            <w:r>
              <w:rPr>
                <w:color w:val="000000"/>
                <w:sz w:val="24"/>
              </w:rPr>
              <w:t>11</w:t>
            </w:r>
          </w:p>
        </w:tc>
        <w:tc>
          <w:tcPr>
            <w:tcW w:w="4320" w:type="dxa"/>
            <w:vAlign w:val="center"/>
          </w:tcPr>
          <w:p w:rsidR="003D270F" w:rsidRDefault="0056124B">
            <w:pPr>
              <w:jc w:val="left"/>
            </w:pPr>
            <w:r>
              <w:rPr>
                <w:color w:val="000000"/>
                <w:sz w:val="24"/>
              </w:rPr>
              <w:t>交银施罗德丰盈收益债券型证券投资基金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3D270F" w:rsidRDefault="0056124B">
            <w:pPr>
              <w:jc w:val="center"/>
            </w:pPr>
            <w:r>
              <w:rPr>
                <w:color w:val="000000"/>
                <w:sz w:val="24"/>
              </w:rPr>
              <w:t>证券时报</w:t>
            </w:r>
          </w:p>
        </w:tc>
        <w:tc>
          <w:tcPr>
            <w:tcW w:w="1629" w:type="dxa"/>
            <w:vAlign w:val="center"/>
          </w:tcPr>
          <w:p w:rsidR="003D270F" w:rsidRDefault="0056124B">
            <w:pPr>
              <w:jc w:val="center"/>
            </w:pPr>
            <w:r>
              <w:rPr>
                <w:color w:val="000000"/>
                <w:sz w:val="24"/>
              </w:rPr>
              <w:t>2019-04-20</w:t>
            </w:r>
          </w:p>
        </w:tc>
      </w:tr>
      <w:tr w:rsidR="003D270F">
        <w:tc>
          <w:tcPr>
            <w:tcW w:w="720" w:type="dxa"/>
            <w:vAlign w:val="center"/>
          </w:tcPr>
          <w:p w:rsidR="003D270F" w:rsidRDefault="0056124B">
            <w:pPr>
              <w:jc w:val="center"/>
            </w:pPr>
            <w:r>
              <w:rPr>
                <w:color w:val="000000"/>
                <w:sz w:val="24"/>
              </w:rPr>
              <w:t>12</w:t>
            </w:r>
          </w:p>
        </w:tc>
        <w:tc>
          <w:tcPr>
            <w:tcW w:w="4320" w:type="dxa"/>
            <w:vAlign w:val="center"/>
          </w:tcPr>
          <w:p w:rsidR="003D270F" w:rsidRDefault="0056124B">
            <w:pPr>
              <w:jc w:val="left"/>
            </w:pPr>
            <w:r>
              <w:rPr>
                <w:color w:val="000000"/>
                <w:sz w:val="24"/>
              </w:rPr>
              <w:t>交银施罗德基金管理有限公司关于增加北京唐鼎耀华投资咨询有限公司为旗下部分基金的场外销售机构并参与其基金</w:t>
            </w:r>
            <w:r>
              <w:rPr>
                <w:color w:val="000000"/>
                <w:sz w:val="24"/>
              </w:rPr>
              <w:lastRenderedPageBreak/>
              <w:t>前端申购（含定期定额投资）费率优惠活动的公告</w:t>
            </w:r>
          </w:p>
        </w:tc>
        <w:tc>
          <w:tcPr>
            <w:tcW w:w="2331" w:type="dxa"/>
            <w:vAlign w:val="center"/>
          </w:tcPr>
          <w:p w:rsidR="003D270F" w:rsidRDefault="0056124B">
            <w:pPr>
              <w:jc w:val="center"/>
            </w:pPr>
            <w:r>
              <w:rPr>
                <w:color w:val="000000"/>
                <w:sz w:val="24"/>
              </w:rPr>
              <w:lastRenderedPageBreak/>
              <w:t>中国证券报、上海证券报、证券时报</w:t>
            </w:r>
          </w:p>
        </w:tc>
        <w:tc>
          <w:tcPr>
            <w:tcW w:w="1629" w:type="dxa"/>
            <w:vAlign w:val="center"/>
          </w:tcPr>
          <w:p w:rsidR="003D270F" w:rsidRDefault="0056124B">
            <w:pPr>
              <w:jc w:val="center"/>
            </w:pPr>
            <w:r>
              <w:rPr>
                <w:color w:val="000000"/>
                <w:sz w:val="24"/>
              </w:rPr>
              <w:t>2019-04-23</w:t>
            </w:r>
          </w:p>
        </w:tc>
      </w:tr>
      <w:tr w:rsidR="003D270F">
        <w:tc>
          <w:tcPr>
            <w:tcW w:w="720" w:type="dxa"/>
            <w:vAlign w:val="center"/>
          </w:tcPr>
          <w:p w:rsidR="003D270F" w:rsidRDefault="0056124B">
            <w:pPr>
              <w:jc w:val="center"/>
            </w:pPr>
            <w:r>
              <w:rPr>
                <w:color w:val="000000"/>
                <w:sz w:val="24"/>
              </w:rPr>
              <w:t>13</w:t>
            </w:r>
          </w:p>
        </w:tc>
        <w:tc>
          <w:tcPr>
            <w:tcW w:w="4320" w:type="dxa"/>
            <w:vAlign w:val="center"/>
          </w:tcPr>
          <w:p w:rsidR="003D270F" w:rsidRDefault="0056124B">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3D270F" w:rsidRDefault="0056124B">
            <w:pPr>
              <w:jc w:val="center"/>
            </w:pPr>
            <w:r>
              <w:rPr>
                <w:color w:val="000000"/>
                <w:sz w:val="24"/>
              </w:rPr>
              <w:t>中国证券报、上海证券报、证券时报</w:t>
            </w:r>
          </w:p>
        </w:tc>
        <w:tc>
          <w:tcPr>
            <w:tcW w:w="1629" w:type="dxa"/>
            <w:vAlign w:val="center"/>
          </w:tcPr>
          <w:p w:rsidR="003D270F" w:rsidRDefault="0056124B">
            <w:pPr>
              <w:jc w:val="center"/>
            </w:pPr>
            <w:r>
              <w:rPr>
                <w:color w:val="000000"/>
                <w:sz w:val="24"/>
              </w:rPr>
              <w:t>2019-05-23</w:t>
            </w:r>
          </w:p>
        </w:tc>
      </w:tr>
      <w:tr w:rsidR="003D270F">
        <w:tc>
          <w:tcPr>
            <w:tcW w:w="720" w:type="dxa"/>
            <w:vAlign w:val="center"/>
          </w:tcPr>
          <w:p w:rsidR="003D270F" w:rsidRDefault="0056124B">
            <w:pPr>
              <w:jc w:val="center"/>
            </w:pPr>
            <w:r>
              <w:rPr>
                <w:color w:val="000000"/>
                <w:sz w:val="24"/>
              </w:rPr>
              <w:t>14</w:t>
            </w:r>
          </w:p>
        </w:tc>
        <w:tc>
          <w:tcPr>
            <w:tcW w:w="4320" w:type="dxa"/>
            <w:vAlign w:val="center"/>
          </w:tcPr>
          <w:p w:rsidR="003D270F" w:rsidRDefault="0056124B">
            <w:pPr>
              <w:jc w:val="left"/>
            </w:pPr>
            <w:r>
              <w:rPr>
                <w:color w:val="000000"/>
                <w:sz w:val="24"/>
              </w:rPr>
              <w:t>交银施罗德丰盈收益债券型证券投资基金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3D270F" w:rsidRDefault="0056124B">
            <w:pPr>
              <w:jc w:val="center"/>
            </w:pPr>
            <w:r>
              <w:rPr>
                <w:color w:val="000000"/>
                <w:sz w:val="24"/>
              </w:rPr>
              <w:t>证券时报</w:t>
            </w:r>
          </w:p>
        </w:tc>
        <w:tc>
          <w:tcPr>
            <w:tcW w:w="1629" w:type="dxa"/>
            <w:vAlign w:val="center"/>
          </w:tcPr>
          <w:p w:rsidR="003D270F" w:rsidRDefault="0056124B">
            <w:pPr>
              <w:jc w:val="center"/>
            </w:pPr>
            <w:r>
              <w:rPr>
                <w:color w:val="000000"/>
                <w:sz w:val="24"/>
              </w:rPr>
              <w:t>2019-07-17</w:t>
            </w:r>
          </w:p>
        </w:tc>
      </w:tr>
      <w:tr w:rsidR="003D270F">
        <w:tc>
          <w:tcPr>
            <w:tcW w:w="720" w:type="dxa"/>
            <w:vAlign w:val="center"/>
          </w:tcPr>
          <w:p w:rsidR="003D270F" w:rsidRDefault="0056124B">
            <w:pPr>
              <w:jc w:val="center"/>
            </w:pPr>
            <w:r>
              <w:rPr>
                <w:color w:val="000000"/>
                <w:sz w:val="24"/>
              </w:rPr>
              <w:t>15</w:t>
            </w:r>
          </w:p>
        </w:tc>
        <w:tc>
          <w:tcPr>
            <w:tcW w:w="4320" w:type="dxa"/>
            <w:vAlign w:val="center"/>
          </w:tcPr>
          <w:p w:rsidR="003D270F" w:rsidRDefault="0056124B">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3D270F" w:rsidRDefault="0056124B">
            <w:pPr>
              <w:jc w:val="center"/>
            </w:pPr>
            <w:r>
              <w:rPr>
                <w:color w:val="000000"/>
                <w:sz w:val="24"/>
              </w:rPr>
              <w:t>中国证券报、上海证券报、证券时报</w:t>
            </w:r>
          </w:p>
        </w:tc>
        <w:tc>
          <w:tcPr>
            <w:tcW w:w="1629" w:type="dxa"/>
            <w:vAlign w:val="center"/>
          </w:tcPr>
          <w:p w:rsidR="003D270F" w:rsidRDefault="0056124B">
            <w:pPr>
              <w:jc w:val="center"/>
            </w:pPr>
            <w:r>
              <w:rPr>
                <w:color w:val="000000"/>
                <w:sz w:val="24"/>
              </w:rPr>
              <w:t>2019-08-01</w:t>
            </w:r>
          </w:p>
        </w:tc>
      </w:tr>
      <w:tr w:rsidR="003D270F">
        <w:tc>
          <w:tcPr>
            <w:tcW w:w="720" w:type="dxa"/>
            <w:vAlign w:val="center"/>
          </w:tcPr>
          <w:p w:rsidR="003D270F" w:rsidRDefault="0056124B">
            <w:pPr>
              <w:jc w:val="center"/>
            </w:pPr>
            <w:r>
              <w:rPr>
                <w:color w:val="000000"/>
                <w:sz w:val="24"/>
              </w:rPr>
              <w:t>16</w:t>
            </w:r>
          </w:p>
        </w:tc>
        <w:tc>
          <w:tcPr>
            <w:tcW w:w="4320" w:type="dxa"/>
            <w:vAlign w:val="center"/>
          </w:tcPr>
          <w:p w:rsidR="003D270F" w:rsidRDefault="0056124B">
            <w:pPr>
              <w:jc w:val="left"/>
            </w:pPr>
            <w:r>
              <w:rPr>
                <w:color w:val="000000"/>
                <w:sz w:val="24"/>
              </w:rPr>
              <w:t>交银施罗德丰盈收益债券型证券投资基金</w:t>
            </w:r>
            <w:r>
              <w:rPr>
                <w:color w:val="000000"/>
                <w:sz w:val="24"/>
              </w:rPr>
              <w:t>2019</w:t>
            </w:r>
            <w:r>
              <w:rPr>
                <w:color w:val="000000"/>
                <w:sz w:val="24"/>
              </w:rPr>
              <w:t>年半年度报告摘要</w:t>
            </w:r>
          </w:p>
        </w:tc>
        <w:tc>
          <w:tcPr>
            <w:tcW w:w="2331" w:type="dxa"/>
            <w:vAlign w:val="center"/>
          </w:tcPr>
          <w:p w:rsidR="003D270F" w:rsidRDefault="0056124B">
            <w:pPr>
              <w:jc w:val="center"/>
            </w:pPr>
            <w:r>
              <w:rPr>
                <w:color w:val="000000"/>
                <w:sz w:val="24"/>
              </w:rPr>
              <w:t>证券时报</w:t>
            </w:r>
          </w:p>
        </w:tc>
        <w:tc>
          <w:tcPr>
            <w:tcW w:w="1629" w:type="dxa"/>
            <w:vAlign w:val="center"/>
          </w:tcPr>
          <w:p w:rsidR="003D270F" w:rsidRDefault="0056124B">
            <w:pPr>
              <w:jc w:val="center"/>
            </w:pPr>
            <w:r>
              <w:rPr>
                <w:color w:val="000000"/>
                <w:sz w:val="24"/>
              </w:rPr>
              <w:t>2019-08-29</w:t>
            </w:r>
          </w:p>
        </w:tc>
      </w:tr>
      <w:tr w:rsidR="003D270F">
        <w:tc>
          <w:tcPr>
            <w:tcW w:w="720" w:type="dxa"/>
            <w:vAlign w:val="center"/>
          </w:tcPr>
          <w:p w:rsidR="003D270F" w:rsidRDefault="0056124B">
            <w:pPr>
              <w:jc w:val="center"/>
            </w:pPr>
            <w:r>
              <w:rPr>
                <w:color w:val="000000"/>
                <w:sz w:val="24"/>
              </w:rPr>
              <w:t>17</w:t>
            </w:r>
          </w:p>
        </w:tc>
        <w:tc>
          <w:tcPr>
            <w:tcW w:w="4320" w:type="dxa"/>
            <w:vAlign w:val="center"/>
          </w:tcPr>
          <w:p w:rsidR="003D270F" w:rsidRDefault="0056124B">
            <w:pPr>
              <w:jc w:val="left"/>
            </w:pPr>
            <w:r>
              <w:rPr>
                <w:color w:val="000000"/>
                <w:sz w:val="24"/>
              </w:rPr>
              <w:t>交银施罗德基金管理有限公司关于首席信息官任职的公告</w:t>
            </w:r>
          </w:p>
        </w:tc>
        <w:tc>
          <w:tcPr>
            <w:tcW w:w="2331" w:type="dxa"/>
            <w:vAlign w:val="center"/>
          </w:tcPr>
          <w:p w:rsidR="003D270F" w:rsidRDefault="0056124B">
            <w:pPr>
              <w:jc w:val="center"/>
            </w:pPr>
            <w:r>
              <w:rPr>
                <w:color w:val="000000"/>
                <w:sz w:val="24"/>
              </w:rPr>
              <w:t>中国证券报、上海证券报、证券时报</w:t>
            </w:r>
          </w:p>
        </w:tc>
        <w:tc>
          <w:tcPr>
            <w:tcW w:w="1629" w:type="dxa"/>
            <w:vAlign w:val="center"/>
          </w:tcPr>
          <w:p w:rsidR="003D270F" w:rsidRDefault="0056124B">
            <w:pPr>
              <w:jc w:val="center"/>
            </w:pPr>
            <w:r>
              <w:rPr>
                <w:color w:val="000000"/>
                <w:sz w:val="24"/>
              </w:rPr>
              <w:t>2019-09-21</w:t>
            </w:r>
          </w:p>
        </w:tc>
      </w:tr>
      <w:tr w:rsidR="003D270F">
        <w:tc>
          <w:tcPr>
            <w:tcW w:w="720" w:type="dxa"/>
            <w:vAlign w:val="center"/>
          </w:tcPr>
          <w:p w:rsidR="003D270F" w:rsidRDefault="0056124B">
            <w:pPr>
              <w:jc w:val="center"/>
            </w:pPr>
            <w:r>
              <w:rPr>
                <w:color w:val="000000"/>
                <w:sz w:val="24"/>
              </w:rPr>
              <w:t>18</w:t>
            </w:r>
          </w:p>
        </w:tc>
        <w:tc>
          <w:tcPr>
            <w:tcW w:w="4320" w:type="dxa"/>
            <w:vAlign w:val="center"/>
          </w:tcPr>
          <w:p w:rsidR="003D270F" w:rsidRDefault="0056124B">
            <w:pPr>
              <w:jc w:val="left"/>
            </w:pPr>
            <w:r>
              <w:rPr>
                <w:color w:val="000000"/>
                <w:sz w:val="24"/>
              </w:rPr>
              <w:t>交银施罗德丰盈收益债券型证券投资基金（更新）招募说明书摘要（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3D270F" w:rsidRDefault="0056124B">
            <w:pPr>
              <w:jc w:val="center"/>
            </w:pPr>
            <w:r>
              <w:rPr>
                <w:color w:val="000000"/>
                <w:sz w:val="24"/>
              </w:rPr>
              <w:t>证券时报</w:t>
            </w:r>
          </w:p>
        </w:tc>
        <w:tc>
          <w:tcPr>
            <w:tcW w:w="1629" w:type="dxa"/>
            <w:vAlign w:val="center"/>
          </w:tcPr>
          <w:p w:rsidR="003D270F" w:rsidRDefault="0056124B">
            <w:pPr>
              <w:jc w:val="center"/>
            </w:pPr>
            <w:r>
              <w:rPr>
                <w:color w:val="000000"/>
                <w:sz w:val="24"/>
              </w:rPr>
              <w:t>2019-09-25</w:t>
            </w:r>
          </w:p>
        </w:tc>
      </w:tr>
      <w:tr w:rsidR="003D270F">
        <w:tc>
          <w:tcPr>
            <w:tcW w:w="720" w:type="dxa"/>
            <w:vAlign w:val="center"/>
          </w:tcPr>
          <w:p w:rsidR="003D270F" w:rsidRDefault="0056124B">
            <w:pPr>
              <w:jc w:val="center"/>
            </w:pPr>
            <w:r>
              <w:rPr>
                <w:color w:val="000000"/>
                <w:sz w:val="24"/>
              </w:rPr>
              <w:t>19</w:t>
            </w:r>
          </w:p>
        </w:tc>
        <w:tc>
          <w:tcPr>
            <w:tcW w:w="4320" w:type="dxa"/>
            <w:vAlign w:val="center"/>
          </w:tcPr>
          <w:p w:rsidR="003D270F" w:rsidRDefault="0056124B">
            <w:pPr>
              <w:jc w:val="left"/>
            </w:pPr>
            <w:r>
              <w:rPr>
                <w:color w:val="000000"/>
                <w:sz w:val="24"/>
              </w:rPr>
              <w:t>交银施罗德基金管理有限公司关于增加江苏汇林保大基金销售有限公司为旗下基金销售机构的公告</w:t>
            </w:r>
          </w:p>
        </w:tc>
        <w:tc>
          <w:tcPr>
            <w:tcW w:w="2331" w:type="dxa"/>
            <w:vAlign w:val="center"/>
          </w:tcPr>
          <w:p w:rsidR="003D270F" w:rsidRDefault="0056124B">
            <w:pPr>
              <w:jc w:val="center"/>
            </w:pPr>
            <w:r>
              <w:rPr>
                <w:color w:val="000000"/>
                <w:sz w:val="24"/>
              </w:rPr>
              <w:t>中国证券报、上海证券报、证券时报</w:t>
            </w:r>
          </w:p>
        </w:tc>
        <w:tc>
          <w:tcPr>
            <w:tcW w:w="1629" w:type="dxa"/>
            <w:vAlign w:val="center"/>
          </w:tcPr>
          <w:p w:rsidR="003D270F" w:rsidRDefault="0056124B">
            <w:pPr>
              <w:jc w:val="center"/>
            </w:pPr>
            <w:r>
              <w:rPr>
                <w:color w:val="000000"/>
                <w:sz w:val="24"/>
              </w:rPr>
              <w:t>2019-10-08</w:t>
            </w:r>
          </w:p>
        </w:tc>
      </w:tr>
      <w:tr w:rsidR="003D270F">
        <w:tc>
          <w:tcPr>
            <w:tcW w:w="720" w:type="dxa"/>
            <w:vAlign w:val="center"/>
          </w:tcPr>
          <w:p w:rsidR="003D270F" w:rsidRDefault="0056124B">
            <w:pPr>
              <w:jc w:val="center"/>
            </w:pPr>
            <w:r>
              <w:rPr>
                <w:color w:val="000000"/>
                <w:sz w:val="24"/>
              </w:rPr>
              <w:t>20</w:t>
            </w:r>
          </w:p>
        </w:tc>
        <w:tc>
          <w:tcPr>
            <w:tcW w:w="4320" w:type="dxa"/>
            <w:vAlign w:val="center"/>
          </w:tcPr>
          <w:p w:rsidR="003D270F" w:rsidRDefault="0056124B">
            <w:pPr>
              <w:jc w:val="left"/>
            </w:pPr>
            <w:r>
              <w:rPr>
                <w:color w:val="000000"/>
                <w:sz w:val="24"/>
              </w:rPr>
              <w:t>交银施罗德基金管理有限公司关于增加上海大智慧基金销售有限公司为旗下基金销售机构的公告</w:t>
            </w:r>
          </w:p>
        </w:tc>
        <w:tc>
          <w:tcPr>
            <w:tcW w:w="2331" w:type="dxa"/>
            <w:vAlign w:val="center"/>
          </w:tcPr>
          <w:p w:rsidR="003D270F" w:rsidRDefault="0056124B">
            <w:pPr>
              <w:jc w:val="center"/>
            </w:pPr>
            <w:r>
              <w:rPr>
                <w:color w:val="000000"/>
                <w:sz w:val="24"/>
              </w:rPr>
              <w:t>中国证券报、上海证券报、证券时报</w:t>
            </w:r>
          </w:p>
        </w:tc>
        <w:tc>
          <w:tcPr>
            <w:tcW w:w="1629" w:type="dxa"/>
            <w:vAlign w:val="center"/>
          </w:tcPr>
          <w:p w:rsidR="003D270F" w:rsidRDefault="0056124B">
            <w:pPr>
              <w:jc w:val="center"/>
            </w:pPr>
            <w:r>
              <w:rPr>
                <w:color w:val="000000"/>
                <w:sz w:val="24"/>
              </w:rPr>
              <w:t>2019-10-11</w:t>
            </w:r>
          </w:p>
        </w:tc>
      </w:tr>
      <w:tr w:rsidR="003D270F">
        <w:tc>
          <w:tcPr>
            <w:tcW w:w="720" w:type="dxa"/>
            <w:vAlign w:val="center"/>
          </w:tcPr>
          <w:p w:rsidR="003D270F" w:rsidRDefault="0056124B">
            <w:pPr>
              <w:jc w:val="center"/>
            </w:pPr>
            <w:r>
              <w:rPr>
                <w:color w:val="000000"/>
                <w:sz w:val="24"/>
              </w:rPr>
              <w:t>21</w:t>
            </w:r>
          </w:p>
        </w:tc>
        <w:tc>
          <w:tcPr>
            <w:tcW w:w="4320" w:type="dxa"/>
            <w:vAlign w:val="center"/>
          </w:tcPr>
          <w:p w:rsidR="003D270F" w:rsidRDefault="0056124B">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3D270F" w:rsidRDefault="0056124B">
            <w:pPr>
              <w:jc w:val="center"/>
            </w:pPr>
            <w:r>
              <w:rPr>
                <w:color w:val="000000"/>
                <w:sz w:val="24"/>
              </w:rPr>
              <w:t>中国证券报、上海证券报、证券时报</w:t>
            </w:r>
          </w:p>
        </w:tc>
        <w:tc>
          <w:tcPr>
            <w:tcW w:w="1629" w:type="dxa"/>
            <w:vAlign w:val="center"/>
          </w:tcPr>
          <w:p w:rsidR="003D270F" w:rsidRDefault="0056124B">
            <w:pPr>
              <w:jc w:val="center"/>
            </w:pPr>
            <w:r>
              <w:rPr>
                <w:color w:val="000000"/>
                <w:sz w:val="24"/>
              </w:rPr>
              <w:t>2019-10-22</w:t>
            </w:r>
          </w:p>
        </w:tc>
      </w:tr>
      <w:tr w:rsidR="003D270F">
        <w:tc>
          <w:tcPr>
            <w:tcW w:w="720" w:type="dxa"/>
            <w:vAlign w:val="center"/>
          </w:tcPr>
          <w:p w:rsidR="003D270F" w:rsidRDefault="0056124B">
            <w:pPr>
              <w:jc w:val="center"/>
            </w:pPr>
            <w:r>
              <w:rPr>
                <w:color w:val="000000"/>
                <w:sz w:val="24"/>
              </w:rPr>
              <w:t>22</w:t>
            </w:r>
          </w:p>
        </w:tc>
        <w:tc>
          <w:tcPr>
            <w:tcW w:w="4320" w:type="dxa"/>
            <w:vAlign w:val="center"/>
          </w:tcPr>
          <w:p w:rsidR="003D270F" w:rsidRDefault="0056124B">
            <w:pPr>
              <w:jc w:val="left"/>
            </w:pPr>
            <w:r>
              <w:rPr>
                <w:color w:val="000000"/>
                <w:sz w:val="24"/>
              </w:rPr>
              <w:t>交银施罗德丰盈收益债券型证券投资基金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3D270F" w:rsidRDefault="0056124B">
            <w:pPr>
              <w:jc w:val="center"/>
            </w:pPr>
            <w:r>
              <w:rPr>
                <w:color w:val="000000"/>
                <w:sz w:val="24"/>
              </w:rPr>
              <w:t>公司网站</w:t>
            </w:r>
          </w:p>
        </w:tc>
        <w:tc>
          <w:tcPr>
            <w:tcW w:w="1629" w:type="dxa"/>
            <w:vAlign w:val="center"/>
          </w:tcPr>
          <w:p w:rsidR="003D270F" w:rsidRDefault="0056124B">
            <w:pPr>
              <w:jc w:val="center"/>
            </w:pPr>
            <w:r>
              <w:rPr>
                <w:color w:val="000000"/>
                <w:sz w:val="24"/>
              </w:rPr>
              <w:t>2019-10-22</w:t>
            </w:r>
          </w:p>
        </w:tc>
      </w:tr>
      <w:tr w:rsidR="003D270F">
        <w:tc>
          <w:tcPr>
            <w:tcW w:w="720" w:type="dxa"/>
            <w:vAlign w:val="center"/>
          </w:tcPr>
          <w:p w:rsidR="003D270F" w:rsidRDefault="0056124B">
            <w:pPr>
              <w:jc w:val="center"/>
            </w:pPr>
            <w:r>
              <w:rPr>
                <w:color w:val="000000"/>
                <w:sz w:val="24"/>
              </w:rPr>
              <w:t>23</w:t>
            </w:r>
          </w:p>
        </w:tc>
        <w:tc>
          <w:tcPr>
            <w:tcW w:w="4320" w:type="dxa"/>
            <w:vAlign w:val="center"/>
          </w:tcPr>
          <w:p w:rsidR="003D270F" w:rsidRDefault="0056124B">
            <w:pPr>
              <w:jc w:val="left"/>
            </w:pPr>
            <w:r>
              <w:rPr>
                <w:color w:val="000000"/>
                <w:sz w:val="24"/>
              </w:rPr>
              <w:t>交银施罗德基金管理有限公司关于增加玄元保险代理有限公司为旗下基金销售机构的公告</w:t>
            </w:r>
          </w:p>
        </w:tc>
        <w:tc>
          <w:tcPr>
            <w:tcW w:w="2331" w:type="dxa"/>
            <w:vAlign w:val="center"/>
          </w:tcPr>
          <w:p w:rsidR="003D270F" w:rsidRDefault="0056124B">
            <w:pPr>
              <w:jc w:val="center"/>
            </w:pPr>
            <w:r>
              <w:rPr>
                <w:color w:val="000000"/>
                <w:sz w:val="24"/>
              </w:rPr>
              <w:t>中国证券报、上海证券报、证券时报</w:t>
            </w:r>
          </w:p>
        </w:tc>
        <w:tc>
          <w:tcPr>
            <w:tcW w:w="1629" w:type="dxa"/>
            <w:vAlign w:val="center"/>
          </w:tcPr>
          <w:p w:rsidR="003D270F" w:rsidRDefault="0056124B">
            <w:pPr>
              <w:jc w:val="center"/>
            </w:pPr>
            <w:r>
              <w:rPr>
                <w:color w:val="000000"/>
                <w:sz w:val="24"/>
              </w:rPr>
              <w:t>2019-10-25</w:t>
            </w:r>
          </w:p>
        </w:tc>
      </w:tr>
      <w:tr w:rsidR="003D270F">
        <w:tc>
          <w:tcPr>
            <w:tcW w:w="720" w:type="dxa"/>
            <w:vAlign w:val="center"/>
          </w:tcPr>
          <w:p w:rsidR="003D270F" w:rsidRDefault="0056124B">
            <w:pPr>
              <w:jc w:val="center"/>
            </w:pPr>
            <w:r>
              <w:rPr>
                <w:color w:val="000000"/>
                <w:sz w:val="24"/>
              </w:rPr>
              <w:t>24</w:t>
            </w:r>
          </w:p>
        </w:tc>
        <w:tc>
          <w:tcPr>
            <w:tcW w:w="4320" w:type="dxa"/>
            <w:vAlign w:val="center"/>
          </w:tcPr>
          <w:p w:rsidR="003D270F" w:rsidRDefault="0056124B">
            <w:pPr>
              <w:jc w:val="left"/>
            </w:pPr>
            <w:r>
              <w:rPr>
                <w:color w:val="000000"/>
                <w:sz w:val="24"/>
              </w:rPr>
              <w:t>交银施罗德基金管理有限公司关于提醒投资者及时提供或更新身份信息资料的公告</w:t>
            </w:r>
          </w:p>
        </w:tc>
        <w:tc>
          <w:tcPr>
            <w:tcW w:w="2331" w:type="dxa"/>
            <w:vAlign w:val="center"/>
          </w:tcPr>
          <w:p w:rsidR="003D270F" w:rsidRDefault="0056124B">
            <w:pPr>
              <w:jc w:val="center"/>
            </w:pPr>
            <w:r>
              <w:rPr>
                <w:color w:val="000000"/>
                <w:sz w:val="24"/>
              </w:rPr>
              <w:t>中国证券报、上海证券报、证券时报</w:t>
            </w:r>
          </w:p>
        </w:tc>
        <w:tc>
          <w:tcPr>
            <w:tcW w:w="1629" w:type="dxa"/>
            <w:vAlign w:val="center"/>
          </w:tcPr>
          <w:p w:rsidR="003D270F" w:rsidRDefault="0056124B">
            <w:pPr>
              <w:jc w:val="center"/>
            </w:pPr>
            <w:r>
              <w:rPr>
                <w:color w:val="000000"/>
                <w:sz w:val="24"/>
              </w:rPr>
              <w:t>2019-10-28</w:t>
            </w:r>
          </w:p>
        </w:tc>
      </w:tr>
      <w:tr w:rsidR="003D270F">
        <w:tc>
          <w:tcPr>
            <w:tcW w:w="720" w:type="dxa"/>
            <w:vAlign w:val="center"/>
          </w:tcPr>
          <w:p w:rsidR="003D270F" w:rsidRDefault="0056124B">
            <w:pPr>
              <w:jc w:val="center"/>
            </w:pPr>
            <w:r>
              <w:rPr>
                <w:color w:val="000000"/>
                <w:sz w:val="24"/>
              </w:rPr>
              <w:t>25</w:t>
            </w:r>
          </w:p>
        </w:tc>
        <w:tc>
          <w:tcPr>
            <w:tcW w:w="4320" w:type="dxa"/>
            <w:vAlign w:val="center"/>
          </w:tcPr>
          <w:p w:rsidR="003D270F" w:rsidRDefault="0056124B">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3D270F" w:rsidRDefault="0056124B">
            <w:pPr>
              <w:jc w:val="center"/>
            </w:pPr>
            <w:r>
              <w:rPr>
                <w:color w:val="000000"/>
                <w:sz w:val="24"/>
              </w:rPr>
              <w:t>中国证券报、上海证券报、证券时报</w:t>
            </w:r>
          </w:p>
        </w:tc>
        <w:tc>
          <w:tcPr>
            <w:tcW w:w="1629" w:type="dxa"/>
            <w:vAlign w:val="center"/>
          </w:tcPr>
          <w:p w:rsidR="003D270F" w:rsidRDefault="0056124B">
            <w:pPr>
              <w:jc w:val="center"/>
            </w:pPr>
            <w:r>
              <w:rPr>
                <w:color w:val="000000"/>
                <w:sz w:val="24"/>
              </w:rPr>
              <w:t>2019-11-06</w:t>
            </w:r>
          </w:p>
        </w:tc>
      </w:tr>
      <w:tr w:rsidR="003D270F">
        <w:tc>
          <w:tcPr>
            <w:tcW w:w="720" w:type="dxa"/>
            <w:vAlign w:val="center"/>
          </w:tcPr>
          <w:p w:rsidR="003D270F" w:rsidRDefault="0056124B">
            <w:pPr>
              <w:jc w:val="center"/>
            </w:pPr>
            <w:r>
              <w:rPr>
                <w:color w:val="000000"/>
                <w:sz w:val="24"/>
              </w:rPr>
              <w:t>26</w:t>
            </w:r>
          </w:p>
        </w:tc>
        <w:tc>
          <w:tcPr>
            <w:tcW w:w="4320" w:type="dxa"/>
            <w:vAlign w:val="center"/>
          </w:tcPr>
          <w:p w:rsidR="003D270F" w:rsidRDefault="0056124B">
            <w:pPr>
              <w:jc w:val="left"/>
            </w:pPr>
            <w:r>
              <w:rPr>
                <w:color w:val="000000"/>
                <w:sz w:val="24"/>
              </w:rPr>
              <w:t>交银施罗德丰盈收益债券型证券投资基金基金合同</w:t>
            </w:r>
          </w:p>
        </w:tc>
        <w:tc>
          <w:tcPr>
            <w:tcW w:w="2331" w:type="dxa"/>
            <w:vAlign w:val="center"/>
          </w:tcPr>
          <w:p w:rsidR="003D270F" w:rsidRDefault="0056124B">
            <w:pPr>
              <w:jc w:val="center"/>
            </w:pPr>
            <w:r>
              <w:rPr>
                <w:color w:val="000000"/>
                <w:sz w:val="24"/>
              </w:rPr>
              <w:t>公司网站</w:t>
            </w:r>
          </w:p>
        </w:tc>
        <w:tc>
          <w:tcPr>
            <w:tcW w:w="1629" w:type="dxa"/>
            <w:vAlign w:val="center"/>
          </w:tcPr>
          <w:p w:rsidR="003D270F" w:rsidRDefault="0056124B">
            <w:pPr>
              <w:jc w:val="center"/>
            </w:pPr>
            <w:r>
              <w:rPr>
                <w:color w:val="000000"/>
                <w:sz w:val="24"/>
              </w:rPr>
              <w:t>2019-11-06</w:t>
            </w:r>
          </w:p>
        </w:tc>
      </w:tr>
      <w:tr w:rsidR="003D270F">
        <w:tc>
          <w:tcPr>
            <w:tcW w:w="720" w:type="dxa"/>
            <w:vAlign w:val="center"/>
          </w:tcPr>
          <w:p w:rsidR="003D270F" w:rsidRDefault="0056124B">
            <w:pPr>
              <w:jc w:val="center"/>
            </w:pPr>
            <w:r>
              <w:rPr>
                <w:color w:val="000000"/>
                <w:sz w:val="24"/>
              </w:rPr>
              <w:t>27</w:t>
            </w:r>
          </w:p>
        </w:tc>
        <w:tc>
          <w:tcPr>
            <w:tcW w:w="4320" w:type="dxa"/>
            <w:vAlign w:val="center"/>
          </w:tcPr>
          <w:p w:rsidR="003D270F" w:rsidRDefault="0056124B">
            <w:pPr>
              <w:jc w:val="left"/>
            </w:pPr>
            <w:r>
              <w:rPr>
                <w:color w:val="000000"/>
                <w:sz w:val="24"/>
              </w:rPr>
              <w:t>交银施罗德丰盈收益债券型证券投资基金托管协议</w:t>
            </w:r>
          </w:p>
        </w:tc>
        <w:tc>
          <w:tcPr>
            <w:tcW w:w="2331" w:type="dxa"/>
            <w:vAlign w:val="center"/>
          </w:tcPr>
          <w:p w:rsidR="003D270F" w:rsidRDefault="0056124B">
            <w:pPr>
              <w:jc w:val="center"/>
            </w:pPr>
            <w:r>
              <w:rPr>
                <w:color w:val="000000"/>
                <w:sz w:val="24"/>
              </w:rPr>
              <w:t>公司网站</w:t>
            </w:r>
          </w:p>
        </w:tc>
        <w:tc>
          <w:tcPr>
            <w:tcW w:w="1629" w:type="dxa"/>
            <w:vAlign w:val="center"/>
          </w:tcPr>
          <w:p w:rsidR="003D270F" w:rsidRDefault="0056124B">
            <w:pPr>
              <w:jc w:val="center"/>
            </w:pPr>
            <w:r>
              <w:rPr>
                <w:color w:val="000000"/>
                <w:sz w:val="24"/>
              </w:rPr>
              <w:t>2019-11-06</w:t>
            </w:r>
          </w:p>
        </w:tc>
      </w:tr>
      <w:tr w:rsidR="003D270F">
        <w:tc>
          <w:tcPr>
            <w:tcW w:w="720" w:type="dxa"/>
            <w:vAlign w:val="center"/>
          </w:tcPr>
          <w:p w:rsidR="003D270F" w:rsidRDefault="0056124B">
            <w:pPr>
              <w:jc w:val="center"/>
            </w:pPr>
            <w:r>
              <w:rPr>
                <w:color w:val="000000"/>
                <w:sz w:val="24"/>
              </w:rPr>
              <w:lastRenderedPageBreak/>
              <w:t>28</w:t>
            </w:r>
          </w:p>
        </w:tc>
        <w:tc>
          <w:tcPr>
            <w:tcW w:w="4320" w:type="dxa"/>
            <w:vAlign w:val="center"/>
          </w:tcPr>
          <w:p w:rsidR="003D270F" w:rsidRDefault="0056124B">
            <w:pPr>
              <w:jc w:val="left"/>
            </w:pPr>
            <w:r>
              <w:rPr>
                <w:color w:val="000000"/>
                <w:sz w:val="24"/>
              </w:rPr>
              <w:t>交银施罗德丰盈收益债券型证券投资基金招募说明书</w:t>
            </w:r>
          </w:p>
        </w:tc>
        <w:tc>
          <w:tcPr>
            <w:tcW w:w="2331" w:type="dxa"/>
            <w:vAlign w:val="center"/>
          </w:tcPr>
          <w:p w:rsidR="003D270F" w:rsidRDefault="0056124B">
            <w:pPr>
              <w:jc w:val="center"/>
            </w:pPr>
            <w:r>
              <w:rPr>
                <w:color w:val="000000"/>
                <w:sz w:val="24"/>
              </w:rPr>
              <w:t>公司网站</w:t>
            </w:r>
          </w:p>
        </w:tc>
        <w:tc>
          <w:tcPr>
            <w:tcW w:w="1629" w:type="dxa"/>
            <w:vAlign w:val="center"/>
          </w:tcPr>
          <w:p w:rsidR="003D270F" w:rsidRDefault="0056124B">
            <w:pPr>
              <w:jc w:val="center"/>
            </w:pPr>
            <w:r>
              <w:rPr>
                <w:color w:val="000000"/>
                <w:sz w:val="24"/>
              </w:rPr>
              <w:t>2019-11-06</w:t>
            </w:r>
          </w:p>
        </w:tc>
      </w:tr>
      <w:tr w:rsidR="003D270F">
        <w:tc>
          <w:tcPr>
            <w:tcW w:w="720" w:type="dxa"/>
            <w:vAlign w:val="center"/>
          </w:tcPr>
          <w:p w:rsidR="003D270F" w:rsidRDefault="0056124B">
            <w:pPr>
              <w:jc w:val="center"/>
            </w:pPr>
            <w:r>
              <w:rPr>
                <w:color w:val="000000"/>
                <w:sz w:val="24"/>
              </w:rPr>
              <w:t>29</w:t>
            </w:r>
          </w:p>
        </w:tc>
        <w:tc>
          <w:tcPr>
            <w:tcW w:w="4320" w:type="dxa"/>
            <w:vAlign w:val="center"/>
          </w:tcPr>
          <w:p w:rsidR="003D270F" w:rsidRDefault="0056124B">
            <w:pPr>
              <w:jc w:val="left"/>
            </w:pPr>
            <w:r>
              <w:rPr>
                <w:color w:val="000000"/>
                <w:sz w:val="24"/>
              </w:rPr>
              <w:t>交银施罗德丰盈收益债券型证券投资基金招募说明书摘要</w:t>
            </w:r>
          </w:p>
        </w:tc>
        <w:tc>
          <w:tcPr>
            <w:tcW w:w="2331" w:type="dxa"/>
            <w:vAlign w:val="center"/>
          </w:tcPr>
          <w:p w:rsidR="003D270F" w:rsidRDefault="0056124B">
            <w:pPr>
              <w:jc w:val="center"/>
            </w:pPr>
            <w:r>
              <w:rPr>
                <w:color w:val="000000"/>
                <w:sz w:val="24"/>
              </w:rPr>
              <w:t>公司网站</w:t>
            </w:r>
          </w:p>
        </w:tc>
        <w:tc>
          <w:tcPr>
            <w:tcW w:w="1629" w:type="dxa"/>
            <w:vAlign w:val="center"/>
          </w:tcPr>
          <w:p w:rsidR="003D270F" w:rsidRDefault="0056124B">
            <w:pPr>
              <w:jc w:val="center"/>
            </w:pPr>
            <w:r>
              <w:rPr>
                <w:color w:val="000000"/>
                <w:sz w:val="24"/>
              </w:rPr>
              <w:t>2019-11-06</w:t>
            </w:r>
          </w:p>
        </w:tc>
      </w:tr>
      <w:tr w:rsidR="003D270F">
        <w:tc>
          <w:tcPr>
            <w:tcW w:w="720" w:type="dxa"/>
            <w:vAlign w:val="center"/>
          </w:tcPr>
          <w:p w:rsidR="003D270F" w:rsidRDefault="0056124B">
            <w:pPr>
              <w:jc w:val="center"/>
            </w:pPr>
            <w:r>
              <w:rPr>
                <w:color w:val="000000"/>
                <w:sz w:val="24"/>
              </w:rPr>
              <w:t>30</w:t>
            </w:r>
          </w:p>
        </w:tc>
        <w:tc>
          <w:tcPr>
            <w:tcW w:w="4320" w:type="dxa"/>
            <w:vAlign w:val="center"/>
          </w:tcPr>
          <w:p w:rsidR="003D270F" w:rsidRDefault="0056124B">
            <w:pPr>
              <w:jc w:val="left"/>
            </w:pPr>
            <w:r>
              <w:rPr>
                <w:color w:val="000000"/>
                <w:sz w:val="24"/>
              </w:rPr>
              <w:t>交银施罗德基金管理有限公司关于暂停北京增财基金销售有限公司办理相关销售业务的公告</w:t>
            </w:r>
          </w:p>
        </w:tc>
        <w:tc>
          <w:tcPr>
            <w:tcW w:w="2331" w:type="dxa"/>
            <w:vAlign w:val="center"/>
          </w:tcPr>
          <w:p w:rsidR="003D270F" w:rsidRDefault="0056124B">
            <w:pPr>
              <w:jc w:val="center"/>
            </w:pPr>
            <w:r>
              <w:rPr>
                <w:color w:val="000000"/>
                <w:sz w:val="24"/>
              </w:rPr>
              <w:t>中国证券报、上海证券报、证券时报</w:t>
            </w:r>
          </w:p>
        </w:tc>
        <w:tc>
          <w:tcPr>
            <w:tcW w:w="1629" w:type="dxa"/>
            <w:vAlign w:val="center"/>
          </w:tcPr>
          <w:p w:rsidR="003D270F" w:rsidRDefault="0056124B">
            <w:pPr>
              <w:jc w:val="center"/>
            </w:pPr>
            <w:r>
              <w:rPr>
                <w:color w:val="000000"/>
                <w:sz w:val="24"/>
              </w:rPr>
              <w:t>2019-12-19</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35959582"/>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5"/>
      <w:bookmarkEnd w:id="196"/>
    </w:p>
    <w:p w:rsidR="00BC645C" w:rsidRPr="005053FD" w:rsidRDefault="00BC645C" w:rsidP="005053FD">
      <w:pPr>
        <w:pStyle w:val="20"/>
        <w:spacing w:before="29" w:after="0" w:line="288" w:lineRule="auto"/>
        <w:rPr>
          <w:rFonts w:ascii="Times New Roman" w:hAnsi="Times New Roman"/>
          <w:kern w:val="0"/>
          <w:szCs w:val="24"/>
        </w:rPr>
      </w:pPr>
      <w:bookmarkStart w:id="197" w:name="_Toc35959583"/>
      <w:r w:rsidRPr="005053FD">
        <w:rPr>
          <w:rFonts w:ascii="Times New Roman" w:hAnsi="Times New Roman"/>
          <w:kern w:val="0"/>
          <w:szCs w:val="24"/>
        </w:rPr>
        <w:t>12.</w:t>
      </w:r>
      <w:r w:rsidRPr="005053FD">
        <w:rPr>
          <w:rFonts w:ascii="Times New Roman" w:hAnsi="Times New Roman" w:hint="eastAsia"/>
          <w:kern w:val="0"/>
          <w:szCs w:val="24"/>
        </w:rPr>
        <w:t xml:space="preserve">1 </w:t>
      </w:r>
      <w:r w:rsidRPr="005053FD">
        <w:rPr>
          <w:rFonts w:ascii="Times New Roman" w:hAnsi="Times New Roman" w:hint="eastAsia"/>
          <w:kern w:val="0"/>
          <w:szCs w:val="24"/>
        </w:rPr>
        <w:t>报告期内单一投资者持有基金份额比例达到或超过</w:t>
      </w:r>
      <w:r w:rsidRPr="005053FD">
        <w:rPr>
          <w:rFonts w:ascii="Times New Roman" w:hAnsi="Times New Roman" w:hint="eastAsia"/>
          <w:kern w:val="0"/>
          <w:szCs w:val="24"/>
        </w:rPr>
        <w:t>20%</w:t>
      </w:r>
      <w:r w:rsidRPr="005053FD">
        <w:rPr>
          <w:rFonts w:ascii="Times New Roman" w:hAnsi="Times New Roman" w:hint="eastAsia"/>
          <w:kern w:val="0"/>
          <w:szCs w:val="24"/>
        </w:rPr>
        <w:t>的情况</w:t>
      </w:r>
      <w:bookmarkEnd w:id="19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3D270F">
        <w:tc>
          <w:tcPr>
            <w:tcW w:w="993" w:type="dxa"/>
            <w:vMerge w:val="restart"/>
          </w:tcPr>
          <w:p w:rsidR="003D270F" w:rsidRDefault="003D270F"/>
          <w:p w:rsidR="003D270F" w:rsidRDefault="0056124B">
            <w:r>
              <w:rPr>
                <w:rFonts w:ascii="宋体" w:hAnsi="宋体" w:hint="eastAsia"/>
                <w:bCs/>
                <w:color w:val="000000"/>
                <w:kern w:val="0"/>
                <w:szCs w:val="21"/>
              </w:rPr>
              <w:t>机构</w:t>
            </w:r>
          </w:p>
        </w:tc>
        <w:tc>
          <w:tcPr>
            <w:tcW w:w="992" w:type="dxa"/>
            <w:vAlign w:val="center"/>
          </w:tcPr>
          <w:p w:rsidR="003D270F" w:rsidRDefault="0056124B">
            <w:pPr>
              <w:jc w:val="center"/>
            </w:pPr>
            <w:r>
              <w:rPr>
                <w:rFonts w:ascii="宋体" w:hAnsi="宋体"/>
                <w:color w:val="000000"/>
                <w:kern w:val="0"/>
                <w:szCs w:val="21"/>
              </w:rPr>
              <w:t>1</w:t>
            </w:r>
          </w:p>
        </w:tc>
        <w:tc>
          <w:tcPr>
            <w:tcW w:w="1843" w:type="dxa"/>
            <w:vAlign w:val="center"/>
          </w:tcPr>
          <w:p w:rsidR="003D270F" w:rsidRDefault="0056124B">
            <w:pPr>
              <w:jc w:val="center"/>
            </w:pPr>
            <w:r>
              <w:rPr>
                <w:rFonts w:ascii="宋体" w:hAnsi="宋体"/>
                <w:color w:val="000000"/>
                <w:kern w:val="0"/>
                <w:szCs w:val="21"/>
              </w:rPr>
              <w:t>2019/1/1-2019/12/31</w:t>
            </w:r>
          </w:p>
        </w:tc>
        <w:tc>
          <w:tcPr>
            <w:tcW w:w="851" w:type="dxa"/>
            <w:vAlign w:val="center"/>
          </w:tcPr>
          <w:p w:rsidR="003D270F" w:rsidRDefault="0056124B">
            <w:pPr>
              <w:jc w:val="center"/>
            </w:pPr>
            <w:r>
              <w:rPr>
                <w:rFonts w:ascii="宋体" w:hAnsi="宋体"/>
                <w:color w:val="000000"/>
                <w:kern w:val="0"/>
                <w:szCs w:val="21"/>
              </w:rPr>
              <w:t>-</w:t>
            </w:r>
          </w:p>
        </w:tc>
        <w:tc>
          <w:tcPr>
            <w:tcW w:w="850" w:type="dxa"/>
            <w:vAlign w:val="center"/>
          </w:tcPr>
          <w:p w:rsidR="003D270F" w:rsidRDefault="0056124B">
            <w:pPr>
              <w:jc w:val="center"/>
            </w:pPr>
            <w:r>
              <w:rPr>
                <w:rFonts w:ascii="宋体" w:hAnsi="宋体"/>
                <w:color w:val="000000"/>
                <w:kern w:val="0"/>
                <w:szCs w:val="21"/>
              </w:rPr>
              <w:t>7,136,485.28</w:t>
            </w:r>
          </w:p>
        </w:tc>
        <w:tc>
          <w:tcPr>
            <w:tcW w:w="1134" w:type="dxa"/>
            <w:vAlign w:val="center"/>
          </w:tcPr>
          <w:p w:rsidR="003D270F" w:rsidRDefault="0056124B">
            <w:pPr>
              <w:jc w:val="center"/>
            </w:pPr>
            <w:r>
              <w:rPr>
                <w:rFonts w:ascii="宋体" w:hAnsi="宋体"/>
                <w:color w:val="000000"/>
                <w:kern w:val="0"/>
                <w:szCs w:val="21"/>
              </w:rPr>
              <w:t>2,136,485.25</w:t>
            </w:r>
          </w:p>
        </w:tc>
        <w:tc>
          <w:tcPr>
            <w:tcW w:w="1419" w:type="dxa"/>
            <w:vAlign w:val="center"/>
          </w:tcPr>
          <w:p w:rsidR="003D270F" w:rsidRDefault="0056124B">
            <w:pPr>
              <w:jc w:val="center"/>
            </w:pPr>
            <w:r>
              <w:rPr>
                <w:rFonts w:ascii="宋体" w:hAnsi="宋体"/>
                <w:color w:val="000000"/>
                <w:kern w:val="0"/>
                <w:szCs w:val="21"/>
              </w:rPr>
              <w:t>5,000,000.03</w:t>
            </w:r>
          </w:p>
        </w:tc>
        <w:tc>
          <w:tcPr>
            <w:tcW w:w="1130" w:type="dxa"/>
            <w:vAlign w:val="center"/>
          </w:tcPr>
          <w:p w:rsidR="003D270F" w:rsidRDefault="0056124B">
            <w:pPr>
              <w:jc w:val="center"/>
            </w:pPr>
            <w:r>
              <w:rPr>
                <w:rFonts w:ascii="宋体" w:hAnsi="宋体"/>
                <w:color w:val="000000"/>
                <w:kern w:val="0"/>
                <w:szCs w:val="21"/>
              </w:rPr>
              <w:t>14.16%</w:t>
            </w:r>
          </w:p>
        </w:tc>
      </w:tr>
      <w:tr w:rsidR="003D270F">
        <w:tc>
          <w:tcPr>
            <w:tcW w:w="993" w:type="dxa"/>
            <w:vMerge/>
          </w:tcPr>
          <w:p w:rsidR="003D270F" w:rsidRDefault="003D270F"/>
        </w:tc>
        <w:tc>
          <w:tcPr>
            <w:tcW w:w="992" w:type="dxa"/>
            <w:vAlign w:val="center"/>
          </w:tcPr>
          <w:p w:rsidR="003D270F" w:rsidRDefault="0056124B">
            <w:pPr>
              <w:jc w:val="center"/>
            </w:pPr>
            <w:r>
              <w:rPr>
                <w:rFonts w:ascii="宋体" w:hAnsi="宋体"/>
                <w:color w:val="000000"/>
                <w:kern w:val="0"/>
                <w:szCs w:val="21"/>
              </w:rPr>
              <w:t>2</w:t>
            </w:r>
          </w:p>
        </w:tc>
        <w:tc>
          <w:tcPr>
            <w:tcW w:w="1843" w:type="dxa"/>
            <w:vAlign w:val="center"/>
          </w:tcPr>
          <w:p w:rsidR="003D270F" w:rsidRDefault="0056124B">
            <w:pPr>
              <w:jc w:val="center"/>
            </w:pPr>
            <w:r>
              <w:rPr>
                <w:rFonts w:ascii="宋体" w:hAnsi="宋体"/>
                <w:color w:val="000000"/>
                <w:kern w:val="0"/>
                <w:szCs w:val="21"/>
              </w:rPr>
              <w:t>2019/1/1-2019/12/31</w:t>
            </w:r>
          </w:p>
        </w:tc>
        <w:tc>
          <w:tcPr>
            <w:tcW w:w="851" w:type="dxa"/>
            <w:vAlign w:val="center"/>
          </w:tcPr>
          <w:p w:rsidR="003D270F" w:rsidRDefault="0056124B">
            <w:pPr>
              <w:jc w:val="center"/>
            </w:pPr>
            <w:r>
              <w:rPr>
                <w:rFonts w:ascii="宋体" w:hAnsi="宋体"/>
                <w:color w:val="000000"/>
                <w:kern w:val="0"/>
                <w:szCs w:val="21"/>
              </w:rPr>
              <w:t>-</w:t>
            </w:r>
          </w:p>
        </w:tc>
        <w:tc>
          <w:tcPr>
            <w:tcW w:w="850" w:type="dxa"/>
            <w:vAlign w:val="center"/>
          </w:tcPr>
          <w:p w:rsidR="003D270F" w:rsidRDefault="0056124B">
            <w:pPr>
              <w:jc w:val="center"/>
            </w:pPr>
            <w:r>
              <w:rPr>
                <w:rFonts w:ascii="宋体" w:hAnsi="宋体"/>
                <w:color w:val="000000"/>
                <w:kern w:val="0"/>
                <w:szCs w:val="21"/>
              </w:rPr>
              <w:t>18,569,173.63</w:t>
            </w:r>
          </w:p>
        </w:tc>
        <w:tc>
          <w:tcPr>
            <w:tcW w:w="1134" w:type="dxa"/>
            <w:vAlign w:val="center"/>
          </w:tcPr>
          <w:p w:rsidR="003D270F" w:rsidRDefault="0056124B">
            <w:pPr>
              <w:jc w:val="center"/>
            </w:pPr>
            <w:r>
              <w:rPr>
                <w:rFonts w:ascii="宋体" w:hAnsi="宋体"/>
                <w:color w:val="000000"/>
                <w:kern w:val="0"/>
                <w:szCs w:val="21"/>
              </w:rPr>
              <w:t>18,569,173.63</w:t>
            </w:r>
          </w:p>
        </w:tc>
        <w:tc>
          <w:tcPr>
            <w:tcW w:w="1419" w:type="dxa"/>
            <w:vAlign w:val="center"/>
          </w:tcPr>
          <w:p w:rsidR="003D270F" w:rsidRDefault="0056124B">
            <w:pPr>
              <w:jc w:val="center"/>
            </w:pPr>
            <w:r>
              <w:rPr>
                <w:rFonts w:ascii="宋体" w:hAnsi="宋体"/>
                <w:color w:val="000000"/>
                <w:kern w:val="0"/>
                <w:szCs w:val="21"/>
              </w:rPr>
              <w:t>-</w:t>
            </w:r>
          </w:p>
        </w:tc>
        <w:tc>
          <w:tcPr>
            <w:tcW w:w="1130" w:type="dxa"/>
            <w:vAlign w:val="center"/>
          </w:tcPr>
          <w:p w:rsidR="003D270F" w:rsidRDefault="0056124B">
            <w:pPr>
              <w:jc w:val="center"/>
            </w:pPr>
            <w:r>
              <w:rPr>
                <w:rFonts w:ascii="宋体" w:hAnsi="宋体"/>
                <w:color w:val="000000"/>
                <w:kern w:val="0"/>
                <w:szCs w:val="21"/>
              </w:rPr>
              <w:t>-</w:t>
            </w:r>
          </w:p>
        </w:tc>
      </w:tr>
      <w:tr w:rsidR="003D270F">
        <w:tc>
          <w:tcPr>
            <w:tcW w:w="993" w:type="dxa"/>
            <w:vMerge/>
          </w:tcPr>
          <w:p w:rsidR="003D270F" w:rsidRDefault="003D270F"/>
        </w:tc>
        <w:tc>
          <w:tcPr>
            <w:tcW w:w="992" w:type="dxa"/>
            <w:vAlign w:val="center"/>
          </w:tcPr>
          <w:p w:rsidR="003D270F" w:rsidRDefault="0056124B">
            <w:pPr>
              <w:jc w:val="center"/>
            </w:pPr>
            <w:r>
              <w:rPr>
                <w:rFonts w:ascii="宋体" w:hAnsi="宋体"/>
                <w:color w:val="000000"/>
                <w:kern w:val="0"/>
                <w:szCs w:val="21"/>
              </w:rPr>
              <w:t>3</w:t>
            </w:r>
          </w:p>
        </w:tc>
        <w:tc>
          <w:tcPr>
            <w:tcW w:w="1843" w:type="dxa"/>
            <w:vAlign w:val="center"/>
          </w:tcPr>
          <w:p w:rsidR="003D270F" w:rsidRDefault="0056124B">
            <w:pPr>
              <w:jc w:val="center"/>
            </w:pPr>
            <w:r>
              <w:rPr>
                <w:rFonts w:ascii="宋体" w:hAnsi="宋体"/>
                <w:color w:val="000000"/>
                <w:kern w:val="0"/>
                <w:szCs w:val="21"/>
              </w:rPr>
              <w:t>2019/1/1-2019/12/31</w:t>
            </w:r>
          </w:p>
        </w:tc>
        <w:tc>
          <w:tcPr>
            <w:tcW w:w="851" w:type="dxa"/>
            <w:vAlign w:val="center"/>
          </w:tcPr>
          <w:p w:rsidR="003D270F" w:rsidRDefault="0056124B">
            <w:pPr>
              <w:jc w:val="center"/>
            </w:pPr>
            <w:r>
              <w:rPr>
                <w:rFonts w:ascii="宋体" w:hAnsi="宋体"/>
                <w:color w:val="000000"/>
                <w:kern w:val="0"/>
                <w:szCs w:val="21"/>
              </w:rPr>
              <w:t>-</w:t>
            </w:r>
          </w:p>
        </w:tc>
        <w:tc>
          <w:tcPr>
            <w:tcW w:w="850" w:type="dxa"/>
            <w:vAlign w:val="center"/>
          </w:tcPr>
          <w:p w:rsidR="003D270F" w:rsidRDefault="0056124B">
            <w:pPr>
              <w:jc w:val="center"/>
            </w:pPr>
            <w:r>
              <w:rPr>
                <w:rFonts w:ascii="宋体" w:hAnsi="宋体"/>
                <w:color w:val="000000"/>
                <w:kern w:val="0"/>
                <w:szCs w:val="21"/>
              </w:rPr>
              <w:t>21,543,985.64</w:t>
            </w:r>
          </w:p>
        </w:tc>
        <w:tc>
          <w:tcPr>
            <w:tcW w:w="1134" w:type="dxa"/>
            <w:vAlign w:val="center"/>
          </w:tcPr>
          <w:p w:rsidR="003D270F" w:rsidRDefault="0056124B">
            <w:pPr>
              <w:jc w:val="center"/>
            </w:pPr>
            <w:r>
              <w:rPr>
                <w:rFonts w:ascii="宋体" w:hAnsi="宋体"/>
                <w:color w:val="000000"/>
                <w:kern w:val="0"/>
                <w:szCs w:val="21"/>
              </w:rPr>
              <w:t>21,543,985.64</w:t>
            </w:r>
          </w:p>
        </w:tc>
        <w:tc>
          <w:tcPr>
            <w:tcW w:w="1419" w:type="dxa"/>
            <w:vAlign w:val="center"/>
          </w:tcPr>
          <w:p w:rsidR="003D270F" w:rsidRDefault="0056124B">
            <w:pPr>
              <w:jc w:val="center"/>
            </w:pPr>
            <w:r>
              <w:rPr>
                <w:rFonts w:ascii="宋体" w:hAnsi="宋体"/>
                <w:color w:val="000000"/>
                <w:kern w:val="0"/>
                <w:szCs w:val="21"/>
              </w:rPr>
              <w:t>-</w:t>
            </w:r>
          </w:p>
        </w:tc>
        <w:tc>
          <w:tcPr>
            <w:tcW w:w="1130" w:type="dxa"/>
            <w:vAlign w:val="center"/>
          </w:tcPr>
          <w:p w:rsidR="003D270F" w:rsidRDefault="0056124B">
            <w:pPr>
              <w:jc w:val="center"/>
            </w:pPr>
            <w:r>
              <w:rPr>
                <w:rFonts w:ascii="宋体" w:hAnsi="宋体"/>
                <w:color w:val="000000"/>
                <w:kern w:val="0"/>
                <w:szCs w:val="21"/>
              </w:rPr>
              <w:t>-</w:t>
            </w:r>
          </w:p>
        </w:tc>
      </w:tr>
      <w:tr w:rsidR="003D270F">
        <w:tc>
          <w:tcPr>
            <w:tcW w:w="993" w:type="dxa"/>
            <w:vMerge/>
          </w:tcPr>
          <w:p w:rsidR="003D270F" w:rsidRDefault="003D270F"/>
        </w:tc>
        <w:tc>
          <w:tcPr>
            <w:tcW w:w="992" w:type="dxa"/>
            <w:vAlign w:val="center"/>
          </w:tcPr>
          <w:p w:rsidR="003D270F" w:rsidRDefault="0056124B">
            <w:pPr>
              <w:jc w:val="center"/>
            </w:pPr>
            <w:r>
              <w:rPr>
                <w:rFonts w:ascii="宋体" w:hAnsi="宋体"/>
                <w:color w:val="000000"/>
                <w:kern w:val="0"/>
                <w:szCs w:val="21"/>
              </w:rPr>
              <w:t>4</w:t>
            </w:r>
          </w:p>
        </w:tc>
        <w:tc>
          <w:tcPr>
            <w:tcW w:w="1843" w:type="dxa"/>
            <w:vAlign w:val="center"/>
          </w:tcPr>
          <w:p w:rsidR="003D270F" w:rsidRDefault="0056124B">
            <w:pPr>
              <w:jc w:val="center"/>
            </w:pPr>
            <w:r>
              <w:rPr>
                <w:rFonts w:ascii="宋体" w:hAnsi="宋体"/>
                <w:color w:val="000000"/>
                <w:kern w:val="0"/>
                <w:szCs w:val="21"/>
              </w:rPr>
              <w:t>2019/1/1-2019/12/31</w:t>
            </w:r>
          </w:p>
        </w:tc>
        <w:tc>
          <w:tcPr>
            <w:tcW w:w="851" w:type="dxa"/>
            <w:vAlign w:val="center"/>
          </w:tcPr>
          <w:p w:rsidR="003D270F" w:rsidRDefault="0056124B">
            <w:pPr>
              <w:jc w:val="center"/>
            </w:pPr>
            <w:r>
              <w:rPr>
                <w:rFonts w:ascii="宋体" w:hAnsi="宋体"/>
                <w:color w:val="000000"/>
                <w:kern w:val="0"/>
                <w:szCs w:val="21"/>
              </w:rPr>
              <w:t>-</w:t>
            </w:r>
          </w:p>
        </w:tc>
        <w:tc>
          <w:tcPr>
            <w:tcW w:w="850" w:type="dxa"/>
            <w:vAlign w:val="center"/>
          </w:tcPr>
          <w:p w:rsidR="003D270F" w:rsidRDefault="0056124B">
            <w:pPr>
              <w:jc w:val="center"/>
            </w:pPr>
            <w:r>
              <w:rPr>
                <w:rFonts w:ascii="宋体" w:hAnsi="宋体"/>
                <w:color w:val="000000"/>
                <w:kern w:val="0"/>
                <w:szCs w:val="21"/>
              </w:rPr>
              <w:t>18,743,205.25</w:t>
            </w:r>
          </w:p>
        </w:tc>
        <w:tc>
          <w:tcPr>
            <w:tcW w:w="1134" w:type="dxa"/>
            <w:vAlign w:val="center"/>
          </w:tcPr>
          <w:p w:rsidR="003D270F" w:rsidRDefault="0056124B">
            <w:pPr>
              <w:jc w:val="center"/>
            </w:pPr>
            <w:r>
              <w:rPr>
                <w:rFonts w:ascii="宋体" w:hAnsi="宋体"/>
                <w:color w:val="000000"/>
                <w:kern w:val="0"/>
                <w:szCs w:val="21"/>
              </w:rPr>
              <w:t>18,743,205.25</w:t>
            </w:r>
          </w:p>
        </w:tc>
        <w:tc>
          <w:tcPr>
            <w:tcW w:w="1419" w:type="dxa"/>
            <w:vAlign w:val="center"/>
          </w:tcPr>
          <w:p w:rsidR="003D270F" w:rsidRDefault="0056124B">
            <w:pPr>
              <w:jc w:val="center"/>
            </w:pPr>
            <w:r>
              <w:rPr>
                <w:rFonts w:ascii="宋体" w:hAnsi="宋体"/>
                <w:color w:val="000000"/>
                <w:kern w:val="0"/>
                <w:szCs w:val="21"/>
              </w:rPr>
              <w:t>-</w:t>
            </w:r>
          </w:p>
        </w:tc>
        <w:tc>
          <w:tcPr>
            <w:tcW w:w="1130" w:type="dxa"/>
            <w:vAlign w:val="center"/>
          </w:tcPr>
          <w:p w:rsidR="003D270F" w:rsidRDefault="0056124B">
            <w:pPr>
              <w:jc w:val="center"/>
            </w:pPr>
            <w:r>
              <w:rPr>
                <w:rFonts w:ascii="宋体" w:hAnsi="宋体"/>
                <w:color w:val="000000"/>
                <w:kern w:val="0"/>
                <w:szCs w:val="21"/>
              </w:rPr>
              <w:t>-</w:t>
            </w:r>
          </w:p>
        </w:tc>
      </w:tr>
      <w:tr w:rsidR="003D270F">
        <w:tc>
          <w:tcPr>
            <w:tcW w:w="993" w:type="dxa"/>
            <w:vMerge/>
          </w:tcPr>
          <w:p w:rsidR="003D270F" w:rsidRDefault="003D270F"/>
        </w:tc>
        <w:tc>
          <w:tcPr>
            <w:tcW w:w="992" w:type="dxa"/>
            <w:vAlign w:val="center"/>
          </w:tcPr>
          <w:p w:rsidR="003D270F" w:rsidRDefault="0056124B">
            <w:pPr>
              <w:jc w:val="center"/>
            </w:pPr>
            <w:r>
              <w:rPr>
                <w:rFonts w:ascii="宋体" w:hAnsi="宋体"/>
                <w:color w:val="000000"/>
                <w:kern w:val="0"/>
                <w:szCs w:val="21"/>
              </w:rPr>
              <w:t>5</w:t>
            </w:r>
          </w:p>
        </w:tc>
        <w:tc>
          <w:tcPr>
            <w:tcW w:w="1843" w:type="dxa"/>
            <w:vAlign w:val="center"/>
          </w:tcPr>
          <w:p w:rsidR="003D270F" w:rsidRDefault="0056124B">
            <w:pPr>
              <w:jc w:val="center"/>
            </w:pPr>
            <w:r>
              <w:rPr>
                <w:rFonts w:ascii="宋体" w:hAnsi="宋体"/>
                <w:color w:val="000000"/>
                <w:kern w:val="0"/>
                <w:szCs w:val="21"/>
              </w:rPr>
              <w:t>2019/1/1-2019/12/31</w:t>
            </w:r>
          </w:p>
        </w:tc>
        <w:tc>
          <w:tcPr>
            <w:tcW w:w="851" w:type="dxa"/>
            <w:vAlign w:val="center"/>
          </w:tcPr>
          <w:p w:rsidR="003D270F" w:rsidRDefault="0056124B">
            <w:pPr>
              <w:jc w:val="center"/>
            </w:pPr>
            <w:r>
              <w:rPr>
                <w:rFonts w:ascii="宋体" w:hAnsi="宋体"/>
                <w:color w:val="000000"/>
                <w:kern w:val="0"/>
                <w:szCs w:val="21"/>
              </w:rPr>
              <w:t>-</w:t>
            </w:r>
          </w:p>
        </w:tc>
        <w:tc>
          <w:tcPr>
            <w:tcW w:w="850" w:type="dxa"/>
            <w:vAlign w:val="center"/>
          </w:tcPr>
          <w:p w:rsidR="003D270F" w:rsidRDefault="0056124B">
            <w:pPr>
              <w:jc w:val="center"/>
            </w:pPr>
            <w:r>
              <w:rPr>
                <w:rFonts w:ascii="宋体" w:hAnsi="宋体"/>
                <w:color w:val="000000"/>
                <w:kern w:val="0"/>
                <w:szCs w:val="21"/>
              </w:rPr>
              <w:t>17,446,280.99</w:t>
            </w:r>
          </w:p>
        </w:tc>
        <w:tc>
          <w:tcPr>
            <w:tcW w:w="1134" w:type="dxa"/>
            <w:vAlign w:val="center"/>
          </w:tcPr>
          <w:p w:rsidR="003D270F" w:rsidRDefault="0056124B">
            <w:pPr>
              <w:jc w:val="center"/>
            </w:pPr>
            <w:r>
              <w:rPr>
                <w:rFonts w:ascii="宋体" w:hAnsi="宋体"/>
                <w:color w:val="000000"/>
                <w:kern w:val="0"/>
                <w:szCs w:val="21"/>
              </w:rPr>
              <w:t>-</w:t>
            </w:r>
          </w:p>
        </w:tc>
        <w:tc>
          <w:tcPr>
            <w:tcW w:w="1419" w:type="dxa"/>
            <w:vAlign w:val="center"/>
          </w:tcPr>
          <w:p w:rsidR="003D270F" w:rsidRDefault="0056124B">
            <w:pPr>
              <w:jc w:val="center"/>
            </w:pPr>
            <w:r>
              <w:rPr>
                <w:rFonts w:ascii="宋体" w:hAnsi="宋体"/>
                <w:color w:val="000000"/>
                <w:kern w:val="0"/>
                <w:szCs w:val="21"/>
              </w:rPr>
              <w:t>17,446,280.99</w:t>
            </w:r>
          </w:p>
        </w:tc>
        <w:tc>
          <w:tcPr>
            <w:tcW w:w="1130" w:type="dxa"/>
            <w:vAlign w:val="center"/>
          </w:tcPr>
          <w:p w:rsidR="003D270F" w:rsidRDefault="0056124B">
            <w:pPr>
              <w:jc w:val="center"/>
            </w:pPr>
            <w:r>
              <w:rPr>
                <w:rFonts w:ascii="宋体" w:hAnsi="宋体"/>
                <w:color w:val="000000"/>
                <w:kern w:val="0"/>
                <w:szCs w:val="21"/>
              </w:rPr>
              <w:t>49.41%</w:t>
            </w:r>
          </w:p>
        </w:tc>
      </w:tr>
      <w:tr w:rsidR="003D270F">
        <w:tc>
          <w:tcPr>
            <w:tcW w:w="993" w:type="dxa"/>
          </w:tcPr>
          <w:p w:rsidR="003D270F" w:rsidRDefault="003D270F"/>
          <w:p w:rsidR="003D270F" w:rsidRDefault="0056124B">
            <w:r>
              <w:rPr>
                <w:rFonts w:ascii="宋体" w:hAnsi="宋体" w:hint="eastAsia"/>
                <w:bCs/>
                <w:color w:val="000000"/>
                <w:kern w:val="0"/>
                <w:szCs w:val="21"/>
              </w:rPr>
              <w:t>个人</w:t>
            </w:r>
          </w:p>
        </w:tc>
        <w:tc>
          <w:tcPr>
            <w:tcW w:w="992" w:type="dxa"/>
            <w:vAlign w:val="center"/>
          </w:tcPr>
          <w:p w:rsidR="003D270F" w:rsidRDefault="0056124B">
            <w:pPr>
              <w:jc w:val="center"/>
            </w:pPr>
            <w:r>
              <w:rPr>
                <w:rFonts w:ascii="宋体" w:hAnsi="宋体"/>
                <w:kern w:val="0"/>
                <w:szCs w:val="21"/>
              </w:rPr>
              <w:t>1</w:t>
            </w:r>
          </w:p>
        </w:tc>
        <w:tc>
          <w:tcPr>
            <w:tcW w:w="1843" w:type="dxa"/>
            <w:vAlign w:val="center"/>
          </w:tcPr>
          <w:p w:rsidR="003D270F" w:rsidRDefault="0056124B">
            <w:pPr>
              <w:jc w:val="center"/>
            </w:pPr>
            <w:r>
              <w:rPr>
                <w:rFonts w:ascii="宋体" w:hAnsi="宋体"/>
                <w:kern w:val="0"/>
                <w:szCs w:val="21"/>
              </w:rPr>
              <w:t>2019/1/1-2019/12/31</w:t>
            </w:r>
          </w:p>
        </w:tc>
        <w:tc>
          <w:tcPr>
            <w:tcW w:w="851" w:type="dxa"/>
            <w:vAlign w:val="center"/>
          </w:tcPr>
          <w:p w:rsidR="003D270F" w:rsidRDefault="0056124B">
            <w:pPr>
              <w:jc w:val="center"/>
            </w:pPr>
            <w:r>
              <w:rPr>
                <w:rFonts w:ascii="宋体" w:hAnsi="宋体"/>
                <w:kern w:val="0"/>
                <w:szCs w:val="21"/>
              </w:rPr>
              <w:t>4,941,611.46</w:t>
            </w:r>
          </w:p>
        </w:tc>
        <w:tc>
          <w:tcPr>
            <w:tcW w:w="850" w:type="dxa"/>
            <w:vAlign w:val="center"/>
          </w:tcPr>
          <w:p w:rsidR="003D270F" w:rsidRDefault="0056124B">
            <w:pPr>
              <w:jc w:val="center"/>
            </w:pPr>
            <w:r>
              <w:rPr>
                <w:rFonts w:ascii="宋体" w:hAnsi="宋体"/>
                <w:kern w:val="0"/>
                <w:szCs w:val="21"/>
              </w:rPr>
              <w:t>-</w:t>
            </w:r>
          </w:p>
        </w:tc>
        <w:tc>
          <w:tcPr>
            <w:tcW w:w="1134" w:type="dxa"/>
            <w:vAlign w:val="center"/>
          </w:tcPr>
          <w:p w:rsidR="003D270F" w:rsidRDefault="0056124B">
            <w:pPr>
              <w:jc w:val="center"/>
            </w:pPr>
            <w:r>
              <w:rPr>
                <w:rFonts w:ascii="宋体" w:hAnsi="宋体"/>
                <w:kern w:val="0"/>
                <w:szCs w:val="21"/>
              </w:rPr>
              <w:t>4,941,611.46</w:t>
            </w:r>
          </w:p>
        </w:tc>
        <w:tc>
          <w:tcPr>
            <w:tcW w:w="1419" w:type="dxa"/>
            <w:vAlign w:val="center"/>
          </w:tcPr>
          <w:p w:rsidR="003D270F" w:rsidRDefault="0056124B">
            <w:pPr>
              <w:jc w:val="center"/>
            </w:pPr>
            <w:r>
              <w:rPr>
                <w:rFonts w:ascii="宋体" w:hAnsi="宋体"/>
                <w:kern w:val="0"/>
                <w:szCs w:val="21"/>
              </w:rPr>
              <w:t>-</w:t>
            </w:r>
          </w:p>
        </w:tc>
        <w:tc>
          <w:tcPr>
            <w:tcW w:w="1130" w:type="dxa"/>
            <w:vAlign w:val="center"/>
          </w:tcPr>
          <w:p w:rsidR="003D270F" w:rsidRDefault="0056124B">
            <w:pPr>
              <w:jc w:val="center"/>
            </w:pPr>
            <w:r>
              <w:rPr>
                <w:rFonts w:ascii="宋体" w:hAnsi="宋体"/>
                <w:kern w:val="0"/>
                <w:szCs w:val="21"/>
              </w:rPr>
              <w:t>-</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5053FD" w:rsidRDefault="00BC645C" w:rsidP="005053FD">
      <w:pPr>
        <w:pStyle w:val="20"/>
        <w:spacing w:before="29" w:after="0" w:line="288" w:lineRule="auto"/>
        <w:rPr>
          <w:rFonts w:ascii="Times New Roman" w:hAnsi="Times New Roman"/>
          <w:kern w:val="0"/>
          <w:szCs w:val="24"/>
        </w:rPr>
      </w:pPr>
      <w:bookmarkStart w:id="198" w:name="_Toc35959584"/>
      <w:r w:rsidRPr="005053FD">
        <w:rPr>
          <w:rFonts w:ascii="Times New Roman" w:hAnsi="Times New Roman" w:hint="eastAsia"/>
          <w:kern w:val="0"/>
          <w:szCs w:val="24"/>
        </w:rPr>
        <w:t xml:space="preserve">12.2 </w:t>
      </w:r>
      <w:r w:rsidRPr="005053FD">
        <w:rPr>
          <w:rFonts w:ascii="Times New Roman" w:hAnsi="Times New Roman" w:hint="eastAsia"/>
          <w:kern w:val="0"/>
          <w:szCs w:val="24"/>
        </w:rPr>
        <w:t>影响投资者决策的其他重要信息</w:t>
      </w:r>
      <w:bookmarkEnd w:id="198"/>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35959585"/>
      <w:r w:rsidRPr="00A77EF9">
        <w:rPr>
          <w:rFonts w:hint="eastAsia"/>
          <w:b/>
          <w:bCs/>
          <w:szCs w:val="24"/>
          <w:lang w:val="en-US"/>
        </w:rPr>
        <w:lastRenderedPageBreak/>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DB6EA0" w:rsidRDefault="00DB6EA0" w:rsidP="00DB6EA0"/>
    <w:p w:rsidR="001A59F9" w:rsidRPr="005053FD" w:rsidRDefault="001A59F9" w:rsidP="005053FD">
      <w:pPr>
        <w:pStyle w:val="20"/>
        <w:spacing w:before="29" w:after="0" w:line="288" w:lineRule="auto"/>
        <w:rPr>
          <w:rFonts w:ascii="Times New Roman" w:hAnsi="Times New Roman"/>
          <w:kern w:val="0"/>
          <w:szCs w:val="24"/>
        </w:rPr>
      </w:pPr>
      <w:bookmarkStart w:id="202" w:name="_Toc361324904"/>
      <w:bookmarkStart w:id="203" w:name="_Toc35959586"/>
      <w:r w:rsidRPr="005053FD">
        <w:rPr>
          <w:rFonts w:ascii="Times New Roman" w:hAnsi="Times New Roman"/>
          <w:kern w:val="0"/>
          <w:szCs w:val="24"/>
        </w:rPr>
        <w:t xml:space="preserve">13.1 </w:t>
      </w:r>
      <w:r w:rsidRPr="005053FD">
        <w:rPr>
          <w:rFonts w:ascii="Times New Roman" w:hAnsi="Times New Roman" w:hint="eastAsia"/>
          <w:kern w:val="0"/>
          <w:szCs w:val="24"/>
        </w:rPr>
        <w:t>备查文件目录</w:t>
      </w:r>
      <w:bookmarkEnd w:id="202"/>
      <w:bookmarkEnd w:id="203"/>
    </w:p>
    <w:p w:rsidR="003D270F" w:rsidRDefault="0056124B">
      <w:pPr>
        <w:spacing w:before="29" w:line="288" w:lineRule="auto"/>
        <w:rPr>
          <w:kern w:val="0"/>
          <w:sz w:val="24"/>
        </w:rPr>
      </w:pPr>
      <w:r>
        <w:rPr>
          <w:kern w:val="0"/>
          <w:sz w:val="24"/>
        </w:rPr>
        <w:t>1</w:t>
      </w:r>
      <w:r>
        <w:rPr>
          <w:kern w:val="0"/>
          <w:sz w:val="24"/>
        </w:rPr>
        <w:t>、中国证监会准予交银施罗德丰盈收益债券型证券投资基金募集注册的文件；</w:t>
      </w:r>
      <w:r>
        <w:rPr>
          <w:kern w:val="0"/>
          <w:sz w:val="24"/>
        </w:rPr>
        <w:t xml:space="preserve"> </w:t>
      </w:r>
    </w:p>
    <w:p w:rsidR="003D270F" w:rsidRDefault="0056124B">
      <w:pPr>
        <w:spacing w:before="29" w:line="288" w:lineRule="auto"/>
        <w:rPr>
          <w:kern w:val="0"/>
          <w:sz w:val="24"/>
        </w:rPr>
      </w:pPr>
      <w:r>
        <w:rPr>
          <w:kern w:val="0"/>
          <w:sz w:val="24"/>
        </w:rPr>
        <w:t>2</w:t>
      </w:r>
      <w:r>
        <w:rPr>
          <w:kern w:val="0"/>
          <w:sz w:val="24"/>
        </w:rPr>
        <w:t>、《交银施罗德丰盈收益债券型证券投资基金基金合同》；</w:t>
      </w:r>
      <w:r>
        <w:rPr>
          <w:kern w:val="0"/>
          <w:sz w:val="24"/>
        </w:rPr>
        <w:t xml:space="preserve"> </w:t>
      </w:r>
    </w:p>
    <w:p w:rsidR="003D270F" w:rsidRDefault="0056124B">
      <w:pPr>
        <w:spacing w:before="29" w:line="288" w:lineRule="auto"/>
        <w:rPr>
          <w:kern w:val="0"/>
          <w:sz w:val="24"/>
        </w:rPr>
      </w:pPr>
      <w:r>
        <w:rPr>
          <w:kern w:val="0"/>
          <w:sz w:val="24"/>
        </w:rPr>
        <w:t>3</w:t>
      </w:r>
      <w:r>
        <w:rPr>
          <w:kern w:val="0"/>
          <w:sz w:val="24"/>
        </w:rPr>
        <w:t>、《交银施罗德丰盈收益债券型证券投资基金招募说明书》；</w:t>
      </w:r>
      <w:r>
        <w:rPr>
          <w:kern w:val="0"/>
          <w:sz w:val="24"/>
        </w:rPr>
        <w:t xml:space="preserve"> </w:t>
      </w:r>
    </w:p>
    <w:p w:rsidR="003D270F" w:rsidRDefault="0056124B">
      <w:pPr>
        <w:spacing w:before="29" w:line="288" w:lineRule="auto"/>
        <w:rPr>
          <w:kern w:val="0"/>
          <w:sz w:val="24"/>
        </w:rPr>
      </w:pPr>
      <w:r>
        <w:rPr>
          <w:kern w:val="0"/>
          <w:sz w:val="24"/>
        </w:rPr>
        <w:t>4</w:t>
      </w:r>
      <w:r>
        <w:rPr>
          <w:kern w:val="0"/>
          <w:sz w:val="24"/>
        </w:rPr>
        <w:t>、《交银施罗德丰盈收益债券型证券投资基金托管协议》；</w:t>
      </w:r>
      <w:r>
        <w:rPr>
          <w:kern w:val="0"/>
          <w:sz w:val="24"/>
        </w:rPr>
        <w:t xml:space="preserve"> </w:t>
      </w:r>
    </w:p>
    <w:p w:rsidR="003D270F" w:rsidRDefault="0056124B">
      <w:pPr>
        <w:spacing w:before="29" w:line="288" w:lineRule="auto"/>
        <w:rPr>
          <w:kern w:val="0"/>
          <w:sz w:val="24"/>
        </w:rPr>
      </w:pPr>
      <w:r>
        <w:rPr>
          <w:kern w:val="0"/>
          <w:sz w:val="24"/>
        </w:rPr>
        <w:t>5</w:t>
      </w:r>
      <w:r>
        <w:rPr>
          <w:kern w:val="0"/>
          <w:sz w:val="24"/>
        </w:rPr>
        <w:t>、关于申请募集注册交银施罗德丰盈收益债券型证券投资基金的法律意见书；</w:t>
      </w:r>
      <w:r>
        <w:rPr>
          <w:kern w:val="0"/>
          <w:sz w:val="24"/>
        </w:rPr>
        <w:t xml:space="preserve"> </w:t>
      </w:r>
    </w:p>
    <w:p w:rsidR="003D270F" w:rsidRDefault="0056124B">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3D270F" w:rsidRDefault="0056124B">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、报告期内交银施罗德丰盈收益债券型证券投资基金在指定报刊上各项公告的原稿。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204" w:name="_Toc361324905"/>
      <w:bookmarkStart w:id="205" w:name="_Toc35959587"/>
      <w:r w:rsidRPr="005053FD">
        <w:rPr>
          <w:rFonts w:ascii="Times New Roman" w:hAnsi="Times New Roman"/>
          <w:kern w:val="0"/>
          <w:szCs w:val="24"/>
        </w:rPr>
        <w:t>13.2</w:t>
      </w:r>
      <w:r w:rsidRPr="005053FD">
        <w:rPr>
          <w:rFonts w:ascii="Times New Roman" w:hAnsi="Times New Roman" w:hint="eastAsia"/>
          <w:kern w:val="0"/>
          <w:szCs w:val="24"/>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5053FD" w:rsidRDefault="001A59F9" w:rsidP="005053FD">
      <w:pPr>
        <w:pStyle w:val="20"/>
        <w:spacing w:before="29" w:after="0" w:line="288" w:lineRule="auto"/>
        <w:rPr>
          <w:rFonts w:ascii="Times New Roman" w:hAnsi="Times New Roman"/>
          <w:kern w:val="0"/>
          <w:szCs w:val="24"/>
        </w:rPr>
      </w:pPr>
      <w:bookmarkStart w:id="206" w:name="_Toc361324906"/>
      <w:bookmarkStart w:id="207" w:name="_Toc35959588"/>
      <w:r w:rsidRPr="005053FD">
        <w:rPr>
          <w:rFonts w:ascii="Times New Roman" w:hAnsi="Times New Roman"/>
          <w:kern w:val="0"/>
          <w:szCs w:val="24"/>
        </w:rPr>
        <w:t>13.3</w:t>
      </w:r>
      <w:r w:rsidRPr="005053FD">
        <w:rPr>
          <w:rFonts w:ascii="Times New Roman" w:hAnsi="Times New Roman" w:hint="eastAsia"/>
          <w:kern w:val="0"/>
          <w:szCs w:val="24"/>
        </w:rPr>
        <w:t>查阅方式</w:t>
      </w:r>
      <w:bookmarkEnd w:id="206"/>
      <w:bookmarkEnd w:id="207"/>
    </w:p>
    <w:p w:rsidR="003D270F" w:rsidRDefault="0056124B">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2C3" w:rsidRDefault="002F72C3">
      <w:r>
        <w:separator/>
      </w:r>
    </w:p>
  </w:endnote>
  <w:endnote w:type="continuationSeparator" w:id="0">
    <w:p w:rsidR="002F72C3" w:rsidRDefault="002F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3118C1">
      <w:rPr>
        <w:noProof/>
        <w:kern w:val="0"/>
        <w:szCs w:val="21"/>
      </w:rPr>
      <w:t>4</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3118C1">
      <w:rPr>
        <w:noProof/>
        <w:kern w:val="0"/>
        <w:szCs w:val="21"/>
      </w:rPr>
      <w:t>58</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2C3" w:rsidRDefault="002F72C3">
      <w:r>
        <w:separator/>
      </w:r>
    </w:p>
  </w:footnote>
  <w:footnote w:type="continuationSeparator" w:id="0">
    <w:p w:rsidR="002F72C3" w:rsidRDefault="002F72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56D"/>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0EB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3B53"/>
    <w:rsid w:val="002F4296"/>
    <w:rsid w:val="002F51BF"/>
    <w:rsid w:val="002F5777"/>
    <w:rsid w:val="002F60EA"/>
    <w:rsid w:val="002F680E"/>
    <w:rsid w:val="002F6FFD"/>
    <w:rsid w:val="002F72C3"/>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18C1"/>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70F"/>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53FD"/>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24B"/>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479"/>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1C4A"/>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A09"/>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A5F"/>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2ED1"/>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62B0"/>
    <w:rsid w:val="00E67862"/>
    <w:rsid w:val="00E6797C"/>
    <w:rsid w:val="00E67B46"/>
    <w:rsid w:val="00E70ACF"/>
    <w:rsid w:val="00E70D46"/>
    <w:rsid w:val="00E712A9"/>
    <w:rsid w:val="00E713BC"/>
    <w:rsid w:val="00E72444"/>
    <w:rsid w:val="00E72639"/>
    <w:rsid w:val="00E73DEB"/>
    <w:rsid w:val="00E7410F"/>
    <w:rsid w:val="00E74181"/>
    <w:rsid w:val="00E74EC5"/>
    <w:rsid w:val="00E750D9"/>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3CE8"/>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86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6AEC6-43AA-4E46-BD92-18BF16CBB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58</Pages>
  <Words>7408</Words>
  <Characters>42228</Characters>
  <Application>Microsoft Office Word</Application>
  <DocSecurity>0</DocSecurity>
  <Lines>351</Lines>
  <Paragraphs>99</Paragraphs>
  <ScaleCrop>false</ScaleCrop>
  <Company/>
  <LinksUpToDate>false</LinksUpToDate>
  <CharactersWithSpaces>49537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1357</cp:revision>
  <cp:lastPrinted>2007-07-19T00:46:00Z</cp:lastPrinted>
  <dcterms:created xsi:type="dcterms:W3CDTF">2013-08-19T02:39:00Z</dcterms:created>
  <dcterms:modified xsi:type="dcterms:W3CDTF">2020-03-24T08:25:00Z</dcterms:modified>
</cp:coreProperties>
</file>