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交银施罗德境尚收益债券型证券投资基金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10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610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F397F" w:rsidRDefault="0015641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F397F" w:rsidRDefault="0015641A">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F397F" w:rsidRDefault="0015641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F397F" w:rsidRDefault="0015641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1C20F0">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6105"/>
      <w:r w:rsidR="00352EBB" w:rsidRPr="001C20F0">
        <w:rPr>
          <w:rFonts w:ascii="Times New Roman" w:hAnsi="Times New Roman"/>
          <w:kern w:val="0"/>
          <w:szCs w:val="24"/>
        </w:rPr>
        <w:lastRenderedPageBreak/>
        <w:t>1.2</w:t>
      </w:r>
      <w:r w:rsidR="00352EBB" w:rsidRPr="001C20F0">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bookmarkStart w:id="9" w:name="_GoBack"/>
    <w:bookmarkEnd w:id="9"/>
    <w:p w:rsidR="001C20F0"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6103" w:history="1">
        <w:r w:rsidR="001C20F0" w:rsidRPr="003B446B">
          <w:rPr>
            <w:rStyle w:val="a9"/>
            <w:b/>
            <w:bCs/>
            <w:noProof/>
          </w:rPr>
          <w:t xml:space="preserve">§1  </w:t>
        </w:r>
        <w:r w:rsidR="001C20F0" w:rsidRPr="003B446B">
          <w:rPr>
            <w:rStyle w:val="a9"/>
            <w:rFonts w:hint="eastAsia"/>
            <w:b/>
            <w:bCs/>
            <w:noProof/>
          </w:rPr>
          <w:t>重要提示及目录</w:t>
        </w:r>
        <w:r w:rsidR="001C20F0">
          <w:rPr>
            <w:noProof/>
            <w:webHidden/>
          </w:rPr>
          <w:tab/>
        </w:r>
        <w:r w:rsidR="001C20F0">
          <w:rPr>
            <w:noProof/>
            <w:webHidden/>
          </w:rPr>
          <w:fldChar w:fldCharType="begin"/>
        </w:r>
        <w:r w:rsidR="001C20F0">
          <w:rPr>
            <w:noProof/>
            <w:webHidden/>
          </w:rPr>
          <w:instrText xml:space="preserve"> PAGEREF _Toc35966103 \h </w:instrText>
        </w:r>
        <w:r w:rsidR="001C20F0">
          <w:rPr>
            <w:noProof/>
            <w:webHidden/>
          </w:rPr>
        </w:r>
        <w:r w:rsidR="001C20F0">
          <w:rPr>
            <w:noProof/>
            <w:webHidden/>
          </w:rPr>
          <w:fldChar w:fldCharType="separate"/>
        </w:r>
        <w:r w:rsidR="001C20F0">
          <w:rPr>
            <w:noProof/>
            <w:webHidden/>
          </w:rPr>
          <w:t>2</w:t>
        </w:r>
        <w:r w:rsidR="001C20F0">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04" w:history="1">
        <w:r w:rsidRPr="003B446B">
          <w:rPr>
            <w:rStyle w:val="a9"/>
            <w:noProof/>
          </w:rPr>
          <w:t xml:space="preserve">1.1 </w:t>
        </w:r>
        <w:r w:rsidRPr="003B446B">
          <w:rPr>
            <w:rStyle w:val="a9"/>
            <w:rFonts w:hint="eastAsia"/>
            <w:noProof/>
          </w:rPr>
          <w:t>重要提示</w:t>
        </w:r>
        <w:r>
          <w:rPr>
            <w:noProof/>
            <w:webHidden/>
          </w:rPr>
          <w:tab/>
        </w:r>
        <w:r>
          <w:rPr>
            <w:noProof/>
            <w:webHidden/>
          </w:rPr>
          <w:fldChar w:fldCharType="begin"/>
        </w:r>
        <w:r>
          <w:rPr>
            <w:noProof/>
            <w:webHidden/>
          </w:rPr>
          <w:instrText xml:space="preserve"> PAGEREF _Toc35966104 \h </w:instrText>
        </w:r>
        <w:r>
          <w:rPr>
            <w:noProof/>
            <w:webHidden/>
          </w:rPr>
        </w:r>
        <w:r>
          <w:rPr>
            <w:noProof/>
            <w:webHidden/>
          </w:rPr>
          <w:fldChar w:fldCharType="separate"/>
        </w:r>
        <w:r>
          <w:rPr>
            <w:noProof/>
            <w:webHidden/>
          </w:rPr>
          <w:t>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05" w:history="1">
        <w:r w:rsidRPr="003B446B">
          <w:rPr>
            <w:rStyle w:val="a9"/>
            <w:noProof/>
          </w:rPr>
          <w:t>1.2</w:t>
        </w:r>
        <w:r w:rsidRPr="003B446B">
          <w:rPr>
            <w:rStyle w:val="a9"/>
            <w:rFonts w:hint="eastAsia"/>
            <w:noProof/>
          </w:rPr>
          <w:t>目录</w:t>
        </w:r>
        <w:r>
          <w:rPr>
            <w:noProof/>
            <w:webHidden/>
          </w:rPr>
          <w:tab/>
        </w:r>
        <w:r>
          <w:rPr>
            <w:noProof/>
            <w:webHidden/>
          </w:rPr>
          <w:fldChar w:fldCharType="begin"/>
        </w:r>
        <w:r>
          <w:rPr>
            <w:noProof/>
            <w:webHidden/>
          </w:rPr>
          <w:instrText xml:space="preserve"> PAGEREF _Toc35966105 \h </w:instrText>
        </w:r>
        <w:r>
          <w:rPr>
            <w:noProof/>
            <w:webHidden/>
          </w:rPr>
        </w:r>
        <w:r>
          <w:rPr>
            <w:noProof/>
            <w:webHidden/>
          </w:rPr>
          <w:fldChar w:fldCharType="separate"/>
        </w:r>
        <w:r>
          <w:rPr>
            <w:noProof/>
            <w:webHidden/>
          </w:rPr>
          <w:t>3</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06" w:history="1">
        <w:r w:rsidRPr="003B446B">
          <w:rPr>
            <w:rStyle w:val="a9"/>
            <w:b/>
            <w:bCs/>
            <w:noProof/>
          </w:rPr>
          <w:t xml:space="preserve">§2  </w:t>
        </w:r>
        <w:r w:rsidRPr="003B446B">
          <w:rPr>
            <w:rStyle w:val="a9"/>
            <w:rFonts w:hint="eastAsia"/>
            <w:b/>
            <w:bCs/>
            <w:noProof/>
          </w:rPr>
          <w:t>基金简介</w:t>
        </w:r>
        <w:r>
          <w:rPr>
            <w:noProof/>
            <w:webHidden/>
          </w:rPr>
          <w:tab/>
        </w:r>
        <w:r>
          <w:rPr>
            <w:noProof/>
            <w:webHidden/>
          </w:rPr>
          <w:fldChar w:fldCharType="begin"/>
        </w:r>
        <w:r>
          <w:rPr>
            <w:noProof/>
            <w:webHidden/>
          </w:rPr>
          <w:instrText xml:space="preserve"> PAGEREF _Toc35966106 \h </w:instrText>
        </w:r>
        <w:r>
          <w:rPr>
            <w:noProof/>
            <w:webHidden/>
          </w:rPr>
        </w:r>
        <w:r>
          <w:rPr>
            <w:noProof/>
            <w:webHidden/>
          </w:rPr>
          <w:fldChar w:fldCharType="separate"/>
        </w:r>
        <w:r>
          <w:rPr>
            <w:noProof/>
            <w:webHidden/>
          </w:rPr>
          <w:t>5</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07" w:history="1">
        <w:r w:rsidRPr="003B446B">
          <w:rPr>
            <w:rStyle w:val="a9"/>
            <w:noProof/>
          </w:rPr>
          <w:t>2.1</w:t>
        </w:r>
        <w:r w:rsidRPr="003B446B">
          <w:rPr>
            <w:rStyle w:val="a9"/>
            <w:rFonts w:hint="eastAsia"/>
            <w:noProof/>
          </w:rPr>
          <w:t>基金基本情况</w:t>
        </w:r>
        <w:r>
          <w:rPr>
            <w:noProof/>
            <w:webHidden/>
          </w:rPr>
          <w:tab/>
        </w:r>
        <w:r>
          <w:rPr>
            <w:noProof/>
            <w:webHidden/>
          </w:rPr>
          <w:fldChar w:fldCharType="begin"/>
        </w:r>
        <w:r>
          <w:rPr>
            <w:noProof/>
            <w:webHidden/>
          </w:rPr>
          <w:instrText xml:space="preserve"> PAGEREF _Toc35966107 \h </w:instrText>
        </w:r>
        <w:r>
          <w:rPr>
            <w:noProof/>
            <w:webHidden/>
          </w:rPr>
        </w:r>
        <w:r>
          <w:rPr>
            <w:noProof/>
            <w:webHidden/>
          </w:rPr>
          <w:fldChar w:fldCharType="separate"/>
        </w:r>
        <w:r>
          <w:rPr>
            <w:noProof/>
            <w:webHidden/>
          </w:rPr>
          <w:t>5</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08" w:history="1">
        <w:r w:rsidRPr="003B446B">
          <w:rPr>
            <w:rStyle w:val="a9"/>
            <w:noProof/>
          </w:rPr>
          <w:t xml:space="preserve">2.2 </w:t>
        </w:r>
        <w:r w:rsidRPr="003B446B">
          <w:rPr>
            <w:rStyle w:val="a9"/>
            <w:rFonts w:hint="eastAsia"/>
            <w:noProof/>
          </w:rPr>
          <w:t>基金产品说明</w:t>
        </w:r>
        <w:r>
          <w:rPr>
            <w:noProof/>
            <w:webHidden/>
          </w:rPr>
          <w:tab/>
        </w:r>
        <w:r>
          <w:rPr>
            <w:noProof/>
            <w:webHidden/>
          </w:rPr>
          <w:fldChar w:fldCharType="begin"/>
        </w:r>
        <w:r>
          <w:rPr>
            <w:noProof/>
            <w:webHidden/>
          </w:rPr>
          <w:instrText xml:space="preserve"> PAGEREF _Toc35966108 \h </w:instrText>
        </w:r>
        <w:r>
          <w:rPr>
            <w:noProof/>
            <w:webHidden/>
          </w:rPr>
        </w:r>
        <w:r>
          <w:rPr>
            <w:noProof/>
            <w:webHidden/>
          </w:rPr>
          <w:fldChar w:fldCharType="separate"/>
        </w:r>
        <w:r>
          <w:rPr>
            <w:noProof/>
            <w:webHidden/>
          </w:rPr>
          <w:t>5</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09" w:history="1">
        <w:r w:rsidRPr="003B446B">
          <w:rPr>
            <w:rStyle w:val="a9"/>
            <w:noProof/>
          </w:rPr>
          <w:t xml:space="preserve">2.3 </w:t>
        </w:r>
        <w:r w:rsidRPr="003B446B">
          <w:rPr>
            <w:rStyle w:val="a9"/>
            <w:rFonts w:hint="eastAsia"/>
            <w:noProof/>
          </w:rPr>
          <w:t>基金管理人和基金托管人</w:t>
        </w:r>
        <w:r>
          <w:rPr>
            <w:noProof/>
            <w:webHidden/>
          </w:rPr>
          <w:tab/>
        </w:r>
        <w:r>
          <w:rPr>
            <w:noProof/>
            <w:webHidden/>
          </w:rPr>
          <w:fldChar w:fldCharType="begin"/>
        </w:r>
        <w:r>
          <w:rPr>
            <w:noProof/>
            <w:webHidden/>
          </w:rPr>
          <w:instrText xml:space="preserve"> PAGEREF _Toc35966109 \h </w:instrText>
        </w:r>
        <w:r>
          <w:rPr>
            <w:noProof/>
            <w:webHidden/>
          </w:rPr>
        </w:r>
        <w:r>
          <w:rPr>
            <w:noProof/>
            <w:webHidden/>
          </w:rPr>
          <w:fldChar w:fldCharType="separate"/>
        </w:r>
        <w:r>
          <w:rPr>
            <w:noProof/>
            <w:webHidden/>
          </w:rPr>
          <w:t>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0" w:history="1">
        <w:r w:rsidRPr="003B446B">
          <w:rPr>
            <w:rStyle w:val="a9"/>
            <w:noProof/>
          </w:rPr>
          <w:t xml:space="preserve">2.4 </w:t>
        </w:r>
        <w:r w:rsidRPr="003B446B">
          <w:rPr>
            <w:rStyle w:val="a9"/>
            <w:rFonts w:hint="eastAsia"/>
            <w:noProof/>
          </w:rPr>
          <w:t>信息披露方式</w:t>
        </w:r>
        <w:r>
          <w:rPr>
            <w:noProof/>
            <w:webHidden/>
          </w:rPr>
          <w:tab/>
        </w:r>
        <w:r>
          <w:rPr>
            <w:noProof/>
            <w:webHidden/>
          </w:rPr>
          <w:fldChar w:fldCharType="begin"/>
        </w:r>
        <w:r>
          <w:rPr>
            <w:noProof/>
            <w:webHidden/>
          </w:rPr>
          <w:instrText xml:space="preserve"> PAGEREF _Toc35966110 \h </w:instrText>
        </w:r>
        <w:r>
          <w:rPr>
            <w:noProof/>
            <w:webHidden/>
          </w:rPr>
        </w:r>
        <w:r>
          <w:rPr>
            <w:noProof/>
            <w:webHidden/>
          </w:rPr>
          <w:fldChar w:fldCharType="separate"/>
        </w:r>
        <w:r>
          <w:rPr>
            <w:noProof/>
            <w:webHidden/>
          </w:rPr>
          <w:t>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1" w:history="1">
        <w:r w:rsidRPr="003B446B">
          <w:rPr>
            <w:rStyle w:val="a9"/>
            <w:noProof/>
          </w:rPr>
          <w:t xml:space="preserve">2.5 </w:t>
        </w:r>
        <w:r w:rsidRPr="003B446B">
          <w:rPr>
            <w:rStyle w:val="a9"/>
            <w:rFonts w:hint="eastAsia"/>
            <w:noProof/>
          </w:rPr>
          <w:t>其他相关资料</w:t>
        </w:r>
        <w:r>
          <w:rPr>
            <w:noProof/>
            <w:webHidden/>
          </w:rPr>
          <w:tab/>
        </w:r>
        <w:r>
          <w:rPr>
            <w:noProof/>
            <w:webHidden/>
          </w:rPr>
          <w:fldChar w:fldCharType="begin"/>
        </w:r>
        <w:r>
          <w:rPr>
            <w:noProof/>
            <w:webHidden/>
          </w:rPr>
          <w:instrText xml:space="preserve"> PAGEREF _Toc35966111 \h </w:instrText>
        </w:r>
        <w:r>
          <w:rPr>
            <w:noProof/>
            <w:webHidden/>
          </w:rPr>
        </w:r>
        <w:r>
          <w:rPr>
            <w:noProof/>
            <w:webHidden/>
          </w:rPr>
          <w:fldChar w:fldCharType="separate"/>
        </w:r>
        <w:r>
          <w:rPr>
            <w:noProof/>
            <w:webHidden/>
          </w:rPr>
          <w:t>7</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12" w:history="1">
        <w:r w:rsidRPr="003B446B">
          <w:rPr>
            <w:rStyle w:val="a9"/>
            <w:b/>
            <w:bCs/>
            <w:noProof/>
          </w:rPr>
          <w:t xml:space="preserve">§3 </w:t>
        </w:r>
        <w:r w:rsidRPr="003B446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_Toc35966112 \h </w:instrText>
        </w:r>
        <w:r>
          <w:rPr>
            <w:noProof/>
            <w:webHidden/>
          </w:rPr>
        </w:r>
        <w:r>
          <w:rPr>
            <w:noProof/>
            <w:webHidden/>
          </w:rPr>
          <w:fldChar w:fldCharType="separate"/>
        </w:r>
        <w:r>
          <w:rPr>
            <w:noProof/>
            <w:webHidden/>
          </w:rPr>
          <w:t>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3" w:history="1">
        <w:r w:rsidRPr="003B446B">
          <w:rPr>
            <w:rStyle w:val="a9"/>
            <w:noProof/>
          </w:rPr>
          <w:t xml:space="preserve">3.1 </w:t>
        </w:r>
        <w:r w:rsidRPr="003B446B">
          <w:rPr>
            <w:rStyle w:val="a9"/>
            <w:rFonts w:hint="eastAsia"/>
            <w:noProof/>
          </w:rPr>
          <w:t>主要会计数据和财务指标</w:t>
        </w:r>
        <w:r>
          <w:rPr>
            <w:noProof/>
            <w:webHidden/>
          </w:rPr>
          <w:tab/>
        </w:r>
        <w:r>
          <w:rPr>
            <w:noProof/>
            <w:webHidden/>
          </w:rPr>
          <w:fldChar w:fldCharType="begin"/>
        </w:r>
        <w:r>
          <w:rPr>
            <w:noProof/>
            <w:webHidden/>
          </w:rPr>
          <w:instrText xml:space="preserve"> PAGEREF _Toc35966113 \h </w:instrText>
        </w:r>
        <w:r>
          <w:rPr>
            <w:noProof/>
            <w:webHidden/>
          </w:rPr>
        </w:r>
        <w:r>
          <w:rPr>
            <w:noProof/>
            <w:webHidden/>
          </w:rPr>
          <w:fldChar w:fldCharType="separate"/>
        </w:r>
        <w:r>
          <w:rPr>
            <w:noProof/>
            <w:webHidden/>
          </w:rPr>
          <w:t>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4" w:history="1">
        <w:r w:rsidRPr="003B446B">
          <w:rPr>
            <w:rStyle w:val="a9"/>
            <w:noProof/>
          </w:rPr>
          <w:t xml:space="preserve">3.2 </w:t>
        </w:r>
        <w:r w:rsidRPr="003B446B">
          <w:rPr>
            <w:rStyle w:val="a9"/>
            <w:rFonts w:hint="eastAsia"/>
            <w:noProof/>
          </w:rPr>
          <w:t>基金净值表现</w:t>
        </w:r>
        <w:r>
          <w:rPr>
            <w:noProof/>
            <w:webHidden/>
          </w:rPr>
          <w:tab/>
        </w:r>
        <w:r>
          <w:rPr>
            <w:noProof/>
            <w:webHidden/>
          </w:rPr>
          <w:fldChar w:fldCharType="begin"/>
        </w:r>
        <w:r>
          <w:rPr>
            <w:noProof/>
            <w:webHidden/>
          </w:rPr>
          <w:instrText xml:space="preserve"> PAGEREF _Toc35966114 \h </w:instrText>
        </w:r>
        <w:r>
          <w:rPr>
            <w:noProof/>
            <w:webHidden/>
          </w:rPr>
        </w:r>
        <w:r>
          <w:rPr>
            <w:noProof/>
            <w:webHidden/>
          </w:rPr>
          <w:fldChar w:fldCharType="separate"/>
        </w:r>
        <w:r>
          <w:rPr>
            <w:noProof/>
            <w:webHidden/>
          </w:rPr>
          <w:t>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5" w:history="1">
        <w:r w:rsidRPr="003B446B">
          <w:rPr>
            <w:rStyle w:val="a9"/>
            <w:noProof/>
          </w:rPr>
          <w:t>3.3</w:t>
        </w:r>
        <w:r w:rsidRPr="003B446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_Toc35966115 \h </w:instrText>
        </w:r>
        <w:r>
          <w:rPr>
            <w:noProof/>
            <w:webHidden/>
          </w:rPr>
        </w:r>
        <w:r>
          <w:rPr>
            <w:noProof/>
            <w:webHidden/>
          </w:rPr>
          <w:fldChar w:fldCharType="separate"/>
        </w:r>
        <w:r>
          <w:rPr>
            <w:noProof/>
            <w:webHidden/>
          </w:rPr>
          <w:t>11</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16" w:history="1">
        <w:r w:rsidRPr="003B446B">
          <w:rPr>
            <w:rStyle w:val="a9"/>
            <w:b/>
            <w:bCs/>
            <w:noProof/>
          </w:rPr>
          <w:t xml:space="preserve">§4  </w:t>
        </w:r>
        <w:r w:rsidRPr="003B446B">
          <w:rPr>
            <w:rStyle w:val="a9"/>
            <w:rFonts w:hint="eastAsia"/>
            <w:b/>
            <w:bCs/>
            <w:noProof/>
          </w:rPr>
          <w:t>管理人报告</w:t>
        </w:r>
        <w:r>
          <w:rPr>
            <w:noProof/>
            <w:webHidden/>
          </w:rPr>
          <w:tab/>
        </w:r>
        <w:r>
          <w:rPr>
            <w:noProof/>
            <w:webHidden/>
          </w:rPr>
          <w:fldChar w:fldCharType="begin"/>
        </w:r>
        <w:r>
          <w:rPr>
            <w:noProof/>
            <w:webHidden/>
          </w:rPr>
          <w:instrText xml:space="preserve"> PAGEREF _Toc35966116 \h </w:instrText>
        </w:r>
        <w:r>
          <w:rPr>
            <w:noProof/>
            <w:webHidden/>
          </w:rPr>
        </w:r>
        <w:r>
          <w:rPr>
            <w:noProof/>
            <w:webHidden/>
          </w:rPr>
          <w:fldChar w:fldCharType="separate"/>
        </w:r>
        <w:r>
          <w:rPr>
            <w:noProof/>
            <w:webHidden/>
          </w:rPr>
          <w:t>12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7" w:history="1">
        <w:r w:rsidRPr="003B446B">
          <w:rPr>
            <w:rStyle w:val="a9"/>
            <w:noProof/>
          </w:rPr>
          <w:t xml:space="preserve">4.1 </w:t>
        </w:r>
        <w:r w:rsidRPr="003B446B">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_Toc35966117 \h </w:instrText>
        </w:r>
        <w:r>
          <w:rPr>
            <w:noProof/>
            <w:webHidden/>
          </w:rPr>
        </w:r>
        <w:r>
          <w:rPr>
            <w:noProof/>
            <w:webHidden/>
          </w:rPr>
          <w:fldChar w:fldCharType="separate"/>
        </w:r>
        <w:r>
          <w:rPr>
            <w:noProof/>
            <w:webHidden/>
          </w:rPr>
          <w:t>12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8" w:history="1">
        <w:r w:rsidRPr="003B446B">
          <w:rPr>
            <w:rStyle w:val="a9"/>
            <w:noProof/>
          </w:rPr>
          <w:t xml:space="preserve">4.2 </w:t>
        </w:r>
        <w:r w:rsidRPr="003B446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_Toc35966118 \h </w:instrText>
        </w:r>
        <w:r>
          <w:rPr>
            <w:noProof/>
            <w:webHidden/>
          </w:rPr>
        </w:r>
        <w:r>
          <w:rPr>
            <w:noProof/>
            <w:webHidden/>
          </w:rPr>
          <w:fldChar w:fldCharType="separate"/>
        </w:r>
        <w:r>
          <w:rPr>
            <w:noProof/>
            <w:webHidden/>
          </w:rPr>
          <w:t>14</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19" w:history="1">
        <w:r w:rsidRPr="003B446B">
          <w:rPr>
            <w:rStyle w:val="a9"/>
            <w:noProof/>
          </w:rPr>
          <w:t xml:space="preserve">4.3 </w:t>
        </w:r>
        <w:r w:rsidRPr="003B446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_Toc35966119 \h </w:instrText>
        </w:r>
        <w:r>
          <w:rPr>
            <w:noProof/>
            <w:webHidden/>
          </w:rPr>
        </w:r>
        <w:r>
          <w:rPr>
            <w:noProof/>
            <w:webHidden/>
          </w:rPr>
          <w:fldChar w:fldCharType="separate"/>
        </w:r>
        <w:r>
          <w:rPr>
            <w:noProof/>
            <w:webHidden/>
          </w:rPr>
          <w:t>14</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0" w:history="1">
        <w:r w:rsidRPr="003B446B">
          <w:rPr>
            <w:rStyle w:val="a9"/>
            <w:noProof/>
          </w:rPr>
          <w:t xml:space="preserve">4.4 </w:t>
        </w:r>
        <w:r w:rsidRPr="003B446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_Toc35966120 \h </w:instrText>
        </w:r>
        <w:r>
          <w:rPr>
            <w:noProof/>
            <w:webHidden/>
          </w:rPr>
        </w:r>
        <w:r>
          <w:rPr>
            <w:noProof/>
            <w:webHidden/>
          </w:rPr>
          <w:fldChar w:fldCharType="separate"/>
        </w:r>
        <w:r>
          <w:rPr>
            <w:noProof/>
            <w:webHidden/>
          </w:rPr>
          <w:t>15</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1" w:history="1">
        <w:r w:rsidRPr="003B446B">
          <w:rPr>
            <w:rStyle w:val="a9"/>
            <w:noProof/>
          </w:rPr>
          <w:t xml:space="preserve">4.5 </w:t>
        </w:r>
        <w:r w:rsidRPr="003B446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_Toc35966121 \h </w:instrText>
        </w:r>
        <w:r>
          <w:rPr>
            <w:noProof/>
            <w:webHidden/>
          </w:rPr>
        </w:r>
        <w:r>
          <w:rPr>
            <w:noProof/>
            <w:webHidden/>
          </w:rPr>
          <w:fldChar w:fldCharType="separate"/>
        </w:r>
        <w:r>
          <w:rPr>
            <w:noProof/>
            <w:webHidden/>
          </w:rPr>
          <w:t>16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2" w:history="1">
        <w:r w:rsidRPr="003B446B">
          <w:rPr>
            <w:rStyle w:val="a9"/>
            <w:noProof/>
          </w:rPr>
          <w:t xml:space="preserve">4.6 </w:t>
        </w:r>
        <w:r w:rsidRPr="003B446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_Toc35966122 \h </w:instrText>
        </w:r>
        <w:r>
          <w:rPr>
            <w:noProof/>
            <w:webHidden/>
          </w:rPr>
        </w:r>
        <w:r>
          <w:rPr>
            <w:noProof/>
            <w:webHidden/>
          </w:rPr>
          <w:fldChar w:fldCharType="separate"/>
        </w:r>
        <w:r>
          <w:rPr>
            <w:noProof/>
            <w:webHidden/>
          </w:rPr>
          <w:t>16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3" w:history="1">
        <w:r w:rsidRPr="003B446B">
          <w:rPr>
            <w:rStyle w:val="a9"/>
            <w:noProof/>
          </w:rPr>
          <w:t xml:space="preserve">4.7 </w:t>
        </w:r>
        <w:r w:rsidRPr="003B446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_Toc35966123 \h </w:instrText>
        </w:r>
        <w:r>
          <w:rPr>
            <w:noProof/>
            <w:webHidden/>
          </w:rPr>
        </w:r>
        <w:r>
          <w:rPr>
            <w:noProof/>
            <w:webHidden/>
          </w:rPr>
          <w:fldChar w:fldCharType="separate"/>
        </w:r>
        <w:r>
          <w:rPr>
            <w:noProof/>
            <w:webHidden/>
          </w:rPr>
          <w:t>17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4" w:history="1">
        <w:r w:rsidRPr="003B446B">
          <w:rPr>
            <w:rStyle w:val="a9"/>
            <w:noProof/>
          </w:rPr>
          <w:t>4.8</w:t>
        </w:r>
        <w:r w:rsidRPr="003B446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_Toc35966124 \h </w:instrText>
        </w:r>
        <w:r>
          <w:rPr>
            <w:noProof/>
            <w:webHidden/>
          </w:rPr>
        </w:r>
        <w:r>
          <w:rPr>
            <w:noProof/>
            <w:webHidden/>
          </w:rPr>
          <w:fldChar w:fldCharType="separate"/>
        </w:r>
        <w:r>
          <w:rPr>
            <w:noProof/>
            <w:webHidden/>
          </w:rPr>
          <w:t>17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5" w:history="1">
        <w:r w:rsidRPr="003B446B">
          <w:rPr>
            <w:rStyle w:val="a9"/>
            <w:noProof/>
          </w:rPr>
          <w:t>4.9</w:t>
        </w:r>
        <w:r w:rsidRPr="003B446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_Toc35966125 \h </w:instrText>
        </w:r>
        <w:r>
          <w:rPr>
            <w:noProof/>
            <w:webHidden/>
          </w:rPr>
        </w:r>
        <w:r>
          <w:rPr>
            <w:noProof/>
            <w:webHidden/>
          </w:rPr>
          <w:fldChar w:fldCharType="separate"/>
        </w:r>
        <w:r>
          <w:rPr>
            <w:noProof/>
            <w:webHidden/>
          </w:rPr>
          <w:t>17</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26" w:history="1">
        <w:r w:rsidRPr="003B446B">
          <w:rPr>
            <w:rStyle w:val="a9"/>
            <w:b/>
            <w:bCs/>
            <w:noProof/>
          </w:rPr>
          <w:t xml:space="preserve">§5  </w:t>
        </w:r>
        <w:r w:rsidRPr="003B446B">
          <w:rPr>
            <w:rStyle w:val="a9"/>
            <w:rFonts w:hint="eastAsia"/>
            <w:b/>
            <w:bCs/>
            <w:noProof/>
          </w:rPr>
          <w:t>托管人报告</w:t>
        </w:r>
        <w:r>
          <w:rPr>
            <w:noProof/>
            <w:webHidden/>
          </w:rPr>
          <w:tab/>
        </w:r>
        <w:r>
          <w:rPr>
            <w:noProof/>
            <w:webHidden/>
          </w:rPr>
          <w:fldChar w:fldCharType="begin"/>
        </w:r>
        <w:r>
          <w:rPr>
            <w:noProof/>
            <w:webHidden/>
          </w:rPr>
          <w:instrText xml:space="preserve"> PAGEREF _Toc35966126 \h </w:instrText>
        </w:r>
        <w:r>
          <w:rPr>
            <w:noProof/>
            <w:webHidden/>
          </w:rPr>
        </w:r>
        <w:r>
          <w:rPr>
            <w:noProof/>
            <w:webHidden/>
          </w:rPr>
          <w:fldChar w:fldCharType="separate"/>
        </w:r>
        <w:r>
          <w:rPr>
            <w:noProof/>
            <w:webHidden/>
          </w:rPr>
          <w:t>17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7" w:history="1">
        <w:r w:rsidRPr="003B446B">
          <w:rPr>
            <w:rStyle w:val="a9"/>
            <w:noProof/>
          </w:rPr>
          <w:t xml:space="preserve">5.1 </w:t>
        </w:r>
        <w:r w:rsidRPr="003B446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_Toc35966127 \h </w:instrText>
        </w:r>
        <w:r>
          <w:rPr>
            <w:noProof/>
            <w:webHidden/>
          </w:rPr>
        </w:r>
        <w:r>
          <w:rPr>
            <w:noProof/>
            <w:webHidden/>
          </w:rPr>
          <w:fldChar w:fldCharType="separate"/>
        </w:r>
        <w:r>
          <w:rPr>
            <w:noProof/>
            <w:webHidden/>
          </w:rPr>
          <w:t>17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8" w:history="1">
        <w:r w:rsidRPr="003B446B">
          <w:rPr>
            <w:rStyle w:val="a9"/>
            <w:noProof/>
          </w:rPr>
          <w:t xml:space="preserve">5.2 </w:t>
        </w:r>
        <w:r w:rsidRPr="003B446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_Toc35966128 \h </w:instrText>
        </w:r>
        <w:r>
          <w:rPr>
            <w:noProof/>
            <w:webHidden/>
          </w:rPr>
        </w:r>
        <w:r>
          <w:rPr>
            <w:noProof/>
            <w:webHidden/>
          </w:rPr>
          <w:fldChar w:fldCharType="separate"/>
        </w:r>
        <w:r>
          <w:rPr>
            <w:noProof/>
            <w:webHidden/>
          </w:rPr>
          <w:t>18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29" w:history="1">
        <w:r w:rsidRPr="003B446B">
          <w:rPr>
            <w:rStyle w:val="a9"/>
            <w:noProof/>
          </w:rPr>
          <w:t xml:space="preserve">5.3 </w:t>
        </w:r>
        <w:r w:rsidRPr="003B446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_Toc35966129 \h </w:instrText>
        </w:r>
        <w:r>
          <w:rPr>
            <w:noProof/>
            <w:webHidden/>
          </w:rPr>
        </w:r>
        <w:r>
          <w:rPr>
            <w:noProof/>
            <w:webHidden/>
          </w:rPr>
          <w:fldChar w:fldCharType="separate"/>
        </w:r>
        <w:r>
          <w:rPr>
            <w:noProof/>
            <w:webHidden/>
          </w:rPr>
          <w:t>18</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30" w:history="1">
        <w:r w:rsidRPr="003B446B">
          <w:rPr>
            <w:rStyle w:val="a9"/>
            <w:b/>
            <w:bCs/>
            <w:noProof/>
          </w:rPr>
          <w:t xml:space="preserve">§6  </w:t>
        </w:r>
        <w:r w:rsidRPr="003B446B">
          <w:rPr>
            <w:rStyle w:val="a9"/>
            <w:rFonts w:hint="eastAsia"/>
            <w:b/>
            <w:bCs/>
            <w:noProof/>
          </w:rPr>
          <w:t>审计报告</w:t>
        </w:r>
        <w:r>
          <w:rPr>
            <w:noProof/>
            <w:webHidden/>
          </w:rPr>
          <w:tab/>
        </w:r>
        <w:r>
          <w:rPr>
            <w:noProof/>
            <w:webHidden/>
          </w:rPr>
          <w:fldChar w:fldCharType="begin"/>
        </w:r>
        <w:r>
          <w:rPr>
            <w:noProof/>
            <w:webHidden/>
          </w:rPr>
          <w:instrText xml:space="preserve"> PAGEREF _Toc35966130 \h </w:instrText>
        </w:r>
        <w:r>
          <w:rPr>
            <w:noProof/>
            <w:webHidden/>
          </w:rPr>
        </w:r>
        <w:r>
          <w:rPr>
            <w:noProof/>
            <w:webHidden/>
          </w:rPr>
          <w:fldChar w:fldCharType="separate"/>
        </w:r>
        <w:r>
          <w:rPr>
            <w:noProof/>
            <w:webHidden/>
          </w:rPr>
          <w:t>18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1" w:history="1">
        <w:r w:rsidRPr="003B446B">
          <w:rPr>
            <w:rStyle w:val="a9"/>
            <w:noProof/>
          </w:rPr>
          <w:t xml:space="preserve">6.1 </w:t>
        </w:r>
        <w:r w:rsidRPr="003B446B">
          <w:rPr>
            <w:rStyle w:val="a9"/>
            <w:rFonts w:hint="eastAsia"/>
            <w:noProof/>
          </w:rPr>
          <w:t>审计意见</w:t>
        </w:r>
        <w:r>
          <w:rPr>
            <w:noProof/>
            <w:webHidden/>
          </w:rPr>
          <w:tab/>
        </w:r>
        <w:r>
          <w:rPr>
            <w:noProof/>
            <w:webHidden/>
          </w:rPr>
          <w:fldChar w:fldCharType="begin"/>
        </w:r>
        <w:r>
          <w:rPr>
            <w:noProof/>
            <w:webHidden/>
          </w:rPr>
          <w:instrText xml:space="preserve"> PAGEREF _Toc35966131 \h </w:instrText>
        </w:r>
        <w:r>
          <w:rPr>
            <w:noProof/>
            <w:webHidden/>
          </w:rPr>
        </w:r>
        <w:r>
          <w:rPr>
            <w:noProof/>
            <w:webHidden/>
          </w:rPr>
          <w:fldChar w:fldCharType="separate"/>
        </w:r>
        <w:r>
          <w:rPr>
            <w:noProof/>
            <w:webHidden/>
          </w:rPr>
          <w:t>18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2" w:history="1">
        <w:r w:rsidRPr="003B446B">
          <w:rPr>
            <w:rStyle w:val="a9"/>
            <w:noProof/>
          </w:rPr>
          <w:t xml:space="preserve">6.2 </w:t>
        </w:r>
        <w:r w:rsidRPr="003B446B">
          <w:rPr>
            <w:rStyle w:val="a9"/>
            <w:rFonts w:hint="eastAsia"/>
            <w:noProof/>
          </w:rPr>
          <w:t>形成审计意见的基础</w:t>
        </w:r>
        <w:r>
          <w:rPr>
            <w:noProof/>
            <w:webHidden/>
          </w:rPr>
          <w:tab/>
        </w:r>
        <w:r>
          <w:rPr>
            <w:noProof/>
            <w:webHidden/>
          </w:rPr>
          <w:fldChar w:fldCharType="begin"/>
        </w:r>
        <w:r>
          <w:rPr>
            <w:noProof/>
            <w:webHidden/>
          </w:rPr>
          <w:instrText xml:space="preserve"> PAGEREF _Toc35966132 \h </w:instrText>
        </w:r>
        <w:r>
          <w:rPr>
            <w:noProof/>
            <w:webHidden/>
          </w:rPr>
        </w:r>
        <w:r>
          <w:rPr>
            <w:noProof/>
            <w:webHidden/>
          </w:rPr>
          <w:fldChar w:fldCharType="separate"/>
        </w:r>
        <w:r>
          <w:rPr>
            <w:noProof/>
            <w:webHidden/>
          </w:rPr>
          <w:t>18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3" w:history="1">
        <w:r w:rsidRPr="003B446B">
          <w:rPr>
            <w:rStyle w:val="a9"/>
            <w:noProof/>
          </w:rPr>
          <w:t xml:space="preserve">6.3 </w:t>
        </w:r>
        <w:r w:rsidRPr="003B446B">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_Toc35966133 \h </w:instrText>
        </w:r>
        <w:r>
          <w:rPr>
            <w:noProof/>
            <w:webHidden/>
          </w:rPr>
        </w:r>
        <w:r>
          <w:rPr>
            <w:noProof/>
            <w:webHidden/>
          </w:rPr>
          <w:fldChar w:fldCharType="separate"/>
        </w:r>
        <w:r>
          <w:rPr>
            <w:noProof/>
            <w:webHidden/>
          </w:rPr>
          <w:t>19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4" w:history="1">
        <w:r w:rsidRPr="003B446B">
          <w:rPr>
            <w:rStyle w:val="a9"/>
            <w:noProof/>
          </w:rPr>
          <w:t xml:space="preserve">6.4 </w:t>
        </w:r>
        <w:r w:rsidRPr="003B446B">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_Toc35966134 \h </w:instrText>
        </w:r>
        <w:r>
          <w:rPr>
            <w:noProof/>
            <w:webHidden/>
          </w:rPr>
        </w:r>
        <w:r>
          <w:rPr>
            <w:noProof/>
            <w:webHidden/>
          </w:rPr>
          <w:fldChar w:fldCharType="separate"/>
        </w:r>
        <w:r>
          <w:rPr>
            <w:noProof/>
            <w:webHidden/>
          </w:rPr>
          <w:t>19</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35" w:history="1">
        <w:r w:rsidRPr="003B446B">
          <w:rPr>
            <w:rStyle w:val="a9"/>
            <w:b/>
            <w:bCs/>
            <w:noProof/>
          </w:rPr>
          <w:t>§7</w:t>
        </w:r>
        <w:r w:rsidRPr="003B446B">
          <w:rPr>
            <w:rStyle w:val="a9"/>
            <w:rFonts w:hint="eastAsia"/>
            <w:b/>
            <w:bCs/>
            <w:noProof/>
          </w:rPr>
          <w:t>年度财务报表</w:t>
        </w:r>
        <w:r>
          <w:rPr>
            <w:noProof/>
            <w:webHidden/>
          </w:rPr>
          <w:tab/>
        </w:r>
        <w:r>
          <w:rPr>
            <w:noProof/>
            <w:webHidden/>
          </w:rPr>
          <w:fldChar w:fldCharType="begin"/>
        </w:r>
        <w:r>
          <w:rPr>
            <w:noProof/>
            <w:webHidden/>
          </w:rPr>
          <w:instrText xml:space="preserve"> PAGEREF _Toc35966135 \h </w:instrText>
        </w:r>
        <w:r>
          <w:rPr>
            <w:noProof/>
            <w:webHidden/>
          </w:rPr>
        </w:r>
        <w:r>
          <w:rPr>
            <w:noProof/>
            <w:webHidden/>
          </w:rPr>
          <w:fldChar w:fldCharType="separate"/>
        </w:r>
        <w:r>
          <w:rPr>
            <w:noProof/>
            <w:webHidden/>
          </w:rPr>
          <w:t>20</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6" w:history="1">
        <w:r w:rsidRPr="003B446B">
          <w:rPr>
            <w:rStyle w:val="a9"/>
            <w:noProof/>
          </w:rPr>
          <w:t xml:space="preserve">7.1 </w:t>
        </w:r>
        <w:r w:rsidRPr="003B446B">
          <w:rPr>
            <w:rStyle w:val="a9"/>
            <w:rFonts w:hint="eastAsia"/>
            <w:noProof/>
          </w:rPr>
          <w:t>资产负债表</w:t>
        </w:r>
        <w:r>
          <w:rPr>
            <w:noProof/>
            <w:webHidden/>
          </w:rPr>
          <w:tab/>
        </w:r>
        <w:r>
          <w:rPr>
            <w:noProof/>
            <w:webHidden/>
          </w:rPr>
          <w:fldChar w:fldCharType="begin"/>
        </w:r>
        <w:r>
          <w:rPr>
            <w:noProof/>
            <w:webHidden/>
          </w:rPr>
          <w:instrText xml:space="preserve"> PAGEREF _Toc35966136 \h </w:instrText>
        </w:r>
        <w:r>
          <w:rPr>
            <w:noProof/>
            <w:webHidden/>
          </w:rPr>
        </w:r>
        <w:r>
          <w:rPr>
            <w:noProof/>
            <w:webHidden/>
          </w:rPr>
          <w:fldChar w:fldCharType="separate"/>
        </w:r>
        <w:r>
          <w:rPr>
            <w:noProof/>
            <w:webHidden/>
          </w:rPr>
          <w:t>20</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7" w:history="1">
        <w:r w:rsidRPr="003B446B">
          <w:rPr>
            <w:rStyle w:val="a9"/>
            <w:noProof/>
          </w:rPr>
          <w:t xml:space="preserve">7.2 </w:t>
        </w:r>
        <w:r w:rsidRPr="003B446B">
          <w:rPr>
            <w:rStyle w:val="a9"/>
            <w:rFonts w:hint="eastAsia"/>
            <w:noProof/>
          </w:rPr>
          <w:t>利润表</w:t>
        </w:r>
        <w:r>
          <w:rPr>
            <w:noProof/>
            <w:webHidden/>
          </w:rPr>
          <w:tab/>
        </w:r>
        <w:r>
          <w:rPr>
            <w:noProof/>
            <w:webHidden/>
          </w:rPr>
          <w:fldChar w:fldCharType="begin"/>
        </w:r>
        <w:r>
          <w:rPr>
            <w:noProof/>
            <w:webHidden/>
          </w:rPr>
          <w:instrText xml:space="preserve"> PAGEREF _Toc35966137 \h </w:instrText>
        </w:r>
        <w:r>
          <w:rPr>
            <w:noProof/>
            <w:webHidden/>
          </w:rPr>
        </w:r>
        <w:r>
          <w:rPr>
            <w:noProof/>
            <w:webHidden/>
          </w:rPr>
          <w:fldChar w:fldCharType="separate"/>
        </w:r>
        <w:r>
          <w:rPr>
            <w:noProof/>
            <w:webHidden/>
          </w:rPr>
          <w:t>22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8" w:history="1">
        <w:r w:rsidRPr="003B446B">
          <w:rPr>
            <w:rStyle w:val="a9"/>
            <w:noProof/>
          </w:rPr>
          <w:t xml:space="preserve">7.3 </w:t>
        </w:r>
        <w:r w:rsidRPr="003B446B">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_Toc35966138 \h </w:instrText>
        </w:r>
        <w:r>
          <w:rPr>
            <w:noProof/>
            <w:webHidden/>
          </w:rPr>
        </w:r>
        <w:r>
          <w:rPr>
            <w:noProof/>
            <w:webHidden/>
          </w:rPr>
          <w:fldChar w:fldCharType="separate"/>
        </w:r>
        <w:r>
          <w:rPr>
            <w:noProof/>
            <w:webHidden/>
          </w:rPr>
          <w:t>23</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39" w:history="1">
        <w:r w:rsidRPr="003B446B">
          <w:rPr>
            <w:rStyle w:val="a9"/>
            <w:noProof/>
          </w:rPr>
          <w:t xml:space="preserve">7.4 </w:t>
        </w:r>
        <w:r w:rsidRPr="003B446B">
          <w:rPr>
            <w:rStyle w:val="a9"/>
            <w:rFonts w:hint="eastAsia"/>
            <w:noProof/>
          </w:rPr>
          <w:t>报表附注</w:t>
        </w:r>
        <w:r>
          <w:rPr>
            <w:noProof/>
            <w:webHidden/>
          </w:rPr>
          <w:tab/>
        </w:r>
        <w:r>
          <w:rPr>
            <w:noProof/>
            <w:webHidden/>
          </w:rPr>
          <w:fldChar w:fldCharType="begin"/>
        </w:r>
        <w:r>
          <w:rPr>
            <w:noProof/>
            <w:webHidden/>
          </w:rPr>
          <w:instrText xml:space="preserve"> PAGEREF _Toc35966139 \h </w:instrText>
        </w:r>
        <w:r>
          <w:rPr>
            <w:noProof/>
            <w:webHidden/>
          </w:rPr>
        </w:r>
        <w:r>
          <w:rPr>
            <w:noProof/>
            <w:webHidden/>
          </w:rPr>
          <w:fldChar w:fldCharType="separate"/>
        </w:r>
        <w:r>
          <w:rPr>
            <w:noProof/>
            <w:webHidden/>
          </w:rPr>
          <w:t>24</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40" w:history="1">
        <w:r w:rsidRPr="003B446B">
          <w:rPr>
            <w:rStyle w:val="a9"/>
            <w:b/>
            <w:bCs/>
            <w:noProof/>
          </w:rPr>
          <w:t>§8</w:t>
        </w:r>
        <w:r w:rsidRPr="003B446B">
          <w:rPr>
            <w:rStyle w:val="a9"/>
            <w:rFonts w:hint="eastAsia"/>
            <w:b/>
            <w:bCs/>
            <w:noProof/>
          </w:rPr>
          <w:t>投资组合报告</w:t>
        </w:r>
        <w:r>
          <w:rPr>
            <w:noProof/>
            <w:webHidden/>
          </w:rPr>
          <w:tab/>
        </w:r>
        <w:r>
          <w:rPr>
            <w:noProof/>
            <w:webHidden/>
          </w:rPr>
          <w:fldChar w:fldCharType="begin"/>
        </w:r>
        <w:r>
          <w:rPr>
            <w:noProof/>
            <w:webHidden/>
          </w:rPr>
          <w:instrText xml:space="preserve"> PAGEREF _Toc35966140 \h </w:instrText>
        </w:r>
        <w:r>
          <w:rPr>
            <w:noProof/>
            <w:webHidden/>
          </w:rPr>
        </w:r>
        <w:r>
          <w:rPr>
            <w:noProof/>
            <w:webHidden/>
          </w:rPr>
          <w:fldChar w:fldCharType="separate"/>
        </w:r>
        <w:r>
          <w:rPr>
            <w:noProof/>
            <w:webHidden/>
          </w:rPr>
          <w:t>47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1" w:history="1">
        <w:r w:rsidRPr="003B446B">
          <w:rPr>
            <w:rStyle w:val="a9"/>
            <w:noProof/>
          </w:rPr>
          <w:t xml:space="preserve">8.1 </w:t>
        </w:r>
        <w:r w:rsidRPr="003B446B">
          <w:rPr>
            <w:rStyle w:val="a9"/>
            <w:rFonts w:hint="eastAsia"/>
            <w:noProof/>
          </w:rPr>
          <w:t>期末基金资产组合情况</w:t>
        </w:r>
        <w:r>
          <w:rPr>
            <w:noProof/>
            <w:webHidden/>
          </w:rPr>
          <w:tab/>
        </w:r>
        <w:r>
          <w:rPr>
            <w:noProof/>
            <w:webHidden/>
          </w:rPr>
          <w:fldChar w:fldCharType="begin"/>
        </w:r>
        <w:r>
          <w:rPr>
            <w:noProof/>
            <w:webHidden/>
          </w:rPr>
          <w:instrText xml:space="preserve"> PAGEREF _Toc35966141 \h </w:instrText>
        </w:r>
        <w:r>
          <w:rPr>
            <w:noProof/>
            <w:webHidden/>
          </w:rPr>
        </w:r>
        <w:r>
          <w:rPr>
            <w:noProof/>
            <w:webHidden/>
          </w:rPr>
          <w:fldChar w:fldCharType="separate"/>
        </w:r>
        <w:r>
          <w:rPr>
            <w:noProof/>
            <w:webHidden/>
          </w:rPr>
          <w:t>47</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2" w:history="1">
        <w:r w:rsidRPr="003B446B">
          <w:rPr>
            <w:rStyle w:val="a9"/>
            <w:noProof/>
          </w:rPr>
          <w:t>8.2</w:t>
        </w:r>
        <w:r w:rsidRPr="003B446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_Toc35966142 \h </w:instrText>
        </w:r>
        <w:r>
          <w:rPr>
            <w:noProof/>
            <w:webHidden/>
          </w:rPr>
        </w:r>
        <w:r>
          <w:rPr>
            <w:noProof/>
            <w:webHidden/>
          </w:rPr>
          <w:fldChar w:fldCharType="separate"/>
        </w:r>
        <w:r>
          <w:rPr>
            <w:noProof/>
            <w:webHidden/>
          </w:rPr>
          <w:t>48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3" w:history="1">
        <w:r w:rsidRPr="003B446B">
          <w:rPr>
            <w:rStyle w:val="a9"/>
            <w:noProof/>
          </w:rPr>
          <w:t>8.3</w:t>
        </w:r>
        <w:r w:rsidRPr="003B446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_Toc35966143 \h </w:instrText>
        </w:r>
        <w:r>
          <w:rPr>
            <w:noProof/>
            <w:webHidden/>
          </w:rPr>
        </w:r>
        <w:r>
          <w:rPr>
            <w:noProof/>
            <w:webHidden/>
          </w:rPr>
          <w:fldChar w:fldCharType="separate"/>
        </w:r>
        <w:r>
          <w:rPr>
            <w:noProof/>
            <w:webHidden/>
          </w:rPr>
          <w:t>48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4" w:history="1">
        <w:r w:rsidRPr="003B446B">
          <w:rPr>
            <w:rStyle w:val="a9"/>
            <w:noProof/>
          </w:rPr>
          <w:t>8.4</w:t>
        </w:r>
        <w:r w:rsidRPr="003B446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_Toc35966144 \h </w:instrText>
        </w:r>
        <w:r>
          <w:rPr>
            <w:noProof/>
            <w:webHidden/>
          </w:rPr>
        </w:r>
        <w:r>
          <w:rPr>
            <w:noProof/>
            <w:webHidden/>
          </w:rPr>
          <w:fldChar w:fldCharType="separate"/>
        </w:r>
        <w:r>
          <w:rPr>
            <w:noProof/>
            <w:webHidden/>
          </w:rPr>
          <w:t>48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5" w:history="1">
        <w:r w:rsidRPr="003B446B">
          <w:rPr>
            <w:rStyle w:val="a9"/>
            <w:noProof/>
          </w:rPr>
          <w:t>8.5</w:t>
        </w:r>
        <w:r w:rsidRPr="003B446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_Toc35966145 \h </w:instrText>
        </w:r>
        <w:r>
          <w:rPr>
            <w:noProof/>
            <w:webHidden/>
          </w:rPr>
        </w:r>
        <w:r>
          <w:rPr>
            <w:noProof/>
            <w:webHidden/>
          </w:rPr>
          <w:fldChar w:fldCharType="separate"/>
        </w:r>
        <w:r>
          <w:rPr>
            <w:noProof/>
            <w:webHidden/>
          </w:rPr>
          <w:t>48</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6" w:history="1">
        <w:r w:rsidRPr="003B446B">
          <w:rPr>
            <w:rStyle w:val="a9"/>
            <w:noProof/>
          </w:rPr>
          <w:t>8.6</w:t>
        </w:r>
        <w:r w:rsidRPr="003B446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_Toc35966146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7" w:history="1">
        <w:r w:rsidRPr="003B446B">
          <w:rPr>
            <w:rStyle w:val="a9"/>
            <w:noProof/>
          </w:rPr>
          <w:t>8.7</w:t>
        </w:r>
        <w:r w:rsidRPr="003B446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_Toc35966147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8" w:history="1">
        <w:r w:rsidRPr="003B446B">
          <w:rPr>
            <w:rStyle w:val="a9"/>
            <w:noProof/>
          </w:rPr>
          <w:t>8.8</w:t>
        </w:r>
        <w:r w:rsidRPr="003B446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_Toc35966148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49" w:history="1">
        <w:r w:rsidRPr="003B446B">
          <w:rPr>
            <w:rStyle w:val="a9"/>
            <w:noProof/>
          </w:rPr>
          <w:t>8.9</w:t>
        </w:r>
        <w:r w:rsidRPr="003B446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_Toc35966149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0" w:history="1">
        <w:r w:rsidRPr="003B446B">
          <w:rPr>
            <w:rStyle w:val="a9"/>
            <w:noProof/>
          </w:rPr>
          <w:t xml:space="preserve">8.10 </w:t>
        </w:r>
        <w:r w:rsidRPr="003B446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_Toc35966150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1" w:history="1">
        <w:r w:rsidRPr="003B446B">
          <w:rPr>
            <w:rStyle w:val="a9"/>
            <w:noProof/>
          </w:rPr>
          <w:t>8.11</w:t>
        </w:r>
        <w:r w:rsidRPr="003B446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_Toc35966151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2" w:history="1">
        <w:r w:rsidRPr="003B446B">
          <w:rPr>
            <w:rStyle w:val="a9"/>
            <w:noProof/>
          </w:rPr>
          <w:t xml:space="preserve">8.12 </w:t>
        </w:r>
        <w:r w:rsidRPr="003B446B">
          <w:rPr>
            <w:rStyle w:val="a9"/>
            <w:rFonts w:hint="eastAsia"/>
            <w:noProof/>
          </w:rPr>
          <w:t>投资组合报告附注</w:t>
        </w:r>
        <w:r>
          <w:rPr>
            <w:noProof/>
            <w:webHidden/>
          </w:rPr>
          <w:tab/>
        </w:r>
        <w:r>
          <w:rPr>
            <w:noProof/>
            <w:webHidden/>
          </w:rPr>
          <w:fldChar w:fldCharType="begin"/>
        </w:r>
        <w:r>
          <w:rPr>
            <w:noProof/>
            <w:webHidden/>
          </w:rPr>
          <w:instrText xml:space="preserve"> PAGEREF _Toc35966152 \h </w:instrText>
        </w:r>
        <w:r>
          <w:rPr>
            <w:noProof/>
            <w:webHidden/>
          </w:rPr>
        </w:r>
        <w:r>
          <w:rPr>
            <w:noProof/>
            <w:webHidden/>
          </w:rPr>
          <w:fldChar w:fldCharType="separate"/>
        </w:r>
        <w:r>
          <w:rPr>
            <w:noProof/>
            <w:webHidden/>
          </w:rPr>
          <w:t>49</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53" w:history="1">
        <w:r w:rsidRPr="003B446B">
          <w:rPr>
            <w:rStyle w:val="a9"/>
            <w:b/>
            <w:bCs/>
            <w:noProof/>
          </w:rPr>
          <w:t>§9</w:t>
        </w:r>
        <w:r w:rsidRPr="003B446B">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_Toc35966153 \h </w:instrText>
        </w:r>
        <w:r>
          <w:rPr>
            <w:noProof/>
            <w:webHidden/>
          </w:rPr>
        </w:r>
        <w:r>
          <w:rPr>
            <w:noProof/>
            <w:webHidden/>
          </w:rPr>
          <w:fldChar w:fldCharType="separate"/>
        </w:r>
        <w:r>
          <w:rPr>
            <w:noProof/>
            <w:webHidden/>
          </w:rPr>
          <w:t>50</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4" w:history="1">
        <w:r w:rsidRPr="003B446B">
          <w:rPr>
            <w:rStyle w:val="a9"/>
            <w:noProof/>
          </w:rPr>
          <w:t xml:space="preserve">9.1 </w:t>
        </w:r>
        <w:r w:rsidRPr="003B446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_Toc35966154 \h </w:instrText>
        </w:r>
        <w:r>
          <w:rPr>
            <w:noProof/>
            <w:webHidden/>
          </w:rPr>
        </w:r>
        <w:r>
          <w:rPr>
            <w:noProof/>
            <w:webHidden/>
          </w:rPr>
          <w:fldChar w:fldCharType="separate"/>
        </w:r>
        <w:r>
          <w:rPr>
            <w:noProof/>
            <w:webHidden/>
          </w:rPr>
          <w:t>50</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5" w:history="1">
        <w:r w:rsidRPr="003B446B">
          <w:rPr>
            <w:rStyle w:val="a9"/>
            <w:noProof/>
          </w:rPr>
          <w:t>9.2</w:t>
        </w:r>
        <w:r w:rsidRPr="003B446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_Toc35966155 \h </w:instrText>
        </w:r>
        <w:r>
          <w:rPr>
            <w:noProof/>
            <w:webHidden/>
          </w:rPr>
        </w:r>
        <w:r>
          <w:rPr>
            <w:noProof/>
            <w:webHidden/>
          </w:rPr>
          <w:fldChar w:fldCharType="separate"/>
        </w:r>
        <w:r>
          <w:rPr>
            <w:noProof/>
            <w:webHidden/>
          </w:rPr>
          <w:t>51</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6" w:history="1">
        <w:r w:rsidRPr="003B446B">
          <w:rPr>
            <w:rStyle w:val="a9"/>
            <w:noProof/>
          </w:rPr>
          <w:t>9.3</w:t>
        </w:r>
        <w:r w:rsidRPr="003B446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_Toc35966156 \h </w:instrText>
        </w:r>
        <w:r>
          <w:rPr>
            <w:noProof/>
            <w:webHidden/>
          </w:rPr>
        </w:r>
        <w:r>
          <w:rPr>
            <w:noProof/>
            <w:webHidden/>
          </w:rPr>
          <w:fldChar w:fldCharType="separate"/>
        </w:r>
        <w:r>
          <w:rPr>
            <w:noProof/>
            <w:webHidden/>
          </w:rPr>
          <w:t>51</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57" w:history="1">
        <w:r w:rsidRPr="003B446B">
          <w:rPr>
            <w:rStyle w:val="a9"/>
            <w:b/>
            <w:bCs/>
            <w:noProof/>
          </w:rPr>
          <w:t>§10</w:t>
        </w:r>
        <w:r w:rsidRPr="003B446B">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_Toc35966157 \h </w:instrText>
        </w:r>
        <w:r>
          <w:rPr>
            <w:noProof/>
            <w:webHidden/>
          </w:rPr>
        </w:r>
        <w:r>
          <w:rPr>
            <w:noProof/>
            <w:webHidden/>
          </w:rPr>
          <w:fldChar w:fldCharType="separate"/>
        </w:r>
        <w:r>
          <w:rPr>
            <w:noProof/>
            <w:webHidden/>
          </w:rPr>
          <w:t>51</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58" w:history="1">
        <w:r w:rsidRPr="003B446B">
          <w:rPr>
            <w:rStyle w:val="a9"/>
            <w:b/>
            <w:bCs/>
            <w:noProof/>
          </w:rPr>
          <w:t>§11</w:t>
        </w:r>
        <w:r w:rsidRPr="003B446B">
          <w:rPr>
            <w:rStyle w:val="a9"/>
            <w:rFonts w:hint="eastAsia"/>
            <w:b/>
            <w:bCs/>
            <w:noProof/>
          </w:rPr>
          <w:t>重大事件揭示</w:t>
        </w:r>
        <w:r>
          <w:rPr>
            <w:noProof/>
            <w:webHidden/>
          </w:rPr>
          <w:tab/>
        </w:r>
        <w:r>
          <w:rPr>
            <w:noProof/>
            <w:webHidden/>
          </w:rPr>
          <w:fldChar w:fldCharType="begin"/>
        </w:r>
        <w:r>
          <w:rPr>
            <w:noProof/>
            <w:webHidden/>
          </w:rPr>
          <w:instrText xml:space="preserve"> PAGEREF _Toc35966158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59" w:history="1">
        <w:r w:rsidRPr="003B446B">
          <w:rPr>
            <w:rStyle w:val="a9"/>
            <w:noProof/>
          </w:rPr>
          <w:t>11.1</w:t>
        </w:r>
        <w:r w:rsidRPr="003B446B">
          <w:rPr>
            <w:rStyle w:val="a9"/>
            <w:rFonts w:hint="eastAsia"/>
            <w:noProof/>
          </w:rPr>
          <w:t>基金份额持有人大会决议</w:t>
        </w:r>
        <w:r>
          <w:rPr>
            <w:noProof/>
            <w:webHidden/>
          </w:rPr>
          <w:tab/>
        </w:r>
        <w:r>
          <w:rPr>
            <w:noProof/>
            <w:webHidden/>
          </w:rPr>
          <w:fldChar w:fldCharType="begin"/>
        </w:r>
        <w:r>
          <w:rPr>
            <w:noProof/>
            <w:webHidden/>
          </w:rPr>
          <w:instrText xml:space="preserve"> PAGEREF _Toc35966159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0" w:history="1">
        <w:r w:rsidRPr="003B446B">
          <w:rPr>
            <w:rStyle w:val="a9"/>
            <w:noProof/>
          </w:rPr>
          <w:t xml:space="preserve">11.2 </w:t>
        </w:r>
        <w:r w:rsidRPr="003B446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_Toc35966160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1" w:history="1">
        <w:r w:rsidRPr="003B446B">
          <w:rPr>
            <w:rStyle w:val="a9"/>
            <w:noProof/>
          </w:rPr>
          <w:t xml:space="preserve">11.3 </w:t>
        </w:r>
        <w:r w:rsidRPr="003B446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_Toc35966161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2" w:history="1">
        <w:r w:rsidRPr="003B446B">
          <w:rPr>
            <w:rStyle w:val="a9"/>
            <w:noProof/>
          </w:rPr>
          <w:t xml:space="preserve">11.4 </w:t>
        </w:r>
        <w:r w:rsidRPr="003B446B">
          <w:rPr>
            <w:rStyle w:val="a9"/>
            <w:rFonts w:hint="eastAsia"/>
            <w:noProof/>
          </w:rPr>
          <w:t>基金投资策略的改变</w:t>
        </w:r>
        <w:r>
          <w:rPr>
            <w:noProof/>
            <w:webHidden/>
          </w:rPr>
          <w:tab/>
        </w:r>
        <w:r>
          <w:rPr>
            <w:noProof/>
            <w:webHidden/>
          </w:rPr>
          <w:fldChar w:fldCharType="begin"/>
        </w:r>
        <w:r>
          <w:rPr>
            <w:noProof/>
            <w:webHidden/>
          </w:rPr>
          <w:instrText xml:space="preserve"> PAGEREF _Toc35966162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3" w:history="1">
        <w:r w:rsidRPr="003B446B">
          <w:rPr>
            <w:rStyle w:val="a9"/>
            <w:noProof/>
          </w:rPr>
          <w:t>11.5</w:t>
        </w:r>
        <w:r w:rsidRPr="003B446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_Toc35966163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4" w:history="1">
        <w:r w:rsidRPr="003B446B">
          <w:rPr>
            <w:rStyle w:val="a9"/>
            <w:noProof/>
          </w:rPr>
          <w:t xml:space="preserve">11.6 </w:t>
        </w:r>
        <w:r w:rsidRPr="003B446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_Toc35966164 \h </w:instrText>
        </w:r>
        <w:r>
          <w:rPr>
            <w:noProof/>
            <w:webHidden/>
          </w:rPr>
        </w:r>
        <w:r>
          <w:rPr>
            <w:noProof/>
            <w:webHidden/>
          </w:rPr>
          <w:fldChar w:fldCharType="separate"/>
        </w:r>
        <w:r>
          <w:rPr>
            <w:noProof/>
            <w:webHidden/>
          </w:rPr>
          <w:t>52</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5" w:history="1">
        <w:r w:rsidRPr="003B446B">
          <w:rPr>
            <w:rStyle w:val="a9"/>
            <w:noProof/>
          </w:rPr>
          <w:t xml:space="preserve">11.7 </w:t>
        </w:r>
        <w:r w:rsidRPr="003B446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_Toc35966165 \h </w:instrText>
        </w:r>
        <w:r>
          <w:rPr>
            <w:noProof/>
            <w:webHidden/>
          </w:rPr>
        </w:r>
        <w:r>
          <w:rPr>
            <w:noProof/>
            <w:webHidden/>
          </w:rPr>
          <w:fldChar w:fldCharType="separate"/>
        </w:r>
        <w:r>
          <w:rPr>
            <w:noProof/>
            <w:webHidden/>
          </w:rPr>
          <w:t>53</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6" w:history="1">
        <w:r w:rsidRPr="003B446B">
          <w:rPr>
            <w:rStyle w:val="a9"/>
            <w:noProof/>
          </w:rPr>
          <w:t>11.8</w:t>
        </w:r>
        <w:r w:rsidRPr="003B446B">
          <w:rPr>
            <w:rStyle w:val="a9"/>
            <w:rFonts w:hint="eastAsia"/>
            <w:noProof/>
          </w:rPr>
          <w:t>其他重大事件</w:t>
        </w:r>
        <w:r>
          <w:rPr>
            <w:noProof/>
            <w:webHidden/>
          </w:rPr>
          <w:tab/>
        </w:r>
        <w:r>
          <w:rPr>
            <w:noProof/>
            <w:webHidden/>
          </w:rPr>
          <w:fldChar w:fldCharType="begin"/>
        </w:r>
        <w:r>
          <w:rPr>
            <w:noProof/>
            <w:webHidden/>
          </w:rPr>
          <w:instrText xml:space="preserve"> PAGEREF _Toc35966166 \h </w:instrText>
        </w:r>
        <w:r>
          <w:rPr>
            <w:noProof/>
            <w:webHidden/>
          </w:rPr>
        </w:r>
        <w:r>
          <w:rPr>
            <w:noProof/>
            <w:webHidden/>
          </w:rPr>
          <w:fldChar w:fldCharType="separate"/>
        </w:r>
        <w:r>
          <w:rPr>
            <w:noProof/>
            <w:webHidden/>
          </w:rPr>
          <w:t>54</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67" w:history="1">
        <w:r w:rsidRPr="003B446B">
          <w:rPr>
            <w:rStyle w:val="a9"/>
            <w:b/>
            <w:bCs/>
            <w:noProof/>
          </w:rPr>
          <w:t xml:space="preserve">§12  </w:t>
        </w:r>
        <w:r w:rsidRPr="003B446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_Toc35966167 \h </w:instrText>
        </w:r>
        <w:r>
          <w:rPr>
            <w:noProof/>
            <w:webHidden/>
          </w:rPr>
        </w:r>
        <w:r>
          <w:rPr>
            <w:noProof/>
            <w:webHidden/>
          </w:rPr>
          <w:fldChar w:fldCharType="separate"/>
        </w:r>
        <w:r>
          <w:rPr>
            <w:noProof/>
            <w:webHidden/>
          </w:rPr>
          <w:t>55</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68" w:history="1">
        <w:r w:rsidRPr="003B446B">
          <w:rPr>
            <w:rStyle w:val="a9"/>
            <w:noProof/>
          </w:rPr>
          <w:t xml:space="preserve">12.1 </w:t>
        </w:r>
        <w:r w:rsidRPr="003B446B">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_Toc35966168 \h </w:instrText>
        </w:r>
        <w:r>
          <w:rPr>
            <w:noProof/>
            <w:webHidden/>
          </w:rPr>
        </w:r>
        <w:r>
          <w:rPr>
            <w:noProof/>
            <w:webHidden/>
          </w:rPr>
          <w:fldChar w:fldCharType="separate"/>
        </w:r>
        <w:r>
          <w:rPr>
            <w:noProof/>
            <w:webHidden/>
          </w:rPr>
          <w:t>55</w:t>
        </w:r>
        <w:r>
          <w:rPr>
            <w:noProof/>
            <w:webHidden/>
          </w:rPr>
          <w:fldChar w:fldCharType="end"/>
        </w:r>
      </w:hyperlink>
    </w:p>
    <w:p w:rsidR="001C20F0" w:rsidRDefault="001C20F0">
      <w:pPr>
        <w:pStyle w:val="11"/>
        <w:rPr>
          <w:rFonts w:asciiTheme="minorHAnsi" w:eastAsiaTheme="minorEastAsia" w:hAnsiTheme="minorHAnsi" w:cstheme="minorBidi"/>
          <w:noProof/>
          <w:szCs w:val="22"/>
        </w:rPr>
      </w:pPr>
      <w:hyperlink w:anchor="_Toc35966169" w:history="1">
        <w:r w:rsidRPr="003B446B">
          <w:rPr>
            <w:rStyle w:val="a9"/>
            <w:b/>
            <w:bCs/>
            <w:noProof/>
          </w:rPr>
          <w:t>§13</w:t>
        </w:r>
        <w:r w:rsidRPr="003B446B">
          <w:rPr>
            <w:rStyle w:val="a9"/>
            <w:rFonts w:hint="eastAsia"/>
            <w:b/>
            <w:bCs/>
            <w:noProof/>
          </w:rPr>
          <w:t>备查文件目录</w:t>
        </w:r>
        <w:r>
          <w:rPr>
            <w:noProof/>
            <w:webHidden/>
          </w:rPr>
          <w:tab/>
        </w:r>
        <w:r>
          <w:rPr>
            <w:noProof/>
            <w:webHidden/>
          </w:rPr>
          <w:fldChar w:fldCharType="begin"/>
        </w:r>
        <w:r>
          <w:rPr>
            <w:noProof/>
            <w:webHidden/>
          </w:rPr>
          <w:instrText xml:space="preserve"> PAGEREF _Toc35966169 \h </w:instrText>
        </w:r>
        <w:r>
          <w:rPr>
            <w:noProof/>
            <w:webHidden/>
          </w:rPr>
        </w:r>
        <w:r>
          <w:rPr>
            <w:noProof/>
            <w:webHidden/>
          </w:rPr>
          <w:fldChar w:fldCharType="separate"/>
        </w:r>
        <w:r>
          <w:rPr>
            <w:noProof/>
            <w:webHidden/>
          </w:rPr>
          <w:t>56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70" w:history="1">
        <w:r w:rsidRPr="003B446B">
          <w:rPr>
            <w:rStyle w:val="a9"/>
            <w:noProof/>
          </w:rPr>
          <w:t xml:space="preserve">13.1 </w:t>
        </w:r>
        <w:r w:rsidRPr="003B446B">
          <w:rPr>
            <w:rStyle w:val="a9"/>
            <w:rFonts w:hint="eastAsia"/>
            <w:noProof/>
          </w:rPr>
          <w:t>备查文件目录</w:t>
        </w:r>
        <w:r>
          <w:rPr>
            <w:noProof/>
            <w:webHidden/>
          </w:rPr>
          <w:tab/>
        </w:r>
        <w:r>
          <w:rPr>
            <w:noProof/>
            <w:webHidden/>
          </w:rPr>
          <w:fldChar w:fldCharType="begin"/>
        </w:r>
        <w:r>
          <w:rPr>
            <w:noProof/>
            <w:webHidden/>
          </w:rPr>
          <w:instrText xml:space="preserve"> PAGEREF _Toc35966170 \h </w:instrText>
        </w:r>
        <w:r>
          <w:rPr>
            <w:noProof/>
            <w:webHidden/>
          </w:rPr>
        </w:r>
        <w:r>
          <w:rPr>
            <w:noProof/>
            <w:webHidden/>
          </w:rPr>
          <w:fldChar w:fldCharType="separate"/>
        </w:r>
        <w:r>
          <w:rPr>
            <w:noProof/>
            <w:webHidden/>
          </w:rPr>
          <w:t>56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71" w:history="1">
        <w:r w:rsidRPr="003B446B">
          <w:rPr>
            <w:rStyle w:val="a9"/>
            <w:noProof/>
          </w:rPr>
          <w:t>13.2</w:t>
        </w:r>
        <w:r w:rsidRPr="003B446B">
          <w:rPr>
            <w:rStyle w:val="a9"/>
            <w:rFonts w:hint="eastAsia"/>
            <w:noProof/>
          </w:rPr>
          <w:t>存放地点</w:t>
        </w:r>
        <w:r>
          <w:rPr>
            <w:noProof/>
            <w:webHidden/>
          </w:rPr>
          <w:tab/>
        </w:r>
        <w:r>
          <w:rPr>
            <w:noProof/>
            <w:webHidden/>
          </w:rPr>
          <w:fldChar w:fldCharType="begin"/>
        </w:r>
        <w:r>
          <w:rPr>
            <w:noProof/>
            <w:webHidden/>
          </w:rPr>
          <w:instrText xml:space="preserve"> PAGEREF _Toc35966171 \h </w:instrText>
        </w:r>
        <w:r>
          <w:rPr>
            <w:noProof/>
            <w:webHidden/>
          </w:rPr>
        </w:r>
        <w:r>
          <w:rPr>
            <w:noProof/>
            <w:webHidden/>
          </w:rPr>
          <w:fldChar w:fldCharType="separate"/>
        </w:r>
        <w:r>
          <w:rPr>
            <w:noProof/>
            <w:webHidden/>
          </w:rPr>
          <w:t>56</w:t>
        </w:r>
        <w:r>
          <w:rPr>
            <w:noProof/>
            <w:webHidden/>
          </w:rPr>
          <w:fldChar w:fldCharType="end"/>
        </w:r>
      </w:hyperlink>
    </w:p>
    <w:p w:rsidR="001C20F0" w:rsidRDefault="001C20F0">
      <w:pPr>
        <w:pStyle w:val="22"/>
        <w:ind w:left="420"/>
        <w:rPr>
          <w:rFonts w:asciiTheme="minorHAnsi" w:eastAsiaTheme="minorEastAsia" w:hAnsiTheme="minorHAnsi" w:cstheme="minorBidi"/>
          <w:noProof/>
          <w:kern w:val="2"/>
          <w:szCs w:val="22"/>
        </w:rPr>
      </w:pPr>
      <w:hyperlink w:anchor="_Toc35966172" w:history="1">
        <w:r w:rsidRPr="003B446B">
          <w:rPr>
            <w:rStyle w:val="a9"/>
            <w:noProof/>
          </w:rPr>
          <w:t>13.3</w:t>
        </w:r>
        <w:r w:rsidRPr="003B446B">
          <w:rPr>
            <w:rStyle w:val="a9"/>
            <w:rFonts w:hint="eastAsia"/>
            <w:noProof/>
          </w:rPr>
          <w:t>查阅方式</w:t>
        </w:r>
        <w:r>
          <w:rPr>
            <w:noProof/>
            <w:webHidden/>
          </w:rPr>
          <w:tab/>
        </w:r>
        <w:r>
          <w:rPr>
            <w:noProof/>
            <w:webHidden/>
          </w:rPr>
          <w:fldChar w:fldCharType="begin"/>
        </w:r>
        <w:r>
          <w:rPr>
            <w:noProof/>
            <w:webHidden/>
          </w:rPr>
          <w:instrText xml:space="preserve"> PAGEREF _Toc35966172 \h </w:instrText>
        </w:r>
        <w:r>
          <w:rPr>
            <w:noProof/>
            <w:webHidden/>
          </w:rPr>
        </w:r>
        <w:r>
          <w:rPr>
            <w:noProof/>
            <w:webHidden/>
          </w:rPr>
          <w:fldChar w:fldCharType="separate"/>
        </w:r>
        <w:r>
          <w:rPr>
            <w:noProof/>
            <w:webHidden/>
          </w:rPr>
          <w:t>56</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3596610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3596610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交银施罗德境尚收益债券型证券投资基金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交银境尚收益债券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519784</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519784</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3</w:t>
            </w:r>
            <w:r w:rsidRPr="00400137">
              <w:rPr>
                <w:sz w:val="24"/>
              </w:rPr>
              <w:t>月</w:t>
            </w:r>
            <w:r w:rsidRPr="00400137">
              <w:rPr>
                <w:sz w:val="24"/>
              </w:rPr>
              <w:t>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39,169,645.35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交银境尚收益债券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交银境尚收益债券</w:t>
            </w:r>
            <w:r w:rsidRPr="00400137">
              <w:rPr>
                <w:sz w:val="24"/>
              </w:rPr>
              <w:t>C</w:t>
            </w:r>
          </w:p>
        </w:tc>
      </w:tr>
      <w:tr w:rsidR="00404CF4" w:rsidRPr="00D564C7" w:rsidTr="00F8131A">
        <w:tc>
          <w:tcPr>
            <w:tcW w:w="3119" w:type="dxa"/>
            <w:vAlign w:val="center"/>
          </w:tcPr>
          <w:p w:rsidR="00404CF4" w:rsidRDefault="00404CF4" w:rsidP="00176EFF">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176EFF">
            <w:pPr>
              <w:adjustRightInd w:val="0"/>
              <w:spacing w:before="29" w:line="288" w:lineRule="auto"/>
              <w:ind w:left="17"/>
              <w:jc w:val="left"/>
              <w:rPr>
                <w:color w:val="000000"/>
                <w:sz w:val="24"/>
              </w:rPr>
            </w:pPr>
          </w:p>
        </w:tc>
        <w:tc>
          <w:tcPr>
            <w:tcW w:w="2880" w:type="dxa"/>
            <w:vAlign w:val="center"/>
          </w:tcPr>
          <w:p w:rsidR="00404CF4" w:rsidRPr="000E4C40" w:rsidRDefault="00404CF4" w:rsidP="00176EFF">
            <w:pPr>
              <w:spacing w:before="29" w:line="288" w:lineRule="auto"/>
              <w:jc w:val="left"/>
              <w:rPr>
                <w:sz w:val="24"/>
              </w:rPr>
            </w:pPr>
            <w:r w:rsidRPr="000E4C40">
              <w:rPr>
                <w:sz w:val="24"/>
              </w:rPr>
              <w:t>519784</w:t>
            </w:r>
          </w:p>
        </w:tc>
        <w:tc>
          <w:tcPr>
            <w:tcW w:w="2999" w:type="dxa"/>
            <w:vAlign w:val="center"/>
          </w:tcPr>
          <w:p w:rsidR="00404CF4" w:rsidRPr="000E4C40" w:rsidRDefault="00404CF4" w:rsidP="00176EFF">
            <w:pPr>
              <w:spacing w:before="29" w:line="288" w:lineRule="auto"/>
              <w:jc w:val="left"/>
              <w:rPr>
                <w:sz w:val="24"/>
              </w:rPr>
            </w:pPr>
            <w:r w:rsidRPr="000E4C40">
              <w:rPr>
                <w:sz w:val="24"/>
              </w:rPr>
              <w:t>519785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33,961,323.92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5,208,321.43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1C20F0" w:rsidRDefault="001A59F9" w:rsidP="001C20F0">
      <w:pPr>
        <w:pStyle w:val="20"/>
        <w:spacing w:before="29" w:after="0" w:line="288" w:lineRule="auto"/>
        <w:rPr>
          <w:rFonts w:ascii="Times New Roman" w:hAnsi="Times New Roman"/>
          <w:kern w:val="0"/>
          <w:szCs w:val="24"/>
        </w:rPr>
      </w:pPr>
      <w:bookmarkStart w:id="15" w:name="_Toc361324846"/>
      <w:bookmarkStart w:id="16" w:name="_Toc35966108"/>
      <w:r w:rsidRPr="001C20F0">
        <w:rPr>
          <w:rFonts w:ascii="Times New Roman" w:hAnsi="Times New Roman"/>
          <w:kern w:val="0"/>
          <w:szCs w:val="24"/>
        </w:rPr>
        <w:t xml:space="preserve">2.2 </w:t>
      </w:r>
      <w:r w:rsidRPr="001C20F0">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在严格控制风险的前提下</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0F397F" w:rsidRDefault="0015641A">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w:t>
            </w:r>
            <w:r w:rsidRPr="00400137">
              <w:rPr>
                <w:sz w:val="24"/>
              </w:rPr>
              <w:lastRenderedPageBreak/>
              <w:t>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0F397F" w:rsidRDefault="0015641A">
            <w:pPr>
              <w:spacing w:before="29" w:line="288" w:lineRule="auto"/>
              <w:rPr>
                <w:sz w:val="24"/>
              </w:rPr>
            </w:pPr>
            <w:r>
              <w:rPr>
                <w:sz w:val="24"/>
              </w:rPr>
              <w:t>封闭期内业绩比较基准：两年期银行定期存款税后收益率</w:t>
            </w:r>
            <w:r>
              <w:rPr>
                <w:sz w:val="24"/>
              </w:rPr>
              <w:t>+1.25%</w:t>
            </w:r>
          </w:p>
          <w:p w:rsidR="001A59F9" w:rsidRPr="00400137" w:rsidRDefault="001A59F9" w:rsidP="00400137">
            <w:pPr>
              <w:spacing w:before="29" w:line="288" w:lineRule="auto"/>
              <w:rPr>
                <w:sz w:val="24"/>
              </w:rPr>
            </w:pPr>
            <w:r w:rsidRPr="00400137">
              <w:rPr>
                <w:sz w:val="24"/>
              </w:rPr>
              <w:t>开放期内业绩比较基准：中债综合全价指数收益率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C330FE" w:rsidRPr="007F52FA" w:rsidRDefault="00C330FE" w:rsidP="00C330FE">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5</w:t>
      </w:r>
      <w:r w:rsidRPr="007F52FA">
        <w:rPr>
          <w:rFonts w:eastAsiaTheme="minorEastAsia"/>
          <w:color w:val="000000"/>
          <w:sz w:val="24"/>
        </w:rPr>
        <w:t>日起转为开放式运作。</w:t>
      </w:r>
      <w:r w:rsidRPr="007F52FA">
        <w:rPr>
          <w:rFonts w:eastAsiaTheme="minorEastAsia"/>
          <w:color w:val="000000"/>
          <w:sz w:val="24"/>
        </w:rPr>
        <w:t xml:space="preserve"> </w:t>
      </w:r>
    </w:p>
    <w:p w:rsidR="00EC5D69" w:rsidRPr="00C330FE"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17" w:name="_Toc225498247"/>
      <w:bookmarkStart w:id="18" w:name="_Toc361324847"/>
      <w:bookmarkStart w:id="19" w:name="_Toc35966109"/>
      <w:r w:rsidRPr="001C20F0">
        <w:rPr>
          <w:rFonts w:ascii="Times New Roman" w:hAnsi="Times New Roman"/>
          <w:kern w:val="0"/>
          <w:szCs w:val="24"/>
        </w:rPr>
        <w:t xml:space="preserve">2.3 </w:t>
      </w:r>
      <w:r w:rsidRPr="001C20F0">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李建红</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20" w:name="_Toc225498248"/>
      <w:bookmarkStart w:id="21" w:name="_Toc361324848"/>
      <w:bookmarkStart w:id="22" w:name="_Toc35966110"/>
      <w:r w:rsidRPr="001C20F0">
        <w:rPr>
          <w:rFonts w:ascii="Times New Roman" w:hAnsi="Times New Roman"/>
          <w:kern w:val="0"/>
          <w:szCs w:val="24"/>
        </w:rPr>
        <w:t xml:space="preserve">2.4 </w:t>
      </w:r>
      <w:r w:rsidRPr="001C20F0">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23" w:name="_Toc225498249"/>
      <w:bookmarkStart w:id="24" w:name="_Toc361324849"/>
      <w:bookmarkStart w:id="25" w:name="_Toc35966111"/>
      <w:r w:rsidRPr="001C20F0">
        <w:rPr>
          <w:rFonts w:ascii="Times New Roman" w:hAnsi="Times New Roman"/>
          <w:kern w:val="0"/>
          <w:szCs w:val="24"/>
        </w:rPr>
        <w:t xml:space="preserve">2.5 </w:t>
      </w:r>
      <w:r w:rsidRPr="001C20F0">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194312019"/>
      <w:bookmarkStart w:id="29" w:name="_Toc193947512"/>
      <w:bookmarkStart w:id="30" w:name="_Toc359661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30"/>
    </w:p>
    <w:p w:rsidR="00DB6EA0" w:rsidRPr="00DB6EA0" w:rsidRDefault="00DB6EA0" w:rsidP="00DB6EA0"/>
    <w:p w:rsidR="001A59F9" w:rsidRPr="001C20F0" w:rsidRDefault="001A59F9" w:rsidP="001C20F0">
      <w:pPr>
        <w:pStyle w:val="20"/>
        <w:spacing w:before="29" w:after="0" w:line="288" w:lineRule="auto"/>
        <w:rPr>
          <w:rFonts w:ascii="Times New Roman" w:hAnsi="Times New Roman"/>
          <w:kern w:val="0"/>
          <w:szCs w:val="24"/>
        </w:rPr>
      </w:pPr>
      <w:bookmarkStart w:id="31" w:name="_Toc286996129"/>
      <w:bookmarkStart w:id="32" w:name="_Toc361324851"/>
      <w:bookmarkStart w:id="33" w:name="_Toc35966113"/>
      <w:r w:rsidRPr="001C20F0">
        <w:rPr>
          <w:rFonts w:ascii="Times New Roman" w:hAnsi="Times New Roman"/>
          <w:kern w:val="0"/>
          <w:szCs w:val="24"/>
        </w:rPr>
        <w:t xml:space="preserve">3.1 </w:t>
      </w:r>
      <w:r w:rsidRPr="001C20F0">
        <w:rPr>
          <w:rFonts w:ascii="Times New Roman" w:hAnsi="Times New Roman" w:hint="eastAsia"/>
          <w:kern w:val="0"/>
          <w:szCs w:val="24"/>
        </w:rPr>
        <w:t>主要会计数据和财务指标</w:t>
      </w:r>
      <w:bookmarkEnd w:id="31"/>
      <w:bookmarkEnd w:id="32"/>
      <w:bookmarkEnd w:id="33"/>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r w:rsidRPr="005C7DCF">
              <w:rPr>
                <w:b/>
                <w:szCs w:val="21"/>
              </w:rPr>
              <w:t>3</w:t>
            </w:r>
            <w:r w:rsidRPr="005C7DCF">
              <w:rPr>
                <w:b/>
                <w:szCs w:val="21"/>
              </w:rPr>
              <w:t>月</w:t>
            </w:r>
            <w:r w:rsidRPr="005C7DCF">
              <w:rPr>
                <w:b/>
                <w:szCs w:val="21"/>
              </w:rPr>
              <w:t>3</w:t>
            </w:r>
            <w:r w:rsidRPr="005C7DCF">
              <w:rPr>
                <w:b/>
                <w:szCs w:val="21"/>
              </w:rPr>
              <w:t>日（基金合同生效日）至</w:t>
            </w:r>
            <w:r w:rsidRPr="005C7DCF">
              <w:rPr>
                <w:b/>
                <w:szCs w:val="21"/>
              </w:rPr>
              <w:t>2017</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26,193,345.54</w:t>
            </w:r>
          </w:p>
        </w:tc>
        <w:tc>
          <w:tcPr>
            <w:tcW w:w="686" w:type="pct"/>
            <w:vAlign w:val="center"/>
          </w:tcPr>
          <w:p w:rsidR="001A59F9" w:rsidRPr="005C7DCF" w:rsidRDefault="001A59F9" w:rsidP="00704789">
            <w:pPr>
              <w:spacing w:before="29" w:line="288" w:lineRule="auto"/>
              <w:jc w:val="right"/>
              <w:rPr>
                <w:szCs w:val="21"/>
              </w:rPr>
            </w:pPr>
            <w:r w:rsidRPr="005C7DCF">
              <w:rPr>
                <w:szCs w:val="21"/>
              </w:rPr>
              <w:t>627,175.28</w:t>
            </w:r>
          </w:p>
        </w:tc>
        <w:tc>
          <w:tcPr>
            <w:tcW w:w="687" w:type="pct"/>
            <w:vAlign w:val="center"/>
          </w:tcPr>
          <w:p w:rsidR="001A59F9" w:rsidRPr="005C7DCF" w:rsidRDefault="00AB54C1" w:rsidP="00704789">
            <w:pPr>
              <w:spacing w:before="29" w:line="288" w:lineRule="auto"/>
              <w:jc w:val="right"/>
              <w:rPr>
                <w:szCs w:val="21"/>
              </w:rPr>
            </w:pPr>
            <w:r w:rsidRPr="005C7DCF">
              <w:rPr>
                <w:szCs w:val="21"/>
              </w:rPr>
              <w:t>36,131,478.17</w:t>
            </w:r>
          </w:p>
        </w:tc>
        <w:tc>
          <w:tcPr>
            <w:tcW w:w="687" w:type="pct"/>
            <w:vAlign w:val="center"/>
          </w:tcPr>
          <w:p w:rsidR="001A59F9" w:rsidRPr="005C7DCF" w:rsidRDefault="00AB54C1" w:rsidP="00704789">
            <w:pPr>
              <w:spacing w:before="29" w:line="288" w:lineRule="auto"/>
              <w:jc w:val="right"/>
              <w:rPr>
                <w:szCs w:val="21"/>
              </w:rPr>
            </w:pPr>
            <w:r w:rsidRPr="005C7DCF">
              <w:rPr>
                <w:szCs w:val="21"/>
              </w:rPr>
              <w:t>691,463.72</w:t>
            </w:r>
          </w:p>
        </w:tc>
        <w:tc>
          <w:tcPr>
            <w:tcW w:w="688" w:type="pct"/>
            <w:vAlign w:val="center"/>
          </w:tcPr>
          <w:p w:rsidR="001A59F9" w:rsidRPr="005C7DCF" w:rsidRDefault="00AB54C1" w:rsidP="00704789">
            <w:pPr>
              <w:spacing w:before="29" w:line="288" w:lineRule="auto"/>
              <w:jc w:val="right"/>
              <w:rPr>
                <w:szCs w:val="21"/>
              </w:rPr>
            </w:pPr>
            <w:r w:rsidRPr="005C7DCF">
              <w:rPr>
                <w:szCs w:val="21"/>
              </w:rPr>
              <w:t>23,194,636.26</w:t>
            </w:r>
          </w:p>
        </w:tc>
        <w:tc>
          <w:tcPr>
            <w:tcW w:w="744" w:type="pct"/>
            <w:vAlign w:val="center"/>
          </w:tcPr>
          <w:p w:rsidR="001A59F9" w:rsidRPr="005C7DCF" w:rsidRDefault="00AB54C1" w:rsidP="00704789">
            <w:pPr>
              <w:spacing w:before="29" w:line="288" w:lineRule="auto"/>
              <w:jc w:val="right"/>
              <w:rPr>
                <w:szCs w:val="21"/>
              </w:rPr>
            </w:pPr>
            <w:r w:rsidRPr="005C7DCF">
              <w:rPr>
                <w:szCs w:val="21"/>
              </w:rPr>
              <w:t>424,867.73</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13,208,002.01</w:t>
            </w:r>
          </w:p>
        </w:tc>
        <w:tc>
          <w:tcPr>
            <w:tcW w:w="686" w:type="pct"/>
            <w:vAlign w:val="center"/>
          </w:tcPr>
          <w:p w:rsidR="001A59F9" w:rsidRPr="005C7DCF" w:rsidRDefault="001A59F9" w:rsidP="00704789">
            <w:pPr>
              <w:spacing w:before="29" w:line="288" w:lineRule="auto"/>
              <w:jc w:val="right"/>
              <w:rPr>
                <w:szCs w:val="21"/>
              </w:rPr>
            </w:pPr>
            <w:r w:rsidRPr="005C7DCF">
              <w:rPr>
                <w:szCs w:val="21"/>
              </w:rPr>
              <w:t>323,641.34</w:t>
            </w:r>
          </w:p>
        </w:tc>
        <w:tc>
          <w:tcPr>
            <w:tcW w:w="687" w:type="pct"/>
            <w:vAlign w:val="center"/>
          </w:tcPr>
          <w:p w:rsidR="001A59F9" w:rsidRPr="005C7DCF" w:rsidRDefault="00AB54C1" w:rsidP="00704789">
            <w:pPr>
              <w:spacing w:before="29" w:line="288" w:lineRule="auto"/>
              <w:jc w:val="right"/>
              <w:rPr>
                <w:szCs w:val="21"/>
              </w:rPr>
            </w:pPr>
            <w:r w:rsidRPr="005C7DCF">
              <w:rPr>
                <w:szCs w:val="21"/>
              </w:rPr>
              <w:t>66,077,655.41</w:t>
            </w:r>
          </w:p>
        </w:tc>
        <w:tc>
          <w:tcPr>
            <w:tcW w:w="687" w:type="pct"/>
            <w:vAlign w:val="center"/>
          </w:tcPr>
          <w:p w:rsidR="001A59F9" w:rsidRPr="005C7DCF" w:rsidRDefault="00AB54C1" w:rsidP="00704789">
            <w:pPr>
              <w:spacing w:before="29" w:line="288" w:lineRule="auto"/>
              <w:jc w:val="right"/>
              <w:rPr>
                <w:szCs w:val="21"/>
              </w:rPr>
            </w:pPr>
            <w:r w:rsidRPr="005C7DCF">
              <w:rPr>
                <w:szCs w:val="21"/>
              </w:rPr>
              <w:t>1,366,303.71</w:t>
            </w:r>
          </w:p>
        </w:tc>
        <w:tc>
          <w:tcPr>
            <w:tcW w:w="688" w:type="pct"/>
            <w:vAlign w:val="center"/>
          </w:tcPr>
          <w:p w:rsidR="001A59F9" w:rsidRPr="005C7DCF" w:rsidRDefault="00AB54C1" w:rsidP="00704789">
            <w:pPr>
              <w:spacing w:before="29" w:line="288" w:lineRule="auto"/>
              <w:jc w:val="right"/>
              <w:rPr>
                <w:szCs w:val="21"/>
              </w:rPr>
            </w:pPr>
            <w:r w:rsidRPr="005C7DCF">
              <w:rPr>
                <w:szCs w:val="21"/>
              </w:rPr>
              <w:t>6,483,113.06</w:t>
            </w:r>
          </w:p>
        </w:tc>
        <w:tc>
          <w:tcPr>
            <w:tcW w:w="744" w:type="pct"/>
            <w:vAlign w:val="center"/>
          </w:tcPr>
          <w:p w:rsidR="001A59F9" w:rsidRPr="005C7DCF" w:rsidRDefault="00AB54C1" w:rsidP="00704789">
            <w:pPr>
              <w:spacing w:before="29" w:line="288" w:lineRule="auto"/>
              <w:jc w:val="right"/>
              <w:rPr>
                <w:szCs w:val="21"/>
              </w:rPr>
            </w:pPr>
            <w:r w:rsidRPr="005C7DCF">
              <w:rPr>
                <w:szCs w:val="21"/>
              </w:rPr>
              <w:t>48,403.87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0.0683</w:t>
            </w:r>
          </w:p>
        </w:tc>
        <w:tc>
          <w:tcPr>
            <w:tcW w:w="686" w:type="pct"/>
            <w:vAlign w:val="center"/>
          </w:tcPr>
          <w:p w:rsidR="001A59F9" w:rsidRPr="005C7DCF" w:rsidRDefault="001A59F9" w:rsidP="00704789">
            <w:pPr>
              <w:spacing w:before="29" w:line="288" w:lineRule="auto"/>
              <w:jc w:val="right"/>
              <w:rPr>
                <w:szCs w:val="21"/>
              </w:rPr>
            </w:pPr>
            <w:r w:rsidRPr="005C7DCF">
              <w:rPr>
                <w:szCs w:val="21"/>
              </w:rPr>
              <w:t>0.0513</w:t>
            </w:r>
          </w:p>
        </w:tc>
        <w:tc>
          <w:tcPr>
            <w:tcW w:w="687" w:type="pct"/>
            <w:vAlign w:val="center"/>
          </w:tcPr>
          <w:p w:rsidR="001A59F9" w:rsidRPr="005C7DCF" w:rsidRDefault="00AB54C1" w:rsidP="00704789">
            <w:pPr>
              <w:spacing w:before="29" w:line="288" w:lineRule="auto"/>
              <w:jc w:val="right"/>
              <w:rPr>
                <w:szCs w:val="21"/>
              </w:rPr>
            </w:pPr>
            <w:r w:rsidRPr="005C7DCF">
              <w:rPr>
                <w:szCs w:val="21"/>
              </w:rPr>
              <w:t>0.0762</w:t>
            </w:r>
          </w:p>
        </w:tc>
        <w:tc>
          <w:tcPr>
            <w:tcW w:w="687" w:type="pct"/>
            <w:vAlign w:val="center"/>
          </w:tcPr>
          <w:p w:rsidR="001A59F9" w:rsidRPr="005C7DCF" w:rsidRDefault="00AB54C1" w:rsidP="00704789">
            <w:pPr>
              <w:spacing w:before="29" w:line="288" w:lineRule="auto"/>
              <w:jc w:val="right"/>
              <w:rPr>
                <w:szCs w:val="21"/>
              </w:rPr>
            </w:pPr>
            <w:r w:rsidRPr="005C7DCF">
              <w:rPr>
                <w:szCs w:val="21"/>
              </w:rPr>
              <w:t>0.0697</w:t>
            </w:r>
          </w:p>
        </w:tc>
        <w:tc>
          <w:tcPr>
            <w:tcW w:w="688" w:type="pct"/>
            <w:vAlign w:val="center"/>
          </w:tcPr>
          <w:p w:rsidR="001A59F9" w:rsidRPr="005C7DCF" w:rsidRDefault="00AB54C1" w:rsidP="00704789">
            <w:pPr>
              <w:spacing w:before="29" w:line="288" w:lineRule="auto"/>
              <w:jc w:val="right"/>
              <w:rPr>
                <w:szCs w:val="21"/>
              </w:rPr>
            </w:pPr>
            <w:r w:rsidRPr="005C7DCF">
              <w:rPr>
                <w:szCs w:val="21"/>
              </w:rPr>
              <w:t>0.0075</w:t>
            </w:r>
          </w:p>
        </w:tc>
        <w:tc>
          <w:tcPr>
            <w:tcW w:w="744" w:type="pct"/>
            <w:vAlign w:val="center"/>
          </w:tcPr>
          <w:p w:rsidR="001A59F9" w:rsidRPr="005C7DCF" w:rsidRDefault="00AB54C1" w:rsidP="00704789">
            <w:pPr>
              <w:spacing w:before="29" w:line="288" w:lineRule="auto"/>
              <w:jc w:val="right"/>
              <w:rPr>
                <w:szCs w:val="21"/>
              </w:rPr>
            </w:pPr>
            <w:r w:rsidRPr="005C7DCF">
              <w:rPr>
                <w:szCs w:val="21"/>
              </w:rPr>
              <w:t>0.0025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6.56%</w:t>
            </w:r>
          </w:p>
        </w:tc>
        <w:tc>
          <w:tcPr>
            <w:tcW w:w="686" w:type="pct"/>
            <w:vAlign w:val="center"/>
          </w:tcPr>
          <w:p w:rsidR="001A59F9" w:rsidRPr="005C7DCF" w:rsidRDefault="001A59F9" w:rsidP="00704789">
            <w:pPr>
              <w:spacing w:before="29" w:line="288" w:lineRule="auto"/>
              <w:jc w:val="right"/>
              <w:rPr>
                <w:szCs w:val="21"/>
              </w:rPr>
            </w:pPr>
            <w:r w:rsidRPr="005C7DCF">
              <w:rPr>
                <w:szCs w:val="21"/>
              </w:rPr>
              <w:t>4.95%</w:t>
            </w:r>
          </w:p>
        </w:tc>
        <w:tc>
          <w:tcPr>
            <w:tcW w:w="687" w:type="pct"/>
            <w:vAlign w:val="center"/>
          </w:tcPr>
          <w:p w:rsidR="001A59F9" w:rsidRPr="005C7DCF" w:rsidRDefault="00AB54C1" w:rsidP="00704789">
            <w:pPr>
              <w:spacing w:before="29" w:line="288" w:lineRule="auto"/>
              <w:jc w:val="right"/>
              <w:rPr>
                <w:szCs w:val="21"/>
              </w:rPr>
            </w:pPr>
            <w:r w:rsidRPr="005C7DCF">
              <w:rPr>
                <w:szCs w:val="21"/>
              </w:rPr>
              <w:t>7.30%</w:t>
            </w:r>
          </w:p>
        </w:tc>
        <w:tc>
          <w:tcPr>
            <w:tcW w:w="687" w:type="pct"/>
            <w:vAlign w:val="center"/>
          </w:tcPr>
          <w:p w:rsidR="001A59F9" w:rsidRPr="005C7DCF" w:rsidRDefault="00AB54C1" w:rsidP="00704789">
            <w:pPr>
              <w:spacing w:before="29" w:line="288" w:lineRule="auto"/>
              <w:jc w:val="right"/>
              <w:rPr>
                <w:szCs w:val="21"/>
              </w:rPr>
            </w:pPr>
            <w:r w:rsidRPr="005C7DCF">
              <w:rPr>
                <w:szCs w:val="21"/>
              </w:rPr>
              <w:t>6.70%</w:t>
            </w:r>
          </w:p>
        </w:tc>
        <w:tc>
          <w:tcPr>
            <w:tcW w:w="688" w:type="pct"/>
            <w:vAlign w:val="center"/>
          </w:tcPr>
          <w:p w:rsidR="001A59F9" w:rsidRPr="005C7DCF" w:rsidRDefault="00AB54C1" w:rsidP="00704789">
            <w:pPr>
              <w:spacing w:before="29" w:line="288" w:lineRule="auto"/>
              <w:jc w:val="right"/>
              <w:rPr>
                <w:szCs w:val="21"/>
              </w:rPr>
            </w:pPr>
            <w:r w:rsidRPr="005C7DCF">
              <w:rPr>
                <w:szCs w:val="21"/>
              </w:rPr>
              <w:t>0.74%</w:t>
            </w:r>
          </w:p>
        </w:tc>
        <w:tc>
          <w:tcPr>
            <w:tcW w:w="744" w:type="pct"/>
            <w:vAlign w:val="center"/>
          </w:tcPr>
          <w:p w:rsidR="001A59F9" w:rsidRPr="005C7DCF" w:rsidRDefault="00AB54C1" w:rsidP="00704789">
            <w:pPr>
              <w:spacing w:before="29" w:line="288" w:lineRule="auto"/>
              <w:jc w:val="right"/>
              <w:rPr>
                <w:szCs w:val="21"/>
              </w:rPr>
            </w:pPr>
            <w:r w:rsidRPr="005C7DCF">
              <w:rPr>
                <w:szCs w:val="21"/>
              </w:rPr>
              <w:t>0.25%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3.95%</w:t>
            </w:r>
          </w:p>
        </w:tc>
        <w:tc>
          <w:tcPr>
            <w:tcW w:w="686" w:type="pct"/>
            <w:vAlign w:val="center"/>
          </w:tcPr>
          <w:p w:rsidR="001A59F9" w:rsidRPr="005C7DCF" w:rsidRDefault="001A59F9" w:rsidP="00704789">
            <w:pPr>
              <w:spacing w:before="29" w:line="288" w:lineRule="auto"/>
              <w:jc w:val="right"/>
              <w:rPr>
                <w:szCs w:val="21"/>
              </w:rPr>
            </w:pPr>
            <w:r w:rsidRPr="005C7DCF">
              <w:rPr>
                <w:szCs w:val="21"/>
              </w:rPr>
              <w:t>3.31%</w:t>
            </w:r>
          </w:p>
        </w:tc>
        <w:tc>
          <w:tcPr>
            <w:tcW w:w="687" w:type="pct"/>
            <w:vAlign w:val="center"/>
          </w:tcPr>
          <w:p w:rsidR="001A59F9" w:rsidRPr="005C7DCF" w:rsidRDefault="00AB54C1" w:rsidP="00704789">
            <w:pPr>
              <w:spacing w:before="29" w:line="288" w:lineRule="auto"/>
              <w:jc w:val="right"/>
              <w:rPr>
                <w:szCs w:val="21"/>
              </w:rPr>
            </w:pPr>
            <w:r w:rsidRPr="005C7DCF">
              <w:rPr>
                <w:szCs w:val="21"/>
              </w:rPr>
              <w:t>7.62%</w:t>
            </w:r>
          </w:p>
        </w:tc>
        <w:tc>
          <w:tcPr>
            <w:tcW w:w="687" w:type="pct"/>
            <w:vAlign w:val="center"/>
          </w:tcPr>
          <w:p w:rsidR="001A59F9" w:rsidRPr="005C7DCF" w:rsidRDefault="00AB54C1" w:rsidP="00704789">
            <w:pPr>
              <w:spacing w:before="29" w:line="288" w:lineRule="auto"/>
              <w:jc w:val="right"/>
              <w:rPr>
                <w:szCs w:val="21"/>
              </w:rPr>
            </w:pPr>
            <w:r w:rsidRPr="005C7DCF">
              <w:rPr>
                <w:szCs w:val="21"/>
              </w:rPr>
              <w:t>6.97%</w:t>
            </w:r>
          </w:p>
        </w:tc>
        <w:tc>
          <w:tcPr>
            <w:tcW w:w="688" w:type="pct"/>
            <w:vAlign w:val="center"/>
          </w:tcPr>
          <w:p w:rsidR="001A59F9" w:rsidRPr="005C7DCF" w:rsidRDefault="00AB54C1" w:rsidP="00704789">
            <w:pPr>
              <w:spacing w:before="29" w:line="288" w:lineRule="auto"/>
              <w:jc w:val="right"/>
              <w:rPr>
                <w:szCs w:val="21"/>
              </w:rPr>
            </w:pPr>
            <w:r w:rsidRPr="005C7DCF">
              <w:rPr>
                <w:szCs w:val="21"/>
              </w:rPr>
              <w:t>0.75%</w:t>
            </w:r>
          </w:p>
        </w:tc>
        <w:tc>
          <w:tcPr>
            <w:tcW w:w="744" w:type="pct"/>
            <w:vAlign w:val="center"/>
          </w:tcPr>
          <w:p w:rsidR="001A59F9" w:rsidRPr="005C7DCF" w:rsidRDefault="00AB54C1" w:rsidP="00704789">
            <w:pPr>
              <w:spacing w:before="29" w:line="288" w:lineRule="auto"/>
              <w:jc w:val="right"/>
              <w:rPr>
                <w:szCs w:val="21"/>
              </w:rPr>
            </w:pPr>
            <w:r w:rsidRPr="005C7DCF">
              <w:rPr>
                <w:szCs w:val="21"/>
              </w:rPr>
              <w:t>0.25%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交银境尚收益债券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交银境尚收益债券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1,982,580.41</w:t>
            </w:r>
          </w:p>
        </w:tc>
        <w:tc>
          <w:tcPr>
            <w:tcW w:w="687" w:type="pct"/>
            <w:vAlign w:val="center"/>
          </w:tcPr>
          <w:p w:rsidR="001A59F9" w:rsidRPr="005C7DCF" w:rsidRDefault="001A59F9" w:rsidP="0078762A">
            <w:pPr>
              <w:spacing w:before="29" w:line="288" w:lineRule="auto"/>
              <w:jc w:val="right"/>
              <w:rPr>
                <w:szCs w:val="21"/>
              </w:rPr>
            </w:pPr>
            <w:r w:rsidRPr="005C7DCF">
              <w:rPr>
                <w:szCs w:val="21"/>
              </w:rPr>
              <w:t>262,071.13</w:t>
            </w:r>
          </w:p>
        </w:tc>
        <w:tc>
          <w:tcPr>
            <w:tcW w:w="688" w:type="pct"/>
            <w:vAlign w:val="center"/>
          </w:tcPr>
          <w:p w:rsidR="001A59F9" w:rsidRPr="005C7DCF" w:rsidRDefault="00AB54C1" w:rsidP="0078762A">
            <w:pPr>
              <w:spacing w:before="29" w:line="288" w:lineRule="auto"/>
              <w:jc w:val="right"/>
              <w:rPr>
                <w:szCs w:val="21"/>
              </w:rPr>
            </w:pPr>
            <w:r w:rsidRPr="005C7DCF">
              <w:rPr>
                <w:szCs w:val="21"/>
              </w:rPr>
              <w:t>52,909,044.92</w:t>
            </w:r>
          </w:p>
        </w:tc>
        <w:tc>
          <w:tcPr>
            <w:tcW w:w="688" w:type="pct"/>
            <w:vAlign w:val="center"/>
          </w:tcPr>
          <w:p w:rsidR="001A59F9" w:rsidRPr="005C7DCF" w:rsidRDefault="00AB54C1" w:rsidP="0078762A">
            <w:pPr>
              <w:spacing w:before="29" w:line="288" w:lineRule="auto"/>
              <w:jc w:val="right"/>
              <w:rPr>
                <w:szCs w:val="21"/>
              </w:rPr>
            </w:pPr>
            <w:r w:rsidRPr="005C7DCF">
              <w:rPr>
                <w:szCs w:val="21"/>
              </w:rPr>
              <w:t>1,069,311.95</w:t>
            </w:r>
          </w:p>
        </w:tc>
        <w:tc>
          <w:tcPr>
            <w:tcW w:w="684" w:type="pct"/>
            <w:vAlign w:val="center"/>
          </w:tcPr>
          <w:p w:rsidR="001A59F9" w:rsidRPr="005C7DCF" w:rsidRDefault="00AB54C1" w:rsidP="0078762A">
            <w:pPr>
              <w:spacing w:before="29" w:line="288" w:lineRule="auto"/>
              <w:jc w:val="right"/>
              <w:rPr>
                <w:szCs w:val="21"/>
              </w:rPr>
            </w:pPr>
            <w:r w:rsidRPr="005C7DCF">
              <w:rPr>
                <w:szCs w:val="21"/>
              </w:rPr>
              <w:t>6,483,113.06</w:t>
            </w:r>
          </w:p>
        </w:tc>
        <w:tc>
          <w:tcPr>
            <w:tcW w:w="744" w:type="pct"/>
            <w:vAlign w:val="center"/>
          </w:tcPr>
          <w:p w:rsidR="001A59F9" w:rsidRPr="005C7DCF" w:rsidRDefault="00AB54C1" w:rsidP="0078762A">
            <w:pPr>
              <w:spacing w:before="29" w:line="288" w:lineRule="auto"/>
              <w:jc w:val="right"/>
              <w:rPr>
                <w:szCs w:val="21"/>
              </w:rPr>
            </w:pPr>
            <w:r w:rsidRPr="005C7DCF">
              <w:rPr>
                <w:szCs w:val="21"/>
              </w:rPr>
              <w:t>48,403.87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w:t>
            </w:r>
            <w:r w:rsidRPr="005C7DCF">
              <w:rPr>
                <w:rFonts w:hint="eastAsia"/>
                <w:szCs w:val="21"/>
              </w:rPr>
              <w:lastRenderedPageBreak/>
              <w:t>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lastRenderedPageBreak/>
              <w:t>0.0584</w:t>
            </w:r>
          </w:p>
        </w:tc>
        <w:tc>
          <w:tcPr>
            <w:tcW w:w="687" w:type="pct"/>
            <w:vAlign w:val="center"/>
          </w:tcPr>
          <w:p w:rsidR="001A59F9" w:rsidRPr="005C7DCF" w:rsidRDefault="001A59F9" w:rsidP="0078762A">
            <w:pPr>
              <w:spacing w:before="29" w:line="288" w:lineRule="auto"/>
              <w:jc w:val="right"/>
              <w:rPr>
                <w:szCs w:val="21"/>
              </w:rPr>
            </w:pPr>
            <w:r w:rsidRPr="005C7DCF">
              <w:rPr>
                <w:szCs w:val="21"/>
              </w:rPr>
              <w:t>0.0503</w:t>
            </w:r>
          </w:p>
        </w:tc>
        <w:tc>
          <w:tcPr>
            <w:tcW w:w="688" w:type="pct"/>
            <w:vAlign w:val="center"/>
          </w:tcPr>
          <w:p w:rsidR="001A59F9" w:rsidRPr="005C7DCF" w:rsidRDefault="00AB54C1" w:rsidP="0078762A">
            <w:pPr>
              <w:spacing w:before="29" w:line="288" w:lineRule="auto"/>
              <w:jc w:val="right"/>
              <w:rPr>
                <w:szCs w:val="21"/>
              </w:rPr>
            </w:pPr>
            <w:r w:rsidRPr="005C7DCF">
              <w:rPr>
                <w:szCs w:val="21"/>
              </w:rPr>
              <w:t>0.0610</w:t>
            </w:r>
          </w:p>
        </w:tc>
        <w:tc>
          <w:tcPr>
            <w:tcW w:w="688" w:type="pct"/>
            <w:vAlign w:val="center"/>
          </w:tcPr>
          <w:p w:rsidR="001A59F9" w:rsidRPr="005C7DCF" w:rsidRDefault="00AB54C1" w:rsidP="0078762A">
            <w:pPr>
              <w:spacing w:before="29" w:line="288" w:lineRule="auto"/>
              <w:jc w:val="right"/>
              <w:rPr>
                <w:szCs w:val="21"/>
              </w:rPr>
            </w:pPr>
            <w:r w:rsidRPr="005C7DCF">
              <w:rPr>
                <w:szCs w:val="21"/>
              </w:rPr>
              <w:t>0.0546</w:t>
            </w:r>
          </w:p>
        </w:tc>
        <w:tc>
          <w:tcPr>
            <w:tcW w:w="684" w:type="pct"/>
            <w:vAlign w:val="center"/>
          </w:tcPr>
          <w:p w:rsidR="001A59F9" w:rsidRPr="005C7DCF" w:rsidRDefault="00AB54C1" w:rsidP="0078762A">
            <w:pPr>
              <w:spacing w:before="29" w:line="288" w:lineRule="auto"/>
              <w:jc w:val="right"/>
              <w:rPr>
                <w:szCs w:val="21"/>
              </w:rPr>
            </w:pPr>
            <w:r w:rsidRPr="005C7DCF">
              <w:rPr>
                <w:szCs w:val="21"/>
              </w:rPr>
              <w:t>0.0075</w:t>
            </w:r>
          </w:p>
        </w:tc>
        <w:tc>
          <w:tcPr>
            <w:tcW w:w="744" w:type="pct"/>
            <w:vAlign w:val="center"/>
          </w:tcPr>
          <w:p w:rsidR="001A59F9" w:rsidRPr="005C7DCF" w:rsidRDefault="00AB54C1" w:rsidP="0078762A">
            <w:pPr>
              <w:spacing w:before="29" w:line="288" w:lineRule="auto"/>
              <w:jc w:val="right"/>
              <w:rPr>
                <w:szCs w:val="21"/>
              </w:rPr>
            </w:pPr>
            <w:r w:rsidRPr="005C7DCF">
              <w:rPr>
                <w:szCs w:val="21"/>
              </w:rPr>
              <w:t>0.0025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36,064,355.32</w:t>
            </w:r>
          </w:p>
        </w:tc>
        <w:tc>
          <w:tcPr>
            <w:tcW w:w="687" w:type="pct"/>
            <w:vAlign w:val="center"/>
          </w:tcPr>
          <w:p w:rsidR="001A59F9" w:rsidRPr="005C7DCF" w:rsidRDefault="001A59F9" w:rsidP="0078762A">
            <w:pPr>
              <w:spacing w:before="29" w:line="288" w:lineRule="auto"/>
              <w:jc w:val="right"/>
              <w:rPr>
                <w:szCs w:val="21"/>
              </w:rPr>
            </w:pPr>
            <w:r w:rsidRPr="005C7DCF">
              <w:rPr>
                <w:szCs w:val="21"/>
              </w:rPr>
              <w:t>5,488,579.24</w:t>
            </w:r>
          </w:p>
        </w:tc>
        <w:tc>
          <w:tcPr>
            <w:tcW w:w="688" w:type="pct"/>
            <w:vAlign w:val="center"/>
          </w:tcPr>
          <w:p w:rsidR="001A59F9" w:rsidRPr="005C7DCF" w:rsidRDefault="00AB54C1" w:rsidP="0078762A">
            <w:pPr>
              <w:spacing w:before="29" w:line="288" w:lineRule="auto"/>
              <w:jc w:val="right"/>
              <w:rPr>
                <w:szCs w:val="21"/>
              </w:rPr>
            </w:pPr>
            <w:r w:rsidRPr="005C7DCF">
              <w:rPr>
                <w:szCs w:val="21"/>
              </w:rPr>
              <w:t>933,314,967.33</w:t>
            </w:r>
          </w:p>
        </w:tc>
        <w:tc>
          <w:tcPr>
            <w:tcW w:w="688" w:type="pct"/>
            <w:vAlign w:val="center"/>
          </w:tcPr>
          <w:p w:rsidR="001A59F9" w:rsidRPr="005C7DCF" w:rsidRDefault="00AB54C1" w:rsidP="0078762A">
            <w:pPr>
              <w:spacing w:before="29" w:line="288" w:lineRule="auto"/>
              <w:jc w:val="right"/>
              <w:rPr>
                <w:szCs w:val="21"/>
              </w:rPr>
            </w:pPr>
            <w:r w:rsidRPr="005C7DCF">
              <w:rPr>
                <w:szCs w:val="21"/>
              </w:rPr>
              <w:t>20,959,163.46</w:t>
            </w:r>
          </w:p>
        </w:tc>
        <w:tc>
          <w:tcPr>
            <w:tcW w:w="684" w:type="pct"/>
            <w:vAlign w:val="center"/>
          </w:tcPr>
          <w:p w:rsidR="001A59F9" w:rsidRPr="005C7DCF" w:rsidRDefault="00AB54C1" w:rsidP="0078762A">
            <w:pPr>
              <w:spacing w:before="29" w:line="288" w:lineRule="auto"/>
              <w:jc w:val="right"/>
              <w:rPr>
                <w:szCs w:val="21"/>
              </w:rPr>
            </w:pPr>
            <w:r w:rsidRPr="005C7DCF">
              <w:rPr>
                <w:szCs w:val="21"/>
              </w:rPr>
              <w:t>873,654,381.43</w:t>
            </w:r>
          </w:p>
        </w:tc>
        <w:tc>
          <w:tcPr>
            <w:tcW w:w="744" w:type="pct"/>
            <w:vAlign w:val="center"/>
          </w:tcPr>
          <w:p w:rsidR="001A59F9" w:rsidRPr="005C7DCF" w:rsidRDefault="00AB54C1" w:rsidP="0078762A">
            <w:pPr>
              <w:spacing w:before="29" w:line="288" w:lineRule="auto"/>
              <w:jc w:val="right"/>
              <w:rPr>
                <w:szCs w:val="21"/>
              </w:rPr>
            </w:pPr>
            <w:r w:rsidRPr="005C7DCF">
              <w:rPr>
                <w:szCs w:val="21"/>
              </w:rPr>
              <w:t>19,639,879.25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1.0619</w:t>
            </w:r>
          </w:p>
        </w:tc>
        <w:tc>
          <w:tcPr>
            <w:tcW w:w="687" w:type="pct"/>
            <w:vAlign w:val="center"/>
          </w:tcPr>
          <w:p w:rsidR="001A59F9" w:rsidRPr="005C7DCF" w:rsidRDefault="001A59F9" w:rsidP="0078762A">
            <w:pPr>
              <w:spacing w:before="29" w:line="288" w:lineRule="auto"/>
              <w:jc w:val="right"/>
              <w:rPr>
                <w:szCs w:val="21"/>
              </w:rPr>
            </w:pPr>
            <w:r w:rsidRPr="005C7DCF">
              <w:rPr>
                <w:szCs w:val="21"/>
              </w:rPr>
              <w:t>1.0538</w:t>
            </w:r>
          </w:p>
        </w:tc>
        <w:tc>
          <w:tcPr>
            <w:tcW w:w="688" w:type="pct"/>
            <w:vAlign w:val="center"/>
          </w:tcPr>
          <w:p w:rsidR="001A59F9" w:rsidRPr="005C7DCF" w:rsidRDefault="00AB54C1" w:rsidP="0078762A">
            <w:pPr>
              <w:spacing w:before="29" w:line="288" w:lineRule="auto"/>
              <w:jc w:val="right"/>
              <w:rPr>
                <w:szCs w:val="21"/>
              </w:rPr>
            </w:pPr>
            <w:r w:rsidRPr="005C7DCF">
              <w:rPr>
                <w:szCs w:val="21"/>
              </w:rPr>
              <w:t>1.0763</w:t>
            </w:r>
          </w:p>
        </w:tc>
        <w:tc>
          <w:tcPr>
            <w:tcW w:w="688" w:type="pct"/>
            <w:vAlign w:val="center"/>
          </w:tcPr>
          <w:p w:rsidR="001A59F9" w:rsidRPr="005C7DCF" w:rsidRDefault="00AB54C1" w:rsidP="0078762A">
            <w:pPr>
              <w:spacing w:before="29" w:line="288" w:lineRule="auto"/>
              <w:jc w:val="right"/>
              <w:rPr>
                <w:szCs w:val="21"/>
              </w:rPr>
            </w:pPr>
            <w:r w:rsidRPr="005C7DCF">
              <w:rPr>
                <w:szCs w:val="21"/>
              </w:rPr>
              <w:t>1.0698</w:t>
            </w:r>
          </w:p>
        </w:tc>
        <w:tc>
          <w:tcPr>
            <w:tcW w:w="684" w:type="pct"/>
            <w:vAlign w:val="center"/>
          </w:tcPr>
          <w:p w:rsidR="001A59F9" w:rsidRPr="005C7DCF" w:rsidRDefault="00AB54C1" w:rsidP="0078762A">
            <w:pPr>
              <w:spacing w:before="29" w:line="288" w:lineRule="auto"/>
              <w:jc w:val="right"/>
              <w:rPr>
                <w:szCs w:val="21"/>
              </w:rPr>
            </w:pPr>
            <w:r w:rsidRPr="005C7DCF">
              <w:rPr>
                <w:szCs w:val="21"/>
              </w:rPr>
              <w:t>1.0075</w:t>
            </w:r>
          </w:p>
        </w:tc>
        <w:tc>
          <w:tcPr>
            <w:tcW w:w="744" w:type="pct"/>
            <w:vAlign w:val="center"/>
          </w:tcPr>
          <w:p w:rsidR="001A59F9" w:rsidRPr="005C7DCF" w:rsidRDefault="00AB54C1" w:rsidP="0078762A">
            <w:pPr>
              <w:spacing w:before="29" w:line="288" w:lineRule="auto"/>
              <w:jc w:val="right"/>
              <w:rPr>
                <w:szCs w:val="21"/>
              </w:rPr>
            </w:pPr>
            <w:r w:rsidRPr="005C7DCF">
              <w:rPr>
                <w:szCs w:val="21"/>
              </w:rPr>
              <w:t>1.0025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交银境尚收益债券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交银境尚收益债券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12.70%</w:t>
            </w:r>
          </w:p>
        </w:tc>
        <w:tc>
          <w:tcPr>
            <w:tcW w:w="687" w:type="pct"/>
            <w:vAlign w:val="center"/>
          </w:tcPr>
          <w:p w:rsidR="001A59F9" w:rsidRPr="005C7DCF" w:rsidRDefault="001A59F9" w:rsidP="00704789">
            <w:pPr>
              <w:spacing w:before="29" w:line="288" w:lineRule="auto"/>
              <w:jc w:val="right"/>
              <w:rPr>
                <w:szCs w:val="21"/>
              </w:rPr>
            </w:pPr>
            <w:r w:rsidRPr="005C7DCF">
              <w:rPr>
                <w:szCs w:val="21"/>
              </w:rPr>
              <w:t>10.78%</w:t>
            </w:r>
          </w:p>
        </w:tc>
        <w:tc>
          <w:tcPr>
            <w:tcW w:w="687" w:type="pct"/>
            <w:vAlign w:val="center"/>
          </w:tcPr>
          <w:p w:rsidR="001A59F9" w:rsidRPr="005C7DCF" w:rsidRDefault="00AB54C1" w:rsidP="00704789">
            <w:pPr>
              <w:spacing w:before="29" w:line="288" w:lineRule="auto"/>
              <w:jc w:val="right"/>
              <w:rPr>
                <w:szCs w:val="21"/>
              </w:rPr>
            </w:pPr>
            <w:r w:rsidRPr="005C7DCF">
              <w:rPr>
                <w:szCs w:val="21"/>
              </w:rPr>
              <w:t>8.42%</w:t>
            </w:r>
          </w:p>
        </w:tc>
        <w:tc>
          <w:tcPr>
            <w:tcW w:w="688" w:type="pct"/>
            <w:vAlign w:val="center"/>
          </w:tcPr>
          <w:p w:rsidR="001A59F9" w:rsidRPr="005C7DCF" w:rsidRDefault="00AB54C1" w:rsidP="00704789">
            <w:pPr>
              <w:spacing w:before="29" w:line="288" w:lineRule="auto"/>
              <w:jc w:val="right"/>
              <w:rPr>
                <w:szCs w:val="21"/>
              </w:rPr>
            </w:pPr>
            <w:r w:rsidRPr="005C7DCF">
              <w:rPr>
                <w:szCs w:val="21"/>
              </w:rPr>
              <w:t>7.24%</w:t>
            </w:r>
          </w:p>
        </w:tc>
        <w:tc>
          <w:tcPr>
            <w:tcW w:w="687" w:type="pct"/>
            <w:vAlign w:val="center"/>
          </w:tcPr>
          <w:p w:rsidR="001A59F9" w:rsidRPr="005C7DCF" w:rsidRDefault="00AB54C1" w:rsidP="00704789">
            <w:pPr>
              <w:spacing w:before="29" w:line="288" w:lineRule="auto"/>
              <w:jc w:val="right"/>
              <w:rPr>
                <w:szCs w:val="21"/>
              </w:rPr>
            </w:pPr>
            <w:r w:rsidRPr="005C7DCF">
              <w:rPr>
                <w:szCs w:val="21"/>
              </w:rPr>
              <w:t>0.75%</w:t>
            </w:r>
          </w:p>
        </w:tc>
        <w:tc>
          <w:tcPr>
            <w:tcW w:w="743" w:type="pct"/>
            <w:vAlign w:val="center"/>
          </w:tcPr>
          <w:p w:rsidR="001A59F9" w:rsidRPr="005C7DCF" w:rsidRDefault="00AB54C1" w:rsidP="00704789">
            <w:pPr>
              <w:spacing w:before="29" w:line="288" w:lineRule="auto"/>
              <w:jc w:val="right"/>
              <w:rPr>
                <w:szCs w:val="21"/>
              </w:rPr>
            </w:pPr>
            <w:r w:rsidRPr="005C7DCF">
              <w:rPr>
                <w:szCs w:val="21"/>
              </w:rPr>
              <w:t>0.25%</w:t>
            </w:r>
          </w:p>
        </w:tc>
      </w:tr>
    </w:tbl>
    <w:p w:rsidR="000F397F" w:rsidRDefault="0015641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34" w:name="_Toc225498252"/>
      <w:bookmarkStart w:id="35" w:name="_Toc361324852"/>
      <w:bookmarkStart w:id="36" w:name="_Toc35966114"/>
      <w:r w:rsidRPr="001C20F0">
        <w:rPr>
          <w:rFonts w:ascii="Times New Roman" w:hAnsi="Times New Roman"/>
          <w:kern w:val="0"/>
          <w:szCs w:val="24"/>
        </w:rPr>
        <w:t xml:space="preserve">3.2 </w:t>
      </w:r>
      <w:r w:rsidRPr="001C20F0">
        <w:rPr>
          <w:rFonts w:ascii="Times New Roman" w:hAnsi="Times New Roman" w:hint="eastAsia"/>
          <w:kern w:val="0"/>
          <w:szCs w:val="24"/>
        </w:rPr>
        <w:t>基金净值表现</w:t>
      </w:r>
      <w:bookmarkEnd w:id="34"/>
      <w:bookmarkEnd w:id="35"/>
      <w:bookmarkEnd w:id="36"/>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F397F">
        <w:tc>
          <w:tcPr>
            <w:tcW w:w="1286" w:type="dxa"/>
            <w:vAlign w:val="center"/>
          </w:tcPr>
          <w:p w:rsidR="000F397F" w:rsidRDefault="0015641A">
            <w:pPr>
              <w:jc w:val="left"/>
            </w:pPr>
            <w:r>
              <w:rPr>
                <w:color w:val="000000"/>
                <w:sz w:val="24"/>
              </w:rPr>
              <w:t>过去三个月</w:t>
            </w:r>
          </w:p>
        </w:tc>
        <w:tc>
          <w:tcPr>
            <w:tcW w:w="1286" w:type="dxa"/>
            <w:vAlign w:val="center"/>
          </w:tcPr>
          <w:p w:rsidR="000F397F" w:rsidRDefault="0015641A">
            <w:pPr>
              <w:jc w:val="center"/>
            </w:pPr>
            <w:r>
              <w:rPr>
                <w:color w:val="000000"/>
                <w:sz w:val="24"/>
              </w:rPr>
              <w:t>1.37%</w:t>
            </w:r>
          </w:p>
        </w:tc>
        <w:tc>
          <w:tcPr>
            <w:tcW w:w="1286" w:type="dxa"/>
            <w:vAlign w:val="center"/>
          </w:tcPr>
          <w:p w:rsidR="000F397F" w:rsidRDefault="0015641A">
            <w:pPr>
              <w:jc w:val="center"/>
            </w:pPr>
            <w:r>
              <w:rPr>
                <w:color w:val="000000"/>
                <w:sz w:val="24"/>
              </w:rPr>
              <w:t>0.09%</w:t>
            </w:r>
          </w:p>
        </w:tc>
        <w:tc>
          <w:tcPr>
            <w:tcW w:w="1285" w:type="dxa"/>
            <w:vAlign w:val="center"/>
          </w:tcPr>
          <w:p w:rsidR="000F397F" w:rsidRDefault="0015641A">
            <w:pPr>
              <w:jc w:val="center"/>
            </w:pPr>
            <w:r>
              <w:rPr>
                <w:color w:val="000000"/>
                <w:sz w:val="24"/>
              </w:rPr>
              <w:t>0.62%</w:t>
            </w:r>
          </w:p>
        </w:tc>
        <w:tc>
          <w:tcPr>
            <w:tcW w:w="1285" w:type="dxa"/>
            <w:vAlign w:val="center"/>
          </w:tcPr>
          <w:p w:rsidR="000F397F" w:rsidRDefault="0015641A">
            <w:pPr>
              <w:jc w:val="center"/>
            </w:pPr>
            <w:r>
              <w:rPr>
                <w:color w:val="000000"/>
                <w:sz w:val="24"/>
              </w:rPr>
              <w:t>0.04%</w:t>
            </w:r>
          </w:p>
        </w:tc>
        <w:tc>
          <w:tcPr>
            <w:tcW w:w="1285" w:type="dxa"/>
            <w:vAlign w:val="center"/>
          </w:tcPr>
          <w:p w:rsidR="000F397F" w:rsidRDefault="0015641A">
            <w:pPr>
              <w:jc w:val="center"/>
            </w:pPr>
            <w:r>
              <w:rPr>
                <w:color w:val="000000"/>
                <w:sz w:val="24"/>
              </w:rPr>
              <w:t>0.75%</w:t>
            </w:r>
          </w:p>
        </w:tc>
        <w:tc>
          <w:tcPr>
            <w:tcW w:w="1285" w:type="dxa"/>
            <w:vAlign w:val="center"/>
          </w:tcPr>
          <w:p w:rsidR="000F397F" w:rsidRDefault="0015641A">
            <w:pPr>
              <w:jc w:val="center"/>
            </w:pPr>
            <w:r>
              <w:rPr>
                <w:color w:val="000000"/>
                <w:sz w:val="24"/>
              </w:rPr>
              <w:t>0.05%</w:t>
            </w:r>
          </w:p>
        </w:tc>
      </w:tr>
      <w:tr w:rsidR="000F397F">
        <w:tc>
          <w:tcPr>
            <w:tcW w:w="1286" w:type="dxa"/>
            <w:vAlign w:val="center"/>
          </w:tcPr>
          <w:p w:rsidR="000F397F" w:rsidRDefault="0015641A">
            <w:pPr>
              <w:jc w:val="left"/>
            </w:pPr>
            <w:r>
              <w:rPr>
                <w:color w:val="000000"/>
                <w:sz w:val="24"/>
              </w:rPr>
              <w:t>过去六个月</w:t>
            </w:r>
          </w:p>
        </w:tc>
        <w:tc>
          <w:tcPr>
            <w:tcW w:w="1286" w:type="dxa"/>
            <w:vAlign w:val="center"/>
          </w:tcPr>
          <w:p w:rsidR="000F397F" w:rsidRDefault="0015641A">
            <w:pPr>
              <w:jc w:val="center"/>
            </w:pPr>
            <w:r>
              <w:rPr>
                <w:color w:val="000000"/>
                <w:sz w:val="24"/>
              </w:rPr>
              <w:t>2.12%</w:t>
            </w:r>
          </w:p>
        </w:tc>
        <w:tc>
          <w:tcPr>
            <w:tcW w:w="1286" w:type="dxa"/>
            <w:vAlign w:val="center"/>
          </w:tcPr>
          <w:p w:rsidR="000F397F" w:rsidRDefault="0015641A">
            <w:pPr>
              <w:jc w:val="center"/>
            </w:pPr>
            <w:r>
              <w:rPr>
                <w:color w:val="000000"/>
                <w:sz w:val="24"/>
              </w:rPr>
              <w:t>0.08%</w:t>
            </w:r>
          </w:p>
        </w:tc>
        <w:tc>
          <w:tcPr>
            <w:tcW w:w="1285" w:type="dxa"/>
            <w:vAlign w:val="center"/>
          </w:tcPr>
          <w:p w:rsidR="000F397F" w:rsidRDefault="0015641A">
            <w:pPr>
              <w:jc w:val="center"/>
            </w:pPr>
            <w:r>
              <w:rPr>
                <w:color w:val="000000"/>
                <w:sz w:val="24"/>
              </w:rPr>
              <w:t>1.07%</w:t>
            </w:r>
          </w:p>
        </w:tc>
        <w:tc>
          <w:tcPr>
            <w:tcW w:w="1285" w:type="dxa"/>
            <w:vAlign w:val="center"/>
          </w:tcPr>
          <w:p w:rsidR="000F397F" w:rsidRDefault="0015641A">
            <w:pPr>
              <w:jc w:val="center"/>
            </w:pPr>
            <w:r>
              <w:rPr>
                <w:color w:val="000000"/>
                <w:sz w:val="24"/>
              </w:rPr>
              <w:t>0.04%</w:t>
            </w:r>
          </w:p>
        </w:tc>
        <w:tc>
          <w:tcPr>
            <w:tcW w:w="1285" w:type="dxa"/>
            <w:vAlign w:val="center"/>
          </w:tcPr>
          <w:p w:rsidR="000F397F" w:rsidRDefault="0015641A">
            <w:pPr>
              <w:jc w:val="center"/>
            </w:pPr>
            <w:r>
              <w:rPr>
                <w:color w:val="000000"/>
                <w:sz w:val="24"/>
              </w:rPr>
              <w:t>1.05%</w:t>
            </w:r>
          </w:p>
        </w:tc>
        <w:tc>
          <w:tcPr>
            <w:tcW w:w="1285" w:type="dxa"/>
            <w:vAlign w:val="center"/>
          </w:tcPr>
          <w:p w:rsidR="000F397F" w:rsidRDefault="0015641A">
            <w:pPr>
              <w:jc w:val="center"/>
            </w:pPr>
            <w:r>
              <w:rPr>
                <w:color w:val="000000"/>
                <w:sz w:val="24"/>
              </w:rPr>
              <w:t>0.04%</w:t>
            </w:r>
          </w:p>
        </w:tc>
      </w:tr>
      <w:tr w:rsidR="000F397F">
        <w:tc>
          <w:tcPr>
            <w:tcW w:w="1286" w:type="dxa"/>
            <w:vAlign w:val="center"/>
          </w:tcPr>
          <w:p w:rsidR="000F397F" w:rsidRDefault="0015641A">
            <w:pPr>
              <w:jc w:val="left"/>
            </w:pPr>
            <w:r>
              <w:rPr>
                <w:color w:val="000000"/>
                <w:sz w:val="24"/>
              </w:rPr>
              <w:t>过去一年</w:t>
            </w:r>
          </w:p>
        </w:tc>
        <w:tc>
          <w:tcPr>
            <w:tcW w:w="1286" w:type="dxa"/>
            <w:vAlign w:val="center"/>
          </w:tcPr>
          <w:p w:rsidR="000F397F" w:rsidRDefault="0015641A">
            <w:pPr>
              <w:jc w:val="center"/>
            </w:pPr>
            <w:r>
              <w:rPr>
                <w:color w:val="000000"/>
                <w:sz w:val="24"/>
              </w:rPr>
              <w:t>3.95%</w:t>
            </w:r>
          </w:p>
        </w:tc>
        <w:tc>
          <w:tcPr>
            <w:tcW w:w="1286" w:type="dxa"/>
            <w:vAlign w:val="center"/>
          </w:tcPr>
          <w:p w:rsidR="000F397F" w:rsidRDefault="0015641A">
            <w:pPr>
              <w:jc w:val="center"/>
            </w:pPr>
            <w:r>
              <w:rPr>
                <w:color w:val="000000"/>
                <w:sz w:val="24"/>
              </w:rPr>
              <w:t>0.07%</w:t>
            </w:r>
          </w:p>
        </w:tc>
        <w:tc>
          <w:tcPr>
            <w:tcW w:w="1285" w:type="dxa"/>
            <w:vAlign w:val="center"/>
          </w:tcPr>
          <w:p w:rsidR="000F397F" w:rsidRDefault="0015641A">
            <w:pPr>
              <w:jc w:val="center"/>
            </w:pPr>
            <w:r>
              <w:rPr>
                <w:color w:val="000000"/>
                <w:sz w:val="24"/>
              </w:rPr>
              <w:t>1.50%</w:t>
            </w:r>
          </w:p>
        </w:tc>
        <w:tc>
          <w:tcPr>
            <w:tcW w:w="1285" w:type="dxa"/>
            <w:vAlign w:val="center"/>
          </w:tcPr>
          <w:p w:rsidR="000F397F" w:rsidRDefault="0015641A">
            <w:pPr>
              <w:jc w:val="center"/>
            </w:pPr>
            <w:r>
              <w:rPr>
                <w:color w:val="000000"/>
                <w:sz w:val="24"/>
              </w:rPr>
              <w:t>0.04%</w:t>
            </w:r>
          </w:p>
        </w:tc>
        <w:tc>
          <w:tcPr>
            <w:tcW w:w="1285" w:type="dxa"/>
            <w:vAlign w:val="center"/>
          </w:tcPr>
          <w:p w:rsidR="000F397F" w:rsidRDefault="0015641A">
            <w:pPr>
              <w:jc w:val="center"/>
            </w:pPr>
            <w:r>
              <w:rPr>
                <w:color w:val="000000"/>
                <w:sz w:val="24"/>
              </w:rPr>
              <w:t>2.45%</w:t>
            </w:r>
          </w:p>
        </w:tc>
        <w:tc>
          <w:tcPr>
            <w:tcW w:w="1285" w:type="dxa"/>
            <w:vAlign w:val="center"/>
          </w:tcPr>
          <w:p w:rsidR="000F397F" w:rsidRDefault="0015641A">
            <w:pPr>
              <w:jc w:val="center"/>
            </w:pPr>
            <w:r>
              <w:rPr>
                <w:color w:val="000000"/>
                <w:sz w:val="24"/>
              </w:rPr>
              <w:t>0.03%</w:t>
            </w:r>
          </w:p>
        </w:tc>
      </w:tr>
      <w:tr w:rsidR="000F397F">
        <w:tc>
          <w:tcPr>
            <w:tcW w:w="1286" w:type="dxa"/>
            <w:vAlign w:val="center"/>
          </w:tcPr>
          <w:p w:rsidR="000F397F" w:rsidRDefault="0015641A">
            <w:pPr>
              <w:jc w:val="left"/>
            </w:pPr>
            <w:r>
              <w:rPr>
                <w:color w:val="000000"/>
                <w:sz w:val="24"/>
              </w:rPr>
              <w:t>过去三年</w:t>
            </w:r>
          </w:p>
        </w:tc>
        <w:tc>
          <w:tcPr>
            <w:tcW w:w="1286" w:type="dxa"/>
            <w:vAlign w:val="center"/>
          </w:tcPr>
          <w:p w:rsidR="000F397F" w:rsidRDefault="0015641A">
            <w:pPr>
              <w:jc w:val="center"/>
            </w:pPr>
            <w:r>
              <w:rPr>
                <w:color w:val="000000"/>
                <w:sz w:val="24"/>
              </w:rPr>
              <w:t>12.70%</w:t>
            </w:r>
          </w:p>
        </w:tc>
        <w:tc>
          <w:tcPr>
            <w:tcW w:w="1286" w:type="dxa"/>
            <w:vAlign w:val="center"/>
          </w:tcPr>
          <w:p w:rsidR="000F397F" w:rsidRDefault="0015641A">
            <w:pPr>
              <w:jc w:val="center"/>
            </w:pPr>
            <w:r>
              <w:rPr>
                <w:color w:val="000000"/>
                <w:sz w:val="24"/>
              </w:rPr>
              <w:t>0.06%</w:t>
            </w:r>
          </w:p>
        </w:tc>
        <w:tc>
          <w:tcPr>
            <w:tcW w:w="1285" w:type="dxa"/>
            <w:vAlign w:val="center"/>
          </w:tcPr>
          <w:p w:rsidR="000F397F" w:rsidRDefault="0015641A">
            <w:pPr>
              <w:jc w:val="center"/>
            </w:pPr>
            <w:r>
              <w:rPr>
                <w:color w:val="000000"/>
                <w:sz w:val="24"/>
              </w:rPr>
              <w:t>7.82%</w:t>
            </w:r>
          </w:p>
        </w:tc>
        <w:tc>
          <w:tcPr>
            <w:tcW w:w="1285" w:type="dxa"/>
            <w:vAlign w:val="center"/>
          </w:tcPr>
          <w:p w:rsidR="000F397F" w:rsidRDefault="0015641A">
            <w:pPr>
              <w:jc w:val="center"/>
            </w:pPr>
            <w:r>
              <w:rPr>
                <w:color w:val="000000"/>
                <w:sz w:val="24"/>
              </w:rPr>
              <w:t>0.03%</w:t>
            </w:r>
          </w:p>
        </w:tc>
        <w:tc>
          <w:tcPr>
            <w:tcW w:w="1285" w:type="dxa"/>
            <w:vAlign w:val="center"/>
          </w:tcPr>
          <w:p w:rsidR="000F397F" w:rsidRDefault="0015641A">
            <w:pPr>
              <w:jc w:val="center"/>
            </w:pPr>
            <w:r>
              <w:rPr>
                <w:color w:val="000000"/>
                <w:sz w:val="24"/>
              </w:rPr>
              <w:t>4.88%</w:t>
            </w:r>
          </w:p>
        </w:tc>
        <w:tc>
          <w:tcPr>
            <w:tcW w:w="1285" w:type="dxa"/>
            <w:vAlign w:val="center"/>
          </w:tcPr>
          <w:p w:rsidR="000F397F" w:rsidRDefault="0015641A">
            <w:pPr>
              <w:jc w:val="center"/>
            </w:pPr>
            <w:r>
              <w:rPr>
                <w:color w:val="000000"/>
                <w:sz w:val="24"/>
              </w:rPr>
              <w:t>0.03%</w:t>
            </w:r>
          </w:p>
        </w:tc>
      </w:tr>
      <w:tr w:rsidR="000F397F">
        <w:tc>
          <w:tcPr>
            <w:tcW w:w="1286" w:type="dxa"/>
            <w:vAlign w:val="center"/>
          </w:tcPr>
          <w:p w:rsidR="000F397F" w:rsidRDefault="0015641A">
            <w:pPr>
              <w:jc w:val="left"/>
            </w:pPr>
            <w:r>
              <w:rPr>
                <w:color w:val="000000"/>
                <w:sz w:val="24"/>
              </w:rPr>
              <w:t>自基金合同生效起至今</w:t>
            </w:r>
          </w:p>
        </w:tc>
        <w:tc>
          <w:tcPr>
            <w:tcW w:w="1286" w:type="dxa"/>
            <w:vAlign w:val="center"/>
          </w:tcPr>
          <w:p w:rsidR="000F397F" w:rsidRDefault="0015641A">
            <w:pPr>
              <w:jc w:val="center"/>
            </w:pPr>
            <w:r>
              <w:rPr>
                <w:color w:val="000000"/>
                <w:sz w:val="24"/>
              </w:rPr>
              <w:t>12.70%</w:t>
            </w:r>
          </w:p>
        </w:tc>
        <w:tc>
          <w:tcPr>
            <w:tcW w:w="1286" w:type="dxa"/>
            <w:vAlign w:val="center"/>
          </w:tcPr>
          <w:p w:rsidR="000F397F" w:rsidRDefault="0015641A">
            <w:pPr>
              <w:jc w:val="center"/>
            </w:pPr>
            <w:r>
              <w:rPr>
                <w:color w:val="000000"/>
                <w:sz w:val="24"/>
              </w:rPr>
              <w:t>0.06%</w:t>
            </w:r>
          </w:p>
        </w:tc>
        <w:tc>
          <w:tcPr>
            <w:tcW w:w="1285" w:type="dxa"/>
            <w:vAlign w:val="center"/>
          </w:tcPr>
          <w:p w:rsidR="000F397F" w:rsidRDefault="0015641A">
            <w:pPr>
              <w:jc w:val="center"/>
            </w:pPr>
            <w:r>
              <w:rPr>
                <w:color w:val="000000"/>
                <w:sz w:val="24"/>
              </w:rPr>
              <w:t>7.82%</w:t>
            </w:r>
          </w:p>
        </w:tc>
        <w:tc>
          <w:tcPr>
            <w:tcW w:w="1285" w:type="dxa"/>
            <w:vAlign w:val="center"/>
          </w:tcPr>
          <w:p w:rsidR="000F397F" w:rsidRDefault="0015641A">
            <w:pPr>
              <w:jc w:val="center"/>
            </w:pPr>
            <w:r>
              <w:rPr>
                <w:color w:val="000000"/>
                <w:sz w:val="24"/>
              </w:rPr>
              <w:t>0.03%</w:t>
            </w:r>
          </w:p>
        </w:tc>
        <w:tc>
          <w:tcPr>
            <w:tcW w:w="1285" w:type="dxa"/>
            <w:vAlign w:val="center"/>
          </w:tcPr>
          <w:p w:rsidR="000F397F" w:rsidRDefault="0015641A">
            <w:pPr>
              <w:jc w:val="center"/>
            </w:pPr>
            <w:r>
              <w:rPr>
                <w:color w:val="000000"/>
                <w:sz w:val="24"/>
              </w:rPr>
              <w:t>4.88%</w:t>
            </w:r>
          </w:p>
        </w:tc>
        <w:tc>
          <w:tcPr>
            <w:tcW w:w="1285" w:type="dxa"/>
            <w:vAlign w:val="center"/>
          </w:tcPr>
          <w:p w:rsidR="000F397F" w:rsidRDefault="0015641A">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w:t>
      </w:r>
      <w:r w:rsidR="000A60D9" w:rsidRPr="007F52FA">
        <w:rPr>
          <w:color w:val="000000"/>
          <w:sz w:val="24"/>
        </w:rPr>
        <w:t>本基金自</w:t>
      </w:r>
      <w:r w:rsidR="000A60D9" w:rsidRPr="007F52FA">
        <w:rPr>
          <w:color w:val="000000"/>
          <w:sz w:val="24"/>
        </w:rPr>
        <w:t>2019</w:t>
      </w:r>
      <w:r w:rsidR="000A60D9" w:rsidRPr="007F52FA">
        <w:rPr>
          <w:color w:val="000000"/>
          <w:sz w:val="24"/>
        </w:rPr>
        <w:t>年</w:t>
      </w:r>
      <w:r w:rsidR="000A60D9" w:rsidRPr="007F52FA">
        <w:rPr>
          <w:color w:val="000000"/>
          <w:sz w:val="24"/>
        </w:rPr>
        <w:t>3</w:t>
      </w:r>
      <w:r w:rsidR="000A60D9" w:rsidRPr="007F52FA">
        <w:rPr>
          <w:color w:val="000000"/>
          <w:sz w:val="24"/>
        </w:rPr>
        <w:t>月</w:t>
      </w:r>
      <w:r w:rsidR="000A60D9" w:rsidRPr="007F52FA">
        <w:rPr>
          <w:color w:val="000000"/>
          <w:sz w:val="24"/>
        </w:rPr>
        <w:t>5</w:t>
      </w:r>
      <w:r w:rsidR="000A60D9" w:rsidRPr="007F52FA">
        <w:rPr>
          <w:color w:val="000000"/>
          <w:sz w:val="24"/>
        </w:rPr>
        <w:t>日起转为开放式运作，本基金的业绩比较基准由</w:t>
      </w:r>
      <w:r w:rsidR="000A60D9" w:rsidRPr="007F52FA">
        <w:rPr>
          <w:color w:val="000000"/>
          <w:sz w:val="24"/>
        </w:rPr>
        <w:t>“</w:t>
      </w:r>
      <w:r w:rsidR="000A60D9" w:rsidRPr="007F52FA">
        <w:rPr>
          <w:color w:val="000000"/>
          <w:sz w:val="24"/>
        </w:rPr>
        <w:t>两年期银行定期存款税后收益率</w:t>
      </w:r>
      <w:r w:rsidR="000A60D9" w:rsidRPr="007F52FA">
        <w:rPr>
          <w:color w:val="000000"/>
          <w:sz w:val="24"/>
        </w:rPr>
        <w:t>+1.25%”</w:t>
      </w:r>
      <w:r w:rsidR="000A60D9" w:rsidRPr="007F52FA">
        <w:rPr>
          <w:color w:val="000000"/>
          <w:sz w:val="24"/>
        </w:rPr>
        <w:t>变更为</w:t>
      </w:r>
      <w:r w:rsidR="000A60D9" w:rsidRPr="007F52FA">
        <w:rPr>
          <w:color w:val="000000"/>
          <w:sz w:val="24"/>
        </w:rPr>
        <w:t>“</w:t>
      </w:r>
      <w:r w:rsidR="000A60D9" w:rsidRPr="007F52FA">
        <w:rPr>
          <w:color w:val="000000"/>
          <w:sz w:val="24"/>
        </w:rPr>
        <w:t>中债综合全价指数收益率</w:t>
      </w:r>
      <w:r w:rsidR="000A60D9" w:rsidRPr="007F52FA">
        <w:rPr>
          <w:color w:val="000000"/>
          <w:sz w:val="24"/>
        </w:rPr>
        <w:t>”</w:t>
      </w:r>
      <w:r w:rsidR="000A60D9" w:rsidRPr="007F52FA">
        <w:rPr>
          <w:color w:val="000000"/>
          <w:sz w:val="24"/>
        </w:rPr>
        <w:t>，</w:t>
      </w:r>
      <w:r w:rsidR="000A60D9" w:rsidRPr="007F52FA">
        <w:rPr>
          <w:color w:val="000000"/>
          <w:sz w:val="24"/>
        </w:rPr>
        <w:t>3.2.2</w:t>
      </w:r>
      <w:r w:rsidR="000A60D9" w:rsidRPr="007F52FA">
        <w:rPr>
          <w:color w:val="000000"/>
          <w:sz w:val="24"/>
        </w:rPr>
        <w:t>同。</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w:t>
            </w:r>
            <w:r w:rsidRPr="00861B4D">
              <w:rPr>
                <w:rFonts w:hint="eastAsia"/>
                <w:color w:val="000000"/>
                <w:sz w:val="24"/>
              </w:rPr>
              <w:lastRenderedPageBreak/>
              <w:t>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业绩比较基准收益</w:t>
            </w:r>
            <w:r w:rsidRPr="00861B4D">
              <w:rPr>
                <w:rFonts w:hint="eastAsia"/>
                <w:color w:val="000000"/>
                <w:sz w:val="24"/>
              </w:rPr>
              <w:lastRenderedPageBreak/>
              <w:t>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业绩比较基准收益</w:t>
            </w:r>
            <w:r w:rsidRPr="00861B4D">
              <w:rPr>
                <w:rFonts w:hint="eastAsia"/>
                <w:color w:val="000000"/>
                <w:sz w:val="24"/>
              </w:rPr>
              <w:lastRenderedPageBreak/>
              <w:t>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F397F">
        <w:tc>
          <w:tcPr>
            <w:tcW w:w="1286" w:type="dxa"/>
            <w:vAlign w:val="center"/>
          </w:tcPr>
          <w:p w:rsidR="000F397F" w:rsidRDefault="0015641A">
            <w:pPr>
              <w:jc w:val="left"/>
            </w:pPr>
            <w:r>
              <w:rPr>
                <w:color w:val="000000"/>
                <w:sz w:val="24"/>
              </w:rPr>
              <w:t>过去三个月</w:t>
            </w:r>
          </w:p>
        </w:tc>
        <w:tc>
          <w:tcPr>
            <w:tcW w:w="1286" w:type="dxa"/>
            <w:vAlign w:val="center"/>
          </w:tcPr>
          <w:p w:rsidR="000F397F" w:rsidRDefault="0015641A">
            <w:pPr>
              <w:jc w:val="center"/>
            </w:pPr>
            <w:r>
              <w:rPr>
                <w:color w:val="000000"/>
                <w:sz w:val="24"/>
              </w:rPr>
              <w:t>1.22%</w:t>
            </w:r>
          </w:p>
        </w:tc>
        <w:tc>
          <w:tcPr>
            <w:tcW w:w="1286" w:type="dxa"/>
            <w:vAlign w:val="center"/>
          </w:tcPr>
          <w:p w:rsidR="000F397F" w:rsidRDefault="0015641A">
            <w:pPr>
              <w:jc w:val="center"/>
            </w:pPr>
            <w:r>
              <w:rPr>
                <w:color w:val="000000"/>
                <w:sz w:val="24"/>
              </w:rPr>
              <w:t>0.09%</w:t>
            </w:r>
          </w:p>
        </w:tc>
        <w:tc>
          <w:tcPr>
            <w:tcW w:w="1285" w:type="dxa"/>
            <w:vAlign w:val="center"/>
          </w:tcPr>
          <w:p w:rsidR="000F397F" w:rsidRDefault="0015641A">
            <w:pPr>
              <w:jc w:val="center"/>
            </w:pPr>
            <w:r>
              <w:rPr>
                <w:color w:val="000000"/>
                <w:sz w:val="24"/>
              </w:rPr>
              <w:t>0.62%</w:t>
            </w:r>
          </w:p>
        </w:tc>
        <w:tc>
          <w:tcPr>
            <w:tcW w:w="1285" w:type="dxa"/>
            <w:vAlign w:val="center"/>
          </w:tcPr>
          <w:p w:rsidR="000F397F" w:rsidRDefault="0015641A">
            <w:pPr>
              <w:jc w:val="center"/>
            </w:pPr>
            <w:r>
              <w:rPr>
                <w:color w:val="000000"/>
                <w:sz w:val="24"/>
              </w:rPr>
              <w:t>0.04%</w:t>
            </w:r>
          </w:p>
        </w:tc>
        <w:tc>
          <w:tcPr>
            <w:tcW w:w="1285" w:type="dxa"/>
            <w:vAlign w:val="center"/>
          </w:tcPr>
          <w:p w:rsidR="000F397F" w:rsidRDefault="0015641A">
            <w:pPr>
              <w:jc w:val="center"/>
            </w:pPr>
            <w:r>
              <w:rPr>
                <w:color w:val="000000"/>
                <w:sz w:val="24"/>
              </w:rPr>
              <w:t>0.60%</w:t>
            </w:r>
          </w:p>
        </w:tc>
        <w:tc>
          <w:tcPr>
            <w:tcW w:w="1285" w:type="dxa"/>
            <w:vAlign w:val="center"/>
          </w:tcPr>
          <w:p w:rsidR="000F397F" w:rsidRDefault="0015641A">
            <w:pPr>
              <w:jc w:val="center"/>
            </w:pPr>
            <w:r>
              <w:rPr>
                <w:color w:val="000000"/>
                <w:sz w:val="24"/>
              </w:rPr>
              <w:t>0.05%</w:t>
            </w:r>
          </w:p>
        </w:tc>
      </w:tr>
      <w:tr w:rsidR="000F397F">
        <w:tc>
          <w:tcPr>
            <w:tcW w:w="1286" w:type="dxa"/>
            <w:vAlign w:val="center"/>
          </w:tcPr>
          <w:p w:rsidR="000F397F" w:rsidRDefault="0015641A">
            <w:pPr>
              <w:jc w:val="left"/>
            </w:pPr>
            <w:r>
              <w:rPr>
                <w:color w:val="000000"/>
                <w:sz w:val="24"/>
              </w:rPr>
              <w:t>过去六个月</w:t>
            </w:r>
          </w:p>
        </w:tc>
        <w:tc>
          <w:tcPr>
            <w:tcW w:w="1286" w:type="dxa"/>
            <w:vAlign w:val="center"/>
          </w:tcPr>
          <w:p w:rsidR="000F397F" w:rsidRDefault="0015641A">
            <w:pPr>
              <w:jc w:val="center"/>
            </w:pPr>
            <w:r>
              <w:rPr>
                <w:color w:val="000000"/>
                <w:sz w:val="24"/>
              </w:rPr>
              <w:t>1.80%</w:t>
            </w:r>
          </w:p>
        </w:tc>
        <w:tc>
          <w:tcPr>
            <w:tcW w:w="1286" w:type="dxa"/>
            <w:vAlign w:val="center"/>
          </w:tcPr>
          <w:p w:rsidR="000F397F" w:rsidRDefault="0015641A">
            <w:pPr>
              <w:jc w:val="center"/>
            </w:pPr>
            <w:r>
              <w:rPr>
                <w:color w:val="000000"/>
                <w:sz w:val="24"/>
              </w:rPr>
              <w:t>0.08%</w:t>
            </w:r>
          </w:p>
        </w:tc>
        <w:tc>
          <w:tcPr>
            <w:tcW w:w="1285" w:type="dxa"/>
            <w:vAlign w:val="center"/>
          </w:tcPr>
          <w:p w:rsidR="000F397F" w:rsidRDefault="0015641A">
            <w:pPr>
              <w:jc w:val="center"/>
            </w:pPr>
            <w:r>
              <w:rPr>
                <w:color w:val="000000"/>
                <w:sz w:val="24"/>
              </w:rPr>
              <w:t>1.07%</w:t>
            </w:r>
          </w:p>
        </w:tc>
        <w:tc>
          <w:tcPr>
            <w:tcW w:w="1285" w:type="dxa"/>
            <w:vAlign w:val="center"/>
          </w:tcPr>
          <w:p w:rsidR="000F397F" w:rsidRDefault="0015641A">
            <w:pPr>
              <w:jc w:val="center"/>
            </w:pPr>
            <w:r>
              <w:rPr>
                <w:color w:val="000000"/>
                <w:sz w:val="24"/>
              </w:rPr>
              <w:t>0.04%</w:t>
            </w:r>
          </w:p>
        </w:tc>
        <w:tc>
          <w:tcPr>
            <w:tcW w:w="1285" w:type="dxa"/>
            <w:vAlign w:val="center"/>
          </w:tcPr>
          <w:p w:rsidR="000F397F" w:rsidRDefault="0015641A">
            <w:pPr>
              <w:jc w:val="center"/>
            </w:pPr>
            <w:r>
              <w:rPr>
                <w:color w:val="000000"/>
                <w:sz w:val="24"/>
              </w:rPr>
              <w:t>0.73%</w:t>
            </w:r>
          </w:p>
        </w:tc>
        <w:tc>
          <w:tcPr>
            <w:tcW w:w="1285" w:type="dxa"/>
            <w:vAlign w:val="center"/>
          </w:tcPr>
          <w:p w:rsidR="000F397F" w:rsidRDefault="0015641A">
            <w:pPr>
              <w:jc w:val="center"/>
            </w:pPr>
            <w:r>
              <w:rPr>
                <w:color w:val="000000"/>
                <w:sz w:val="24"/>
              </w:rPr>
              <w:t>0.04%</w:t>
            </w:r>
          </w:p>
        </w:tc>
      </w:tr>
      <w:tr w:rsidR="000F397F">
        <w:tc>
          <w:tcPr>
            <w:tcW w:w="1286" w:type="dxa"/>
            <w:vAlign w:val="center"/>
          </w:tcPr>
          <w:p w:rsidR="000F397F" w:rsidRDefault="0015641A">
            <w:pPr>
              <w:jc w:val="left"/>
            </w:pPr>
            <w:r>
              <w:rPr>
                <w:color w:val="000000"/>
                <w:sz w:val="24"/>
              </w:rPr>
              <w:t>过去一年</w:t>
            </w:r>
          </w:p>
        </w:tc>
        <w:tc>
          <w:tcPr>
            <w:tcW w:w="1286" w:type="dxa"/>
            <w:vAlign w:val="center"/>
          </w:tcPr>
          <w:p w:rsidR="000F397F" w:rsidRDefault="0015641A">
            <w:pPr>
              <w:jc w:val="center"/>
            </w:pPr>
            <w:r>
              <w:rPr>
                <w:color w:val="000000"/>
                <w:sz w:val="24"/>
              </w:rPr>
              <w:t>3.31%</w:t>
            </w:r>
          </w:p>
        </w:tc>
        <w:tc>
          <w:tcPr>
            <w:tcW w:w="1286" w:type="dxa"/>
            <w:vAlign w:val="center"/>
          </w:tcPr>
          <w:p w:rsidR="000F397F" w:rsidRDefault="0015641A">
            <w:pPr>
              <w:jc w:val="center"/>
            </w:pPr>
            <w:r>
              <w:rPr>
                <w:color w:val="000000"/>
                <w:sz w:val="24"/>
              </w:rPr>
              <w:t>0.07%</w:t>
            </w:r>
          </w:p>
        </w:tc>
        <w:tc>
          <w:tcPr>
            <w:tcW w:w="1285" w:type="dxa"/>
            <w:vAlign w:val="center"/>
          </w:tcPr>
          <w:p w:rsidR="000F397F" w:rsidRDefault="0015641A">
            <w:pPr>
              <w:jc w:val="center"/>
            </w:pPr>
            <w:r>
              <w:rPr>
                <w:color w:val="000000"/>
                <w:sz w:val="24"/>
              </w:rPr>
              <w:t>1.50%</w:t>
            </w:r>
          </w:p>
        </w:tc>
        <w:tc>
          <w:tcPr>
            <w:tcW w:w="1285" w:type="dxa"/>
            <w:vAlign w:val="center"/>
          </w:tcPr>
          <w:p w:rsidR="000F397F" w:rsidRDefault="0015641A">
            <w:pPr>
              <w:jc w:val="center"/>
            </w:pPr>
            <w:r>
              <w:rPr>
                <w:color w:val="000000"/>
                <w:sz w:val="24"/>
              </w:rPr>
              <w:t>0.04%</w:t>
            </w:r>
          </w:p>
        </w:tc>
        <w:tc>
          <w:tcPr>
            <w:tcW w:w="1285" w:type="dxa"/>
            <w:vAlign w:val="center"/>
          </w:tcPr>
          <w:p w:rsidR="000F397F" w:rsidRDefault="0015641A">
            <w:pPr>
              <w:jc w:val="center"/>
            </w:pPr>
            <w:r>
              <w:rPr>
                <w:color w:val="000000"/>
                <w:sz w:val="24"/>
              </w:rPr>
              <w:t>1.81%</w:t>
            </w:r>
          </w:p>
        </w:tc>
        <w:tc>
          <w:tcPr>
            <w:tcW w:w="1285" w:type="dxa"/>
            <w:vAlign w:val="center"/>
          </w:tcPr>
          <w:p w:rsidR="000F397F" w:rsidRDefault="0015641A">
            <w:pPr>
              <w:jc w:val="center"/>
            </w:pPr>
            <w:r>
              <w:rPr>
                <w:color w:val="000000"/>
                <w:sz w:val="24"/>
              </w:rPr>
              <w:t>0.03%</w:t>
            </w:r>
          </w:p>
        </w:tc>
      </w:tr>
      <w:tr w:rsidR="000F397F">
        <w:tc>
          <w:tcPr>
            <w:tcW w:w="1286" w:type="dxa"/>
            <w:vAlign w:val="center"/>
          </w:tcPr>
          <w:p w:rsidR="000F397F" w:rsidRDefault="0015641A">
            <w:pPr>
              <w:jc w:val="left"/>
            </w:pPr>
            <w:r>
              <w:rPr>
                <w:color w:val="000000"/>
                <w:sz w:val="24"/>
              </w:rPr>
              <w:t>过去三年</w:t>
            </w:r>
          </w:p>
        </w:tc>
        <w:tc>
          <w:tcPr>
            <w:tcW w:w="1286" w:type="dxa"/>
            <w:vAlign w:val="center"/>
          </w:tcPr>
          <w:p w:rsidR="000F397F" w:rsidRDefault="0015641A">
            <w:pPr>
              <w:jc w:val="center"/>
            </w:pPr>
            <w:r>
              <w:rPr>
                <w:color w:val="000000"/>
                <w:sz w:val="24"/>
              </w:rPr>
              <w:t>10.78%</w:t>
            </w:r>
          </w:p>
        </w:tc>
        <w:tc>
          <w:tcPr>
            <w:tcW w:w="1286" w:type="dxa"/>
            <w:vAlign w:val="center"/>
          </w:tcPr>
          <w:p w:rsidR="000F397F" w:rsidRDefault="0015641A">
            <w:pPr>
              <w:jc w:val="center"/>
            </w:pPr>
            <w:r>
              <w:rPr>
                <w:color w:val="000000"/>
                <w:sz w:val="24"/>
              </w:rPr>
              <w:t>0.06%</w:t>
            </w:r>
          </w:p>
        </w:tc>
        <w:tc>
          <w:tcPr>
            <w:tcW w:w="1285" w:type="dxa"/>
            <w:vAlign w:val="center"/>
          </w:tcPr>
          <w:p w:rsidR="000F397F" w:rsidRDefault="0015641A">
            <w:pPr>
              <w:jc w:val="center"/>
            </w:pPr>
            <w:r>
              <w:rPr>
                <w:color w:val="000000"/>
                <w:sz w:val="24"/>
              </w:rPr>
              <w:t>7.82%</w:t>
            </w:r>
          </w:p>
        </w:tc>
        <w:tc>
          <w:tcPr>
            <w:tcW w:w="1285" w:type="dxa"/>
            <w:vAlign w:val="center"/>
          </w:tcPr>
          <w:p w:rsidR="000F397F" w:rsidRDefault="0015641A">
            <w:pPr>
              <w:jc w:val="center"/>
            </w:pPr>
            <w:r>
              <w:rPr>
                <w:color w:val="000000"/>
                <w:sz w:val="24"/>
              </w:rPr>
              <w:t>0.03%</w:t>
            </w:r>
          </w:p>
        </w:tc>
        <w:tc>
          <w:tcPr>
            <w:tcW w:w="1285" w:type="dxa"/>
            <w:vAlign w:val="center"/>
          </w:tcPr>
          <w:p w:rsidR="000F397F" w:rsidRDefault="0015641A">
            <w:pPr>
              <w:jc w:val="center"/>
            </w:pPr>
            <w:r>
              <w:rPr>
                <w:color w:val="000000"/>
                <w:sz w:val="24"/>
              </w:rPr>
              <w:t>2.96%</w:t>
            </w:r>
          </w:p>
        </w:tc>
        <w:tc>
          <w:tcPr>
            <w:tcW w:w="1285" w:type="dxa"/>
            <w:vAlign w:val="center"/>
          </w:tcPr>
          <w:p w:rsidR="000F397F" w:rsidRDefault="0015641A">
            <w:pPr>
              <w:jc w:val="center"/>
            </w:pPr>
            <w:r>
              <w:rPr>
                <w:color w:val="000000"/>
                <w:sz w:val="24"/>
              </w:rPr>
              <w:t>0.03%</w:t>
            </w:r>
          </w:p>
        </w:tc>
      </w:tr>
      <w:tr w:rsidR="000F397F">
        <w:tc>
          <w:tcPr>
            <w:tcW w:w="1286" w:type="dxa"/>
            <w:vAlign w:val="center"/>
          </w:tcPr>
          <w:p w:rsidR="000F397F" w:rsidRDefault="0015641A">
            <w:pPr>
              <w:jc w:val="left"/>
            </w:pPr>
            <w:r>
              <w:rPr>
                <w:color w:val="000000"/>
                <w:sz w:val="24"/>
              </w:rPr>
              <w:t>自基金合同生效起至今</w:t>
            </w:r>
          </w:p>
        </w:tc>
        <w:tc>
          <w:tcPr>
            <w:tcW w:w="1286" w:type="dxa"/>
            <w:vAlign w:val="center"/>
          </w:tcPr>
          <w:p w:rsidR="000F397F" w:rsidRDefault="0015641A">
            <w:pPr>
              <w:jc w:val="center"/>
            </w:pPr>
            <w:r>
              <w:rPr>
                <w:color w:val="000000"/>
                <w:sz w:val="24"/>
              </w:rPr>
              <w:t>10.78%</w:t>
            </w:r>
          </w:p>
        </w:tc>
        <w:tc>
          <w:tcPr>
            <w:tcW w:w="1286" w:type="dxa"/>
            <w:vAlign w:val="center"/>
          </w:tcPr>
          <w:p w:rsidR="000F397F" w:rsidRDefault="0015641A">
            <w:pPr>
              <w:jc w:val="center"/>
            </w:pPr>
            <w:r>
              <w:rPr>
                <w:color w:val="000000"/>
                <w:sz w:val="24"/>
              </w:rPr>
              <w:t>0.06%</w:t>
            </w:r>
          </w:p>
        </w:tc>
        <w:tc>
          <w:tcPr>
            <w:tcW w:w="1285" w:type="dxa"/>
            <w:vAlign w:val="center"/>
          </w:tcPr>
          <w:p w:rsidR="000F397F" w:rsidRDefault="0015641A">
            <w:pPr>
              <w:jc w:val="center"/>
            </w:pPr>
            <w:r>
              <w:rPr>
                <w:color w:val="000000"/>
                <w:sz w:val="24"/>
              </w:rPr>
              <w:t>7.82%</w:t>
            </w:r>
          </w:p>
        </w:tc>
        <w:tc>
          <w:tcPr>
            <w:tcW w:w="1285" w:type="dxa"/>
            <w:vAlign w:val="center"/>
          </w:tcPr>
          <w:p w:rsidR="000F397F" w:rsidRDefault="0015641A">
            <w:pPr>
              <w:jc w:val="center"/>
            </w:pPr>
            <w:r>
              <w:rPr>
                <w:color w:val="000000"/>
                <w:sz w:val="24"/>
              </w:rPr>
              <w:t>0.03%</w:t>
            </w:r>
          </w:p>
        </w:tc>
        <w:tc>
          <w:tcPr>
            <w:tcW w:w="1285" w:type="dxa"/>
            <w:vAlign w:val="center"/>
          </w:tcPr>
          <w:p w:rsidR="000F397F" w:rsidRDefault="0015641A">
            <w:pPr>
              <w:jc w:val="center"/>
            </w:pPr>
            <w:r>
              <w:rPr>
                <w:color w:val="000000"/>
                <w:sz w:val="24"/>
              </w:rPr>
              <w:t>2.96%</w:t>
            </w:r>
          </w:p>
        </w:tc>
        <w:tc>
          <w:tcPr>
            <w:tcW w:w="1285" w:type="dxa"/>
            <w:vAlign w:val="center"/>
          </w:tcPr>
          <w:p w:rsidR="000F397F" w:rsidRDefault="0015641A">
            <w:pPr>
              <w:jc w:val="center"/>
            </w:pPr>
            <w:r>
              <w:rPr>
                <w:color w:val="000000"/>
                <w:sz w:val="24"/>
              </w:rPr>
              <w:t>0.03%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w:t>
      </w:r>
      <w:r w:rsidR="000A60D9" w:rsidRPr="007F52FA">
        <w:rPr>
          <w:color w:val="000000"/>
          <w:sz w:val="24"/>
        </w:rPr>
        <w:t>本基金自</w:t>
      </w:r>
      <w:r w:rsidR="000A60D9" w:rsidRPr="007F52FA">
        <w:rPr>
          <w:color w:val="000000"/>
          <w:sz w:val="24"/>
        </w:rPr>
        <w:t>2019</w:t>
      </w:r>
      <w:r w:rsidR="000A60D9" w:rsidRPr="007F52FA">
        <w:rPr>
          <w:color w:val="000000"/>
          <w:sz w:val="24"/>
        </w:rPr>
        <w:t>年</w:t>
      </w:r>
      <w:r w:rsidR="000A60D9" w:rsidRPr="007F52FA">
        <w:rPr>
          <w:color w:val="000000"/>
          <w:sz w:val="24"/>
        </w:rPr>
        <w:t>3</w:t>
      </w:r>
      <w:r w:rsidR="000A60D9" w:rsidRPr="007F52FA">
        <w:rPr>
          <w:color w:val="000000"/>
          <w:sz w:val="24"/>
        </w:rPr>
        <w:t>月</w:t>
      </w:r>
      <w:r w:rsidR="000A60D9" w:rsidRPr="007F52FA">
        <w:rPr>
          <w:color w:val="000000"/>
          <w:sz w:val="24"/>
        </w:rPr>
        <w:t>5</w:t>
      </w:r>
      <w:r w:rsidR="000A60D9" w:rsidRPr="007F52FA">
        <w:rPr>
          <w:color w:val="000000"/>
          <w:sz w:val="24"/>
        </w:rPr>
        <w:t>日起转为开放式运作，本基金的业绩比较基准由</w:t>
      </w:r>
      <w:r w:rsidR="000A60D9" w:rsidRPr="007F52FA">
        <w:rPr>
          <w:color w:val="000000"/>
          <w:sz w:val="24"/>
        </w:rPr>
        <w:t>“</w:t>
      </w:r>
      <w:r w:rsidR="000A60D9" w:rsidRPr="007F52FA">
        <w:rPr>
          <w:color w:val="000000"/>
          <w:sz w:val="24"/>
        </w:rPr>
        <w:t>两年期银行定期存款税后收益率</w:t>
      </w:r>
      <w:r w:rsidR="000A60D9" w:rsidRPr="007F52FA">
        <w:rPr>
          <w:color w:val="000000"/>
          <w:sz w:val="24"/>
        </w:rPr>
        <w:t>+1.25%”</w:t>
      </w:r>
      <w:r w:rsidR="000A60D9" w:rsidRPr="007F52FA">
        <w:rPr>
          <w:color w:val="000000"/>
          <w:sz w:val="24"/>
        </w:rPr>
        <w:t>变更为</w:t>
      </w:r>
      <w:r w:rsidR="000A60D9" w:rsidRPr="007F52FA">
        <w:rPr>
          <w:color w:val="000000"/>
          <w:sz w:val="24"/>
        </w:rPr>
        <w:t>“</w:t>
      </w:r>
      <w:r w:rsidR="000A60D9" w:rsidRPr="007F52FA">
        <w:rPr>
          <w:color w:val="000000"/>
          <w:sz w:val="24"/>
        </w:rPr>
        <w:t>中债综合全价指数收益率</w:t>
      </w:r>
      <w:r w:rsidR="000A60D9" w:rsidRPr="007F52FA">
        <w:rPr>
          <w:color w:val="000000"/>
          <w:sz w:val="24"/>
        </w:rPr>
        <w:t>”</w:t>
      </w:r>
      <w:r w:rsidR="000A60D9" w:rsidRPr="007F52FA">
        <w:rPr>
          <w:color w:val="000000"/>
          <w:sz w:val="24"/>
        </w:rPr>
        <w:t>，</w:t>
      </w:r>
      <w:r w:rsidR="000A60D9" w:rsidRPr="007F52FA">
        <w:rPr>
          <w:color w:val="000000"/>
          <w:sz w:val="24"/>
        </w:rPr>
        <w:t>3.2.2</w:t>
      </w:r>
      <w:r w:rsidR="000A60D9" w:rsidRPr="007F52FA">
        <w:rPr>
          <w:color w:val="000000"/>
          <w:sz w:val="24"/>
        </w:rPr>
        <w:t>同。</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交银境尚收益债券</w:t>
      </w:r>
      <w:r w:rsidR="00097CBA" w:rsidRPr="00E62358">
        <w:rPr>
          <w:rFonts w:ascii="Times New Roman" w:hAnsi="Times New Roman"/>
          <w:color w:val="auto"/>
        </w:rPr>
        <w:t>A</w:t>
      </w:r>
    </w:p>
    <w:p w:rsidR="00143C09" w:rsidRPr="00D564C7" w:rsidRDefault="0015641A"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511A2D0" wp14:editId="509FDCB4">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交银境尚收益债券</w:t>
      </w:r>
      <w:r w:rsidRPr="00E62358">
        <w:rPr>
          <w:rFonts w:ascii="Times New Roman" w:hAnsi="Times New Roman"/>
          <w:color w:val="auto"/>
        </w:rPr>
        <w:t>C</w:t>
      </w:r>
    </w:p>
    <w:p w:rsidR="001A59F9" w:rsidRPr="00D564C7" w:rsidRDefault="0015641A"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AD2B563" wp14:editId="708562CA">
            <wp:extent cx="5759450" cy="3372485"/>
            <wp:effectExtent l="0" t="0" r="0" b="0"/>
            <wp:docPr id="2" name="图片 2"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1C20F0" w:rsidRDefault="000B2C76" w:rsidP="001C20F0">
      <w:pPr>
        <w:pStyle w:val="20"/>
        <w:spacing w:before="29" w:after="0" w:line="288" w:lineRule="auto"/>
        <w:rPr>
          <w:rFonts w:ascii="Times New Roman" w:hAnsi="Times New Roman"/>
          <w:kern w:val="0"/>
          <w:szCs w:val="24"/>
        </w:rPr>
      </w:pPr>
      <w:bookmarkStart w:id="37" w:name="_Toc249760033"/>
      <w:bookmarkStart w:id="38" w:name="_Toc361324853"/>
      <w:bookmarkStart w:id="39" w:name="_Toc35966115"/>
      <w:r w:rsidRPr="001C20F0">
        <w:rPr>
          <w:rFonts w:ascii="Times New Roman" w:hAnsi="Times New Roman"/>
          <w:kern w:val="0"/>
          <w:szCs w:val="24"/>
        </w:rPr>
        <w:t>3.3</w:t>
      </w:r>
      <w:r w:rsidRPr="001C20F0">
        <w:rPr>
          <w:rFonts w:ascii="Times New Roman" w:hAnsi="Times New Roman" w:hint="eastAsia"/>
          <w:kern w:val="0"/>
          <w:szCs w:val="24"/>
        </w:rPr>
        <w:t>过去三年基金的利润分配情况</w:t>
      </w:r>
      <w:bookmarkEnd w:id="37"/>
      <w:bookmarkEnd w:id="38"/>
      <w:bookmarkEnd w:id="3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交银境尚收益债券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F397F">
        <w:trPr>
          <w:jc w:val="center"/>
        </w:trPr>
        <w:tc>
          <w:tcPr>
            <w:tcW w:w="1157" w:type="dxa"/>
            <w:vAlign w:val="center"/>
          </w:tcPr>
          <w:p w:rsidR="000F397F" w:rsidRDefault="0015641A">
            <w:pPr>
              <w:jc w:val="center"/>
            </w:pPr>
            <w:r>
              <w:rPr>
                <w:color w:val="000000"/>
                <w:sz w:val="24"/>
              </w:rPr>
              <w:t>2019</w:t>
            </w:r>
            <w:r>
              <w:rPr>
                <w:color w:val="000000"/>
                <w:sz w:val="24"/>
              </w:rPr>
              <w:t>年</w:t>
            </w:r>
          </w:p>
        </w:tc>
        <w:tc>
          <w:tcPr>
            <w:tcW w:w="1378" w:type="dxa"/>
            <w:vAlign w:val="center"/>
          </w:tcPr>
          <w:p w:rsidR="000F397F" w:rsidRDefault="0015641A">
            <w:pPr>
              <w:jc w:val="right"/>
            </w:pPr>
            <w:r>
              <w:rPr>
                <w:color w:val="000000"/>
                <w:sz w:val="24"/>
              </w:rPr>
              <w:t>0.550</w:t>
            </w:r>
          </w:p>
        </w:tc>
        <w:tc>
          <w:tcPr>
            <w:tcW w:w="1839" w:type="dxa"/>
            <w:vAlign w:val="center"/>
          </w:tcPr>
          <w:p w:rsidR="000F397F" w:rsidRDefault="0015641A">
            <w:pPr>
              <w:jc w:val="right"/>
            </w:pPr>
            <w:r>
              <w:rPr>
                <w:color w:val="000000"/>
                <w:sz w:val="24"/>
              </w:rPr>
              <w:t>47,694,420.95</w:t>
            </w:r>
          </w:p>
        </w:tc>
        <w:tc>
          <w:tcPr>
            <w:tcW w:w="1950" w:type="dxa"/>
            <w:vAlign w:val="center"/>
          </w:tcPr>
          <w:p w:rsidR="000F397F" w:rsidRDefault="0015641A">
            <w:pPr>
              <w:jc w:val="right"/>
            </w:pPr>
            <w:r>
              <w:rPr>
                <w:color w:val="000000"/>
                <w:sz w:val="24"/>
              </w:rPr>
              <w:t>0.00</w:t>
            </w:r>
          </w:p>
        </w:tc>
        <w:tc>
          <w:tcPr>
            <w:tcW w:w="1894" w:type="dxa"/>
            <w:vAlign w:val="center"/>
          </w:tcPr>
          <w:p w:rsidR="000F397F" w:rsidRDefault="0015641A">
            <w:pPr>
              <w:jc w:val="right"/>
            </w:pPr>
            <w:r>
              <w:rPr>
                <w:color w:val="000000"/>
                <w:sz w:val="24"/>
              </w:rPr>
              <w:t>47,694,420.95</w:t>
            </w:r>
          </w:p>
        </w:tc>
        <w:tc>
          <w:tcPr>
            <w:tcW w:w="1068" w:type="dxa"/>
            <w:vAlign w:val="center"/>
          </w:tcPr>
          <w:p w:rsidR="000F397F" w:rsidRDefault="0015641A">
            <w:pPr>
              <w:jc w:val="left"/>
            </w:pPr>
            <w:r>
              <w:rPr>
                <w:color w:val="000000"/>
                <w:sz w:val="24"/>
              </w:rPr>
              <w:t>-</w:t>
            </w:r>
          </w:p>
        </w:tc>
      </w:tr>
      <w:tr w:rsidR="000F397F">
        <w:trPr>
          <w:jc w:val="center"/>
        </w:trPr>
        <w:tc>
          <w:tcPr>
            <w:tcW w:w="1157" w:type="dxa"/>
            <w:vAlign w:val="center"/>
          </w:tcPr>
          <w:p w:rsidR="000F397F" w:rsidRDefault="0015641A">
            <w:pPr>
              <w:jc w:val="center"/>
            </w:pPr>
            <w:r>
              <w:rPr>
                <w:color w:val="000000"/>
                <w:sz w:val="24"/>
              </w:rPr>
              <w:t>2018</w:t>
            </w:r>
            <w:r>
              <w:rPr>
                <w:color w:val="000000"/>
                <w:sz w:val="24"/>
              </w:rPr>
              <w:t>年</w:t>
            </w:r>
          </w:p>
        </w:tc>
        <w:tc>
          <w:tcPr>
            <w:tcW w:w="1378" w:type="dxa"/>
            <w:vAlign w:val="center"/>
          </w:tcPr>
          <w:p w:rsidR="000F397F" w:rsidRDefault="0015641A">
            <w:pPr>
              <w:jc w:val="right"/>
            </w:pPr>
            <w:r>
              <w:rPr>
                <w:color w:val="000000"/>
                <w:sz w:val="24"/>
              </w:rPr>
              <w:t>0.074</w:t>
            </w:r>
          </w:p>
        </w:tc>
        <w:tc>
          <w:tcPr>
            <w:tcW w:w="1839" w:type="dxa"/>
            <w:vAlign w:val="center"/>
          </w:tcPr>
          <w:p w:rsidR="000F397F" w:rsidRDefault="0015641A">
            <w:pPr>
              <w:jc w:val="right"/>
            </w:pPr>
            <w:r>
              <w:rPr>
                <w:color w:val="000000"/>
                <w:sz w:val="24"/>
              </w:rPr>
              <w:t>6,417,069.51</w:t>
            </w:r>
          </w:p>
        </w:tc>
        <w:tc>
          <w:tcPr>
            <w:tcW w:w="1950" w:type="dxa"/>
            <w:vAlign w:val="center"/>
          </w:tcPr>
          <w:p w:rsidR="000F397F" w:rsidRDefault="0015641A">
            <w:pPr>
              <w:jc w:val="right"/>
            </w:pPr>
            <w:r>
              <w:rPr>
                <w:color w:val="000000"/>
                <w:sz w:val="24"/>
              </w:rPr>
              <w:t>0.00</w:t>
            </w:r>
          </w:p>
        </w:tc>
        <w:tc>
          <w:tcPr>
            <w:tcW w:w="1894" w:type="dxa"/>
            <w:vAlign w:val="center"/>
          </w:tcPr>
          <w:p w:rsidR="000F397F" w:rsidRDefault="0015641A">
            <w:pPr>
              <w:jc w:val="right"/>
            </w:pPr>
            <w:r>
              <w:rPr>
                <w:color w:val="000000"/>
                <w:sz w:val="24"/>
              </w:rPr>
              <w:t>6,417,069.51</w:t>
            </w:r>
          </w:p>
        </w:tc>
        <w:tc>
          <w:tcPr>
            <w:tcW w:w="1068" w:type="dxa"/>
            <w:vAlign w:val="center"/>
          </w:tcPr>
          <w:p w:rsidR="000F397F" w:rsidRDefault="0015641A">
            <w:pPr>
              <w:jc w:val="left"/>
            </w:pPr>
            <w:r>
              <w:rPr>
                <w:color w:val="000000"/>
                <w:sz w:val="24"/>
              </w:rPr>
              <w:t>-</w:t>
            </w:r>
          </w:p>
        </w:tc>
      </w:tr>
      <w:tr w:rsidR="000F397F">
        <w:trPr>
          <w:jc w:val="center"/>
        </w:trPr>
        <w:tc>
          <w:tcPr>
            <w:tcW w:w="1157" w:type="dxa"/>
            <w:vAlign w:val="center"/>
          </w:tcPr>
          <w:p w:rsidR="000F397F" w:rsidRDefault="0015641A">
            <w:pPr>
              <w:jc w:val="center"/>
            </w:pPr>
            <w:r>
              <w:rPr>
                <w:color w:val="000000"/>
                <w:sz w:val="24"/>
              </w:rPr>
              <w:t>2017</w:t>
            </w:r>
            <w:r>
              <w:rPr>
                <w:color w:val="000000"/>
                <w:sz w:val="24"/>
              </w:rPr>
              <w:t>年</w:t>
            </w:r>
          </w:p>
        </w:tc>
        <w:tc>
          <w:tcPr>
            <w:tcW w:w="1378" w:type="dxa"/>
            <w:vAlign w:val="center"/>
          </w:tcPr>
          <w:p w:rsidR="000F397F" w:rsidRDefault="0015641A">
            <w:pPr>
              <w:jc w:val="right"/>
            </w:pPr>
            <w:r>
              <w:rPr>
                <w:color w:val="000000"/>
                <w:sz w:val="24"/>
              </w:rPr>
              <w:t>-</w:t>
            </w:r>
          </w:p>
        </w:tc>
        <w:tc>
          <w:tcPr>
            <w:tcW w:w="1839" w:type="dxa"/>
            <w:vAlign w:val="center"/>
          </w:tcPr>
          <w:p w:rsidR="000F397F" w:rsidRDefault="0015641A">
            <w:pPr>
              <w:jc w:val="right"/>
            </w:pPr>
            <w:r>
              <w:rPr>
                <w:color w:val="000000"/>
                <w:sz w:val="24"/>
              </w:rPr>
              <w:t>-</w:t>
            </w:r>
          </w:p>
        </w:tc>
        <w:tc>
          <w:tcPr>
            <w:tcW w:w="1950" w:type="dxa"/>
            <w:vAlign w:val="center"/>
          </w:tcPr>
          <w:p w:rsidR="000F397F" w:rsidRDefault="0015641A">
            <w:pPr>
              <w:jc w:val="right"/>
            </w:pPr>
            <w:r>
              <w:rPr>
                <w:color w:val="000000"/>
                <w:sz w:val="24"/>
              </w:rPr>
              <w:t>-</w:t>
            </w:r>
          </w:p>
        </w:tc>
        <w:tc>
          <w:tcPr>
            <w:tcW w:w="1894" w:type="dxa"/>
            <w:vAlign w:val="center"/>
          </w:tcPr>
          <w:p w:rsidR="000F397F" w:rsidRDefault="0015641A">
            <w:pPr>
              <w:jc w:val="right"/>
            </w:pPr>
            <w:r>
              <w:rPr>
                <w:color w:val="000000"/>
                <w:sz w:val="24"/>
              </w:rPr>
              <w:t>-</w:t>
            </w:r>
          </w:p>
        </w:tc>
        <w:tc>
          <w:tcPr>
            <w:tcW w:w="1068" w:type="dxa"/>
            <w:vAlign w:val="center"/>
          </w:tcPr>
          <w:p w:rsidR="000F397F" w:rsidRDefault="0015641A">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0.624</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54,111,490.46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54,111,490.46</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交银境尚收益债券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F397F">
        <w:trPr>
          <w:jc w:val="center"/>
        </w:trPr>
        <w:tc>
          <w:tcPr>
            <w:tcW w:w="1157" w:type="dxa"/>
            <w:vAlign w:val="center"/>
          </w:tcPr>
          <w:p w:rsidR="000F397F" w:rsidRDefault="0015641A">
            <w:pPr>
              <w:jc w:val="center"/>
            </w:pPr>
            <w:r>
              <w:rPr>
                <w:color w:val="000000"/>
                <w:sz w:val="24"/>
              </w:rPr>
              <w:lastRenderedPageBreak/>
              <w:t>2019</w:t>
            </w:r>
            <w:r>
              <w:rPr>
                <w:color w:val="000000"/>
                <w:sz w:val="24"/>
              </w:rPr>
              <w:t>年</w:t>
            </w:r>
          </w:p>
        </w:tc>
        <w:tc>
          <w:tcPr>
            <w:tcW w:w="1378" w:type="dxa"/>
            <w:vAlign w:val="center"/>
          </w:tcPr>
          <w:p w:rsidR="000F397F" w:rsidRDefault="0015641A">
            <w:pPr>
              <w:jc w:val="right"/>
            </w:pPr>
            <w:r>
              <w:rPr>
                <w:color w:val="000000"/>
                <w:sz w:val="24"/>
              </w:rPr>
              <w:t>0.500</w:t>
            </w:r>
          </w:p>
        </w:tc>
        <w:tc>
          <w:tcPr>
            <w:tcW w:w="1839" w:type="dxa"/>
            <w:vAlign w:val="center"/>
          </w:tcPr>
          <w:p w:rsidR="000F397F" w:rsidRDefault="0015641A">
            <w:pPr>
              <w:jc w:val="right"/>
            </w:pPr>
            <w:r>
              <w:rPr>
                <w:color w:val="000000"/>
                <w:sz w:val="24"/>
              </w:rPr>
              <w:t>979,573.89</w:t>
            </w:r>
          </w:p>
        </w:tc>
        <w:tc>
          <w:tcPr>
            <w:tcW w:w="1950" w:type="dxa"/>
            <w:vAlign w:val="center"/>
          </w:tcPr>
          <w:p w:rsidR="000F397F" w:rsidRDefault="0015641A">
            <w:pPr>
              <w:jc w:val="right"/>
            </w:pPr>
            <w:r>
              <w:rPr>
                <w:color w:val="000000"/>
                <w:sz w:val="24"/>
              </w:rPr>
              <w:t>0.00</w:t>
            </w:r>
          </w:p>
        </w:tc>
        <w:tc>
          <w:tcPr>
            <w:tcW w:w="1894" w:type="dxa"/>
            <w:vAlign w:val="center"/>
          </w:tcPr>
          <w:p w:rsidR="000F397F" w:rsidRDefault="0015641A">
            <w:pPr>
              <w:jc w:val="right"/>
            </w:pPr>
            <w:r>
              <w:rPr>
                <w:color w:val="000000"/>
                <w:sz w:val="24"/>
              </w:rPr>
              <w:t>979,573.89</w:t>
            </w:r>
          </w:p>
        </w:tc>
        <w:tc>
          <w:tcPr>
            <w:tcW w:w="1068" w:type="dxa"/>
            <w:vAlign w:val="center"/>
          </w:tcPr>
          <w:p w:rsidR="000F397F" w:rsidRDefault="0015641A">
            <w:pPr>
              <w:jc w:val="left"/>
            </w:pPr>
            <w:r>
              <w:rPr>
                <w:color w:val="000000"/>
                <w:sz w:val="24"/>
              </w:rPr>
              <w:t>-</w:t>
            </w:r>
          </w:p>
        </w:tc>
      </w:tr>
      <w:tr w:rsidR="000F397F">
        <w:trPr>
          <w:jc w:val="center"/>
        </w:trPr>
        <w:tc>
          <w:tcPr>
            <w:tcW w:w="1157" w:type="dxa"/>
            <w:vAlign w:val="center"/>
          </w:tcPr>
          <w:p w:rsidR="000F397F" w:rsidRDefault="0015641A">
            <w:pPr>
              <w:jc w:val="center"/>
            </w:pPr>
            <w:r>
              <w:rPr>
                <w:color w:val="000000"/>
                <w:sz w:val="24"/>
              </w:rPr>
              <w:t>2018</w:t>
            </w:r>
            <w:r>
              <w:rPr>
                <w:color w:val="000000"/>
                <w:sz w:val="24"/>
              </w:rPr>
              <w:t>年</w:t>
            </w:r>
          </w:p>
        </w:tc>
        <w:tc>
          <w:tcPr>
            <w:tcW w:w="1378" w:type="dxa"/>
            <w:vAlign w:val="center"/>
          </w:tcPr>
          <w:p w:rsidR="000F397F" w:rsidRDefault="0015641A">
            <w:pPr>
              <w:jc w:val="right"/>
            </w:pPr>
            <w:r>
              <w:rPr>
                <w:color w:val="000000"/>
                <w:sz w:val="24"/>
              </w:rPr>
              <w:t>0.024</w:t>
            </w:r>
          </w:p>
        </w:tc>
        <w:tc>
          <w:tcPr>
            <w:tcW w:w="1839" w:type="dxa"/>
            <w:vAlign w:val="center"/>
          </w:tcPr>
          <w:p w:rsidR="000F397F" w:rsidRDefault="0015641A">
            <w:pPr>
              <w:jc w:val="right"/>
            </w:pPr>
            <w:r>
              <w:rPr>
                <w:color w:val="000000"/>
                <w:sz w:val="24"/>
              </w:rPr>
              <w:t>47,019.50</w:t>
            </w:r>
          </w:p>
        </w:tc>
        <w:tc>
          <w:tcPr>
            <w:tcW w:w="1950" w:type="dxa"/>
            <w:vAlign w:val="center"/>
          </w:tcPr>
          <w:p w:rsidR="000F397F" w:rsidRDefault="0015641A">
            <w:pPr>
              <w:jc w:val="right"/>
            </w:pPr>
            <w:r>
              <w:rPr>
                <w:color w:val="000000"/>
                <w:sz w:val="24"/>
              </w:rPr>
              <w:t>0.00</w:t>
            </w:r>
          </w:p>
        </w:tc>
        <w:tc>
          <w:tcPr>
            <w:tcW w:w="1894" w:type="dxa"/>
            <w:vAlign w:val="center"/>
          </w:tcPr>
          <w:p w:rsidR="000F397F" w:rsidRDefault="0015641A">
            <w:pPr>
              <w:jc w:val="right"/>
            </w:pPr>
            <w:r>
              <w:rPr>
                <w:color w:val="000000"/>
                <w:sz w:val="24"/>
              </w:rPr>
              <w:t>47,019.50</w:t>
            </w:r>
          </w:p>
        </w:tc>
        <w:tc>
          <w:tcPr>
            <w:tcW w:w="1068" w:type="dxa"/>
            <w:vAlign w:val="center"/>
          </w:tcPr>
          <w:p w:rsidR="000F397F" w:rsidRDefault="0015641A">
            <w:pPr>
              <w:jc w:val="left"/>
            </w:pPr>
            <w:r>
              <w:rPr>
                <w:color w:val="000000"/>
                <w:sz w:val="24"/>
              </w:rPr>
              <w:t>-</w:t>
            </w:r>
          </w:p>
        </w:tc>
      </w:tr>
      <w:tr w:rsidR="000F397F">
        <w:trPr>
          <w:jc w:val="center"/>
        </w:trPr>
        <w:tc>
          <w:tcPr>
            <w:tcW w:w="1157" w:type="dxa"/>
            <w:vAlign w:val="center"/>
          </w:tcPr>
          <w:p w:rsidR="000F397F" w:rsidRDefault="0015641A">
            <w:pPr>
              <w:jc w:val="center"/>
            </w:pPr>
            <w:r>
              <w:rPr>
                <w:color w:val="000000"/>
                <w:sz w:val="24"/>
              </w:rPr>
              <w:t>2017</w:t>
            </w:r>
            <w:r>
              <w:rPr>
                <w:color w:val="000000"/>
                <w:sz w:val="24"/>
              </w:rPr>
              <w:t>年</w:t>
            </w:r>
          </w:p>
        </w:tc>
        <w:tc>
          <w:tcPr>
            <w:tcW w:w="1378" w:type="dxa"/>
            <w:vAlign w:val="center"/>
          </w:tcPr>
          <w:p w:rsidR="000F397F" w:rsidRDefault="0015641A">
            <w:pPr>
              <w:jc w:val="right"/>
            </w:pPr>
            <w:r>
              <w:rPr>
                <w:color w:val="000000"/>
                <w:sz w:val="24"/>
              </w:rPr>
              <w:t>-</w:t>
            </w:r>
          </w:p>
        </w:tc>
        <w:tc>
          <w:tcPr>
            <w:tcW w:w="1839" w:type="dxa"/>
            <w:vAlign w:val="center"/>
          </w:tcPr>
          <w:p w:rsidR="000F397F" w:rsidRDefault="0015641A">
            <w:pPr>
              <w:jc w:val="right"/>
            </w:pPr>
            <w:r>
              <w:rPr>
                <w:color w:val="000000"/>
                <w:sz w:val="24"/>
              </w:rPr>
              <w:t>-</w:t>
            </w:r>
          </w:p>
        </w:tc>
        <w:tc>
          <w:tcPr>
            <w:tcW w:w="1950" w:type="dxa"/>
            <w:vAlign w:val="center"/>
          </w:tcPr>
          <w:p w:rsidR="000F397F" w:rsidRDefault="0015641A">
            <w:pPr>
              <w:jc w:val="right"/>
            </w:pPr>
            <w:r>
              <w:rPr>
                <w:color w:val="000000"/>
                <w:sz w:val="24"/>
              </w:rPr>
              <w:t>-</w:t>
            </w:r>
          </w:p>
        </w:tc>
        <w:tc>
          <w:tcPr>
            <w:tcW w:w="1894" w:type="dxa"/>
            <w:vAlign w:val="center"/>
          </w:tcPr>
          <w:p w:rsidR="000F397F" w:rsidRDefault="0015641A">
            <w:pPr>
              <w:jc w:val="right"/>
            </w:pPr>
            <w:r>
              <w:rPr>
                <w:color w:val="000000"/>
                <w:sz w:val="24"/>
              </w:rPr>
              <w:t>-</w:t>
            </w:r>
          </w:p>
        </w:tc>
        <w:tc>
          <w:tcPr>
            <w:tcW w:w="1068" w:type="dxa"/>
            <w:vAlign w:val="center"/>
          </w:tcPr>
          <w:p w:rsidR="000F397F" w:rsidRDefault="0015641A">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0.524</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1,026,593.39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1,026,593.39</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3596611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1C20F0" w:rsidRDefault="001A59F9" w:rsidP="001C20F0">
      <w:pPr>
        <w:pStyle w:val="20"/>
        <w:spacing w:before="29" w:after="0" w:line="288" w:lineRule="auto"/>
        <w:rPr>
          <w:rFonts w:ascii="Times New Roman" w:hAnsi="Times New Roman"/>
          <w:kern w:val="0"/>
          <w:szCs w:val="24"/>
        </w:rPr>
      </w:pPr>
      <w:bookmarkStart w:id="43" w:name="_Toc361324855"/>
      <w:bookmarkStart w:id="44" w:name="_Toc35966117"/>
      <w:r w:rsidRPr="001C20F0">
        <w:rPr>
          <w:rFonts w:ascii="Times New Roman" w:hAnsi="Times New Roman"/>
          <w:kern w:val="0"/>
          <w:szCs w:val="24"/>
        </w:rPr>
        <w:t xml:space="preserve">4.1 </w:t>
      </w:r>
      <w:r w:rsidRPr="001C20F0">
        <w:rPr>
          <w:rFonts w:ascii="Times New Roman" w:hAnsi="Times New Roman" w:hint="eastAsia"/>
          <w:kern w:val="0"/>
          <w:szCs w:val="24"/>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F397F" w:rsidRDefault="0015641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F397F">
        <w:tc>
          <w:tcPr>
            <w:tcW w:w="1276" w:type="dxa"/>
            <w:vAlign w:val="center"/>
          </w:tcPr>
          <w:p w:rsidR="000F397F" w:rsidRDefault="0015641A">
            <w:pPr>
              <w:jc w:val="center"/>
            </w:pPr>
            <w:r>
              <w:rPr>
                <w:color w:val="000000"/>
                <w:sz w:val="24"/>
              </w:rPr>
              <w:t>黄莹洁</w:t>
            </w:r>
          </w:p>
        </w:tc>
        <w:tc>
          <w:tcPr>
            <w:tcW w:w="1134" w:type="dxa"/>
            <w:vAlign w:val="center"/>
          </w:tcPr>
          <w:p w:rsidR="000F397F" w:rsidRDefault="0015641A">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w:t>
            </w:r>
            <w:r>
              <w:rPr>
                <w:color w:val="000000"/>
                <w:sz w:val="24"/>
              </w:rPr>
              <w:lastRenderedPageBreak/>
              <w:t>尚收益债券、交银稳鑫短债债券、交银稳利中短债债券的基金经理</w:t>
            </w:r>
          </w:p>
        </w:tc>
        <w:tc>
          <w:tcPr>
            <w:tcW w:w="1418" w:type="dxa"/>
            <w:vAlign w:val="center"/>
          </w:tcPr>
          <w:p w:rsidR="000F397F" w:rsidRDefault="0015641A">
            <w:pPr>
              <w:jc w:val="center"/>
            </w:pPr>
            <w:r>
              <w:rPr>
                <w:color w:val="000000"/>
                <w:sz w:val="24"/>
              </w:rPr>
              <w:lastRenderedPageBreak/>
              <w:t>2017-03-03</w:t>
            </w:r>
          </w:p>
        </w:tc>
        <w:tc>
          <w:tcPr>
            <w:tcW w:w="1275" w:type="dxa"/>
            <w:vAlign w:val="center"/>
          </w:tcPr>
          <w:p w:rsidR="000F397F" w:rsidRDefault="0015641A">
            <w:pPr>
              <w:jc w:val="center"/>
            </w:pPr>
            <w:r>
              <w:rPr>
                <w:color w:val="000000"/>
                <w:sz w:val="24"/>
              </w:rPr>
              <w:t>-</w:t>
            </w:r>
          </w:p>
        </w:tc>
        <w:tc>
          <w:tcPr>
            <w:tcW w:w="993" w:type="dxa"/>
            <w:vAlign w:val="center"/>
          </w:tcPr>
          <w:p w:rsidR="000F397F" w:rsidRDefault="0015641A">
            <w:pPr>
              <w:jc w:val="center"/>
            </w:pPr>
            <w:r>
              <w:rPr>
                <w:color w:val="000000"/>
                <w:sz w:val="24"/>
              </w:rPr>
              <w:t>11</w:t>
            </w:r>
            <w:r>
              <w:rPr>
                <w:color w:val="000000"/>
                <w:sz w:val="24"/>
              </w:rPr>
              <w:t>年</w:t>
            </w:r>
          </w:p>
        </w:tc>
        <w:tc>
          <w:tcPr>
            <w:tcW w:w="2902" w:type="dxa"/>
            <w:vAlign w:val="center"/>
          </w:tcPr>
          <w:p w:rsidR="000F397F" w:rsidRDefault="0015641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w:t>
            </w:r>
            <w:r>
              <w:rPr>
                <w:color w:val="000000"/>
                <w:sz w:val="24"/>
              </w:rPr>
              <w:lastRenderedPageBreak/>
              <w:t>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r w:rsidR="000F397F">
        <w:tc>
          <w:tcPr>
            <w:tcW w:w="1276" w:type="dxa"/>
            <w:vAlign w:val="center"/>
          </w:tcPr>
          <w:p w:rsidR="000F397F" w:rsidRDefault="0015641A">
            <w:pPr>
              <w:jc w:val="center"/>
            </w:pPr>
            <w:r>
              <w:rPr>
                <w:color w:val="000000"/>
                <w:sz w:val="24"/>
              </w:rPr>
              <w:lastRenderedPageBreak/>
              <w:t>连端清</w:t>
            </w:r>
          </w:p>
        </w:tc>
        <w:tc>
          <w:tcPr>
            <w:tcW w:w="1134" w:type="dxa"/>
            <w:vAlign w:val="center"/>
          </w:tcPr>
          <w:p w:rsidR="000F397F" w:rsidRDefault="0015641A">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18" w:type="dxa"/>
            <w:vAlign w:val="center"/>
          </w:tcPr>
          <w:p w:rsidR="000F397F" w:rsidRDefault="0015641A">
            <w:pPr>
              <w:jc w:val="center"/>
            </w:pPr>
            <w:r>
              <w:rPr>
                <w:color w:val="000000"/>
                <w:sz w:val="24"/>
              </w:rPr>
              <w:t>2017-03-03</w:t>
            </w:r>
          </w:p>
        </w:tc>
        <w:tc>
          <w:tcPr>
            <w:tcW w:w="1275" w:type="dxa"/>
            <w:vAlign w:val="center"/>
          </w:tcPr>
          <w:p w:rsidR="000F397F" w:rsidRDefault="0015641A">
            <w:pPr>
              <w:jc w:val="center"/>
            </w:pPr>
            <w:r>
              <w:rPr>
                <w:color w:val="000000"/>
                <w:sz w:val="24"/>
              </w:rPr>
              <w:t>2019-09-30</w:t>
            </w:r>
          </w:p>
        </w:tc>
        <w:tc>
          <w:tcPr>
            <w:tcW w:w="993" w:type="dxa"/>
            <w:vAlign w:val="center"/>
          </w:tcPr>
          <w:p w:rsidR="000F397F" w:rsidRDefault="0015641A">
            <w:pPr>
              <w:jc w:val="center"/>
            </w:pPr>
            <w:r>
              <w:rPr>
                <w:color w:val="000000"/>
                <w:sz w:val="24"/>
              </w:rPr>
              <w:t>6</w:t>
            </w:r>
            <w:r>
              <w:rPr>
                <w:color w:val="000000"/>
                <w:sz w:val="24"/>
              </w:rPr>
              <w:t>年</w:t>
            </w:r>
          </w:p>
        </w:tc>
        <w:tc>
          <w:tcPr>
            <w:tcW w:w="2902" w:type="dxa"/>
            <w:vAlign w:val="center"/>
          </w:tcPr>
          <w:p w:rsidR="000F397F" w:rsidRDefault="0015641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w:t>
            </w:r>
            <w:r>
              <w:rPr>
                <w:color w:val="000000"/>
                <w:sz w:val="24"/>
              </w:rPr>
              <w:lastRenderedPageBreak/>
              <w:t>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0F397F" w:rsidRDefault="0015641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F397F" w:rsidRDefault="0015641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1C20F0" w:rsidRDefault="001A59F9" w:rsidP="001C20F0">
      <w:pPr>
        <w:pStyle w:val="20"/>
        <w:spacing w:before="29" w:after="0" w:line="288" w:lineRule="auto"/>
        <w:rPr>
          <w:rFonts w:ascii="Times New Roman" w:hAnsi="Times New Roman"/>
          <w:kern w:val="0"/>
          <w:szCs w:val="24"/>
        </w:rPr>
      </w:pPr>
      <w:bookmarkStart w:id="45" w:name="_Toc225498256"/>
      <w:bookmarkStart w:id="46" w:name="_Toc361324856"/>
      <w:bookmarkStart w:id="47" w:name="_Toc35966118"/>
      <w:r w:rsidRPr="001C20F0">
        <w:rPr>
          <w:rFonts w:ascii="Times New Roman" w:hAnsi="Times New Roman"/>
          <w:kern w:val="0"/>
          <w:szCs w:val="24"/>
        </w:rPr>
        <w:t xml:space="preserve">4.2 </w:t>
      </w:r>
      <w:r w:rsidRPr="001C20F0">
        <w:rPr>
          <w:rFonts w:ascii="Times New Roman" w:hAnsi="Times New Roman" w:hint="eastAsia"/>
          <w:kern w:val="0"/>
          <w:szCs w:val="24"/>
        </w:rPr>
        <w:t>管理人对报告期内本基金运作遵规守信情况的说明</w:t>
      </w:r>
      <w:bookmarkEnd w:id="45"/>
      <w:bookmarkEnd w:id="46"/>
      <w:bookmarkEnd w:id="47"/>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48" w:name="_Toc225498257"/>
      <w:bookmarkStart w:id="49" w:name="_Toc361324857"/>
      <w:bookmarkStart w:id="50" w:name="_Toc35966119"/>
      <w:r w:rsidRPr="001C20F0">
        <w:rPr>
          <w:rFonts w:ascii="Times New Roman" w:hAnsi="Times New Roman"/>
          <w:kern w:val="0"/>
          <w:szCs w:val="24"/>
        </w:rPr>
        <w:t xml:space="preserve">4.3 </w:t>
      </w:r>
      <w:r w:rsidRPr="001C20F0">
        <w:rPr>
          <w:rFonts w:ascii="Times New Roman" w:hAnsi="Times New Roman" w:hint="eastAsia"/>
          <w:kern w:val="0"/>
          <w:szCs w:val="24"/>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F397F" w:rsidRDefault="0015641A">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F397F" w:rsidRDefault="0015641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F397F" w:rsidRDefault="0015641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F397F" w:rsidRDefault="0015641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F397F" w:rsidRDefault="0015641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w:t>
      </w:r>
      <w:r w:rsidRPr="00A40DA7">
        <w:rPr>
          <w:kern w:val="0"/>
          <w:sz w:val="24"/>
        </w:rPr>
        <w:lastRenderedPageBreak/>
        <w:t>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0F397F" w:rsidRDefault="0015641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F397F" w:rsidRDefault="0015641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F397F" w:rsidRDefault="0015641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51" w:name="_Toc225498258"/>
      <w:bookmarkStart w:id="52" w:name="_Toc361324858"/>
      <w:bookmarkStart w:id="53" w:name="_Toc35966120"/>
      <w:r w:rsidRPr="001C20F0">
        <w:rPr>
          <w:rFonts w:ascii="Times New Roman" w:hAnsi="Times New Roman"/>
          <w:kern w:val="0"/>
          <w:szCs w:val="24"/>
        </w:rPr>
        <w:t xml:space="preserve">4.4 </w:t>
      </w:r>
      <w:r w:rsidRPr="001C20F0">
        <w:rPr>
          <w:rFonts w:ascii="Times New Roman" w:hAnsi="Times New Roman" w:hint="eastAsia"/>
          <w:kern w:val="0"/>
          <w:szCs w:val="24"/>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F397F" w:rsidRDefault="0015641A">
      <w:pPr>
        <w:spacing w:before="29" w:line="288" w:lineRule="auto"/>
        <w:ind w:firstLineChars="200" w:firstLine="480"/>
        <w:rPr>
          <w:kern w:val="0"/>
          <w:sz w:val="24"/>
        </w:rPr>
      </w:pPr>
      <w:r>
        <w:rPr>
          <w:kern w:val="0"/>
          <w:sz w:val="24"/>
        </w:rPr>
        <w:t>本报告期内，在经济数据季节性波动、贸易摩擦反复以及通胀预期变化等因素的影响下，长端利率债呈区间波动的态势，以十年国债收益率衡量，年内最高和最低分别为</w:t>
      </w:r>
      <w:r>
        <w:rPr>
          <w:kern w:val="0"/>
          <w:sz w:val="24"/>
        </w:rPr>
        <w:t>3.43%</w:t>
      </w:r>
      <w:r>
        <w:rPr>
          <w:kern w:val="0"/>
          <w:sz w:val="24"/>
        </w:rPr>
        <w:t>和</w:t>
      </w:r>
      <w:r>
        <w:rPr>
          <w:kern w:val="0"/>
          <w:sz w:val="24"/>
        </w:rPr>
        <w:t>3.00%</w:t>
      </w:r>
      <w:r>
        <w:rPr>
          <w:kern w:val="0"/>
          <w:sz w:val="24"/>
        </w:rPr>
        <w:t>，振幅</w:t>
      </w:r>
      <w:r>
        <w:rPr>
          <w:kern w:val="0"/>
          <w:sz w:val="24"/>
        </w:rPr>
        <w:t>43bp</w:t>
      </w:r>
      <w:r>
        <w:rPr>
          <w:kern w:val="0"/>
          <w:sz w:val="24"/>
        </w:rPr>
        <w:t>。货币政策流动性方面，全年整体呈现</w:t>
      </w:r>
      <w:r>
        <w:rPr>
          <w:kern w:val="0"/>
          <w:sz w:val="24"/>
        </w:rPr>
        <w:t>“</w:t>
      </w:r>
      <w:r>
        <w:rPr>
          <w:kern w:val="0"/>
          <w:sz w:val="24"/>
        </w:rPr>
        <w:t>宽货币、宽信用</w:t>
      </w:r>
      <w:r>
        <w:rPr>
          <w:kern w:val="0"/>
          <w:sz w:val="24"/>
        </w:rPr>
        <w:t>”</w:t>
      </w:r>
      <w:r>
        <w:rPr>
          <w:kern w:val="0"/>
          <w:sz w:val="24"/>
        </w:rPr>
        <w:t>的格局，在此影响下，中短端品种由于确定性更高，受到机构配置盘的青睐，收益率下行明显，收益率曲线整体陡峭化。信用债市场，票息较高的</w:t>
      </w:r>
      <w:r>
        <w:rPr>
          <w:kern w:val="0"/>
          <w:sz w:val="24"/>
        </w:rPr>
        <w:t>AA</w:t>
      </w:r>
      <w:r>
        <w:rPr>
          <w:kern w:val="0"/>
          <w:sz w:val="24"/>
        </w:rPr>
        <w:t>城投表现较好，信用等级利差压缩明显。</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基金操作方面，由于组合规模相对较小，本基金以配置利率债为主，根据市场变化合理调整组合久期，努力为持有人创造稳健的收益。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54" w:name="_Toc225498259"/>
      <w:bookmarkStart w:id="55" w:name="_Toc361324859"/>
      <w:bookmarkStart w:id="56" w:name="_Toc35966121"/>
      <w:r w:rsidRPr="001C20F0">
        <w:rPr>
          <w:rFonts w:ascii="Times New Roman" w:hAnsi="Times New Roman"/>
          <w:kern w:val="0"/>
          <w:szCs w:val="24"/>
        </w:rPr>
        <w:t xml:space="preserve">4.5 </w:t>
      </w:r>
      <w:r w:rsidRPr="001C20F0">
        <w:rPr>
          <w:rFonts w:ascii="Times New Roman" w:hAnsi="Times New Roman" w:hint="eastAsia"/>
          <w:kern w:val="0"/>
          <w:szCs w:val="24"/>
        </w:rPr>
        <w:t>管理人对宏观经济、证券市场及行业走势的简要展望</w:t>
      </w:r>
      <w:bookmarkEnd w:id="54"/>
      <w:bookmarkEnd w:id="55"/>
      <w:bookmarkEnd w:id="56"/>
    </w:p>
    <w:p w:rsidR="000F397F" w:rsidRDefault="0015641A">
      <w:pPr>
        <w:spacing w:before="29" w:line="288" w:lineRule="auto"/>
        <w:ind w:firstLineChars="200" w:firstLine="480"/>
        <w:rPr>
          <w:kern w:val="0"/>
          <w:sz w:val="24"/>
        </w:rPr>
      </w:pPr>
      <w:r>
        <w:rPr>
          <w:kern w:val="0"/>
          <w:sz w:val="24"/>
        </w:rPr>
        <w:t>展望</w:t>
      </w:r>
      <w:r>
        <w:rPr>
          <w:kern w:val="0"/>
          <w:sz w:val="24"/>
        </w:rPr>
        <w:t>2020</w:t>
      </w:r>
      <w:r>
        <w:rPr>
          <w:kern w:val="0"/>
          <w:sz w:val="24"/>
        </w:rPr>
        <w:t>年，经济企稳预期增强、专项债供给仍会对债市构成潜在冲击。通胀年初录得高点之后逐渐回落，猪肉和油价供给弹性影响通胀预期，但结构性通胀对货币政策掣肘有限。在全面建成小康社会之年，政策基调以稳为主，操作上多基于底线思维，流动性预计保持合理充裕。预计债市延续震荡行情，票息策略更占优。</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组合操作方面，本基金将维持中性久期，在保持组合流动性的前提下密切关注长端利率债的交易窗口。</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57" w:name="_Toc247959456"/>
      <w:bookmarkStart w:id="58" w:name="_Toc245801806"/>
      <w:bookmarkStart w:id="59" w:name="_Toc361324860"/>
      <w:bookmarkStart w:id="60" w:name="_Toc35966122"/>
      <w:r w:rsidRPr="001C20F0">
        <w:rPr>
          <w:rFonts w:ascii="Times New Roman" w:hAnsi="Times New Roman"/>
          <w:kern w:val="0"/>
          <w:szCs w:val="24"/>
        </w:rPr>
        <w:t xml:space="preserve">4.6 </w:t>
      </w:r>
      <w:r w:rsidRPr="001C20F0">
        <w:rPr>
          <w:rFonts w:ascii="Times New Roman" w:hAnsi="Times New Roman" w:hint="eastAsia"/>
          <w:kern w:val="0"/>
          <w:szCs w:val="24"/>
        </w:rPr>
        <w:t>管理人内部有关本基金的监察稽核工作情况</w:t>
      </w:r>
      <w:bookmarkEnd w:id="57"/>
      <w:bookmarkEnd w:id="58"/>
      <w:bookmarkEnd w:id="59"/>
      <w:bookmarkEnd w:id="60"/>
    </w:p>
    <w:p w:rsidR="000F397F" w:rsidRDefault="0015641A">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F397F" w:rsidRDefault="0015641A">
      <w:pPr>
        <w:spacing w:before="29" w:line="288" w:lineRule="auto"/>
        <w:ind w:firstLineChars="200" w:firstLine="480"/>
        <w:rPr>
          <w:kern w:val="0"/>
          <w:sz w:val="24"/>
        </w:rPr>
      </w:pPr>
      <w:r>
        <w:rPr>
          <w:kern w:val="0"/>
          <w:sz w:val="24"/>
        </w:rPr>
        <w:t>本报告期内，本基金管理人为了确保公司业务的规范运作，主要做了以下工作：</w:t>
      </w:r>
    </w:p>
    <w:p w:rsidR="000F397F" w:rsidRDefault="0015641A">
      <w:pPr>
        <w:spacing w:before="29" w:line="288" w:lineRule="auto"/>
        <w:ind w:firstLineChars="200" w:firstLine="480"/>
        <w:rPr>
          <w:kern w:val="0"/>
          <w:sz w:val="24"/>
        </w:rPr>
      </w:pPr>
      <w:r>
        <w:rPr>
          <w:kern w:val="0"/>
          <w:sz w:val="24"/>
        </w:rPr>
        <w:t>（一）继续深化全面风险管理，提高风险控制有效性。</w:t>
      </w:r>
    </w:p>
    <w:p w:rsidR="000F397F" w:rsidRDefault="0015641A">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0F397F" w:rsidRDefault="0015641A">
      <w:pPr>
        <w:spacing w:before="29" w:line="288" w:lineRule="auto"/>
        <w:ind w:firstLineChars="200" w:firstLine="480"/>
        <w:rPr>
          <w:kern w:val="0"/>
          <w:sz w:val="24"/>
        </w:rPr>
      </w:pPr>
      <w:r>
        <w:rPr>
          <w:kern w:val="0"/>
          <w:sz w:val="24"/>
        </w:rPr>
        <w:t>（二）全面开展内部监督检查，强化公司内部控制。</w:t>
      </w:r>
    </w:p>
    <w:p w:rsidR="000F397F" w:rsidRDefault="0015641A">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F397F" w:rsidRDefault="0015641A">
      <w:pPr>
        <w:spacing w:before="29" w:line="288" w:lineRule="auto"/>
        <w:ind w:firstLineChars="200" w:firstLine="480"/>
        <w:rPr>
          <w:kern w:val="0"/>
          <w:sz w:val="24"/>
        </w:rPr>
      </w:pPr>
      <w:r>
        <w:rPr>
          <w:kern w:val="0"/>
          <w:sz w:val="24"/>
        </w:rPr>
        <w:t>（三）强化全员合规理念，突出重点，全面提升法律、合规管理水平。</w:t>
      </w:r>
    </w:p>
    <w:p w:rsidR="000F397F" w:rsidRDefault="0015641A">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0F397F" w:rsidRDefault="0015641A">
      <w:pPr>
        <w:spacing w:before="29" w:line="288" w:lineRule="auto"/>
        <w:ind w:firstLineChars="200" w:firstLine="480"/>
        <w:rPr>
          <w:kern w:val="0"/>
          <w:sz w:val="24"/>
        </w:rPr>
      </w:pPr>
      <w:r>
        <w:rPr>
          <w:kern w:val="0"/>
          <w:sz w:val="24"/>
        </w:rPr>
        <w:lastRenderedPageBreak/>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1C20F0" w:rsidRDefault="001A59F9" w:rsidP="001C20F0">
      <w:pPr>
        <w:spacing w:before="29" w:line="288" w:lineRule="auto"/>
        <w:ind w:firstLineChars="200" w:firstLine="420"/>
        <w:rPr>
          <w:kern w:val="0"/>
        </w:rPr>
      </w:pPr>
    </w:p>
    <w:p w:rsidR="001A59F9" w:rsidRPr="001C20F0" w:rsidRDefault="001A59F9" w:rsidP="001C20F0">
      <w:pPr>
        <w:pStyle w:val="20"/>
        <w:spacing w:before="29" w:after="0" w:line="288" w:lineRule="auto"/>
        <w:rPr>
          <w:rFonts w:ascii="Times New Roman" w:hAnsi="Times New Roman"/>
          <w:kern w:val="0"/>
          <w:szCs w:val="24"/>
        </w:rPr>
      </w:pPr>
      <w:bookmarkStart w:id="61" w:name="_Toc247959457"/>
      <w:bookmarkStart w:id="62" w:name="_Toc225570083"/>
      <w:bookmarkStart w:id="63" w:name="_Toc361324861"/>
      <w:bookmarkStart w:id="64" w:name="_Toc35966123"/>
      <w:r w:rsidRPr="001C20F0">
        <w:rPr>
          <w:rFonts w:ascii="Times New Roman" w:hAnsi="Times New Roman"/>
          <w:kern w:val="0"/>
          <w:szCs w:val="24"/>
        </w:rPr>
        <w:t xml:space="preserve">4.7 </w:t>
      </w:r>
      <w:r w:rsidRPr="001C20F0">
        <w:rPr>
          <w:rFonts w:ascii="Times New Roman" w:hAnsi="Times New Roman" w:hint="eastAsia"/>
          <w:kern w:val="0"/>
          <w:szCs w:val="24"/>
        </w:rPr>
        <w:t>管理人对报告期内基金估值程序等事项的说明</w:t>
      </w:r>
      <w:bookmarkEnd w:id="61"/>
      <w:bookmarkEnd w:id="62"/>
      <w:bookmarkEnd w:id="63"/>
      <w:bookmarkEnd w:id="64"/>
    </w:p>
    <w:p w:rsidR="000F397F" w:rsidRDefault="0015641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F397F" w:rsidRDefault="0015641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1C20F0" w:rsidRDefault="00BB731C" w:rsidP="001C20F0">
      <w:pPr>
        <w:pStyle w:val="20"/>
        <w:spacing w:before="29" w:after="0" w:line="288" w:lineRule="auto"/>
        <w:rPr>
          <w:rFonts w:ascii="Times New Roman" w:hAnsi="Times New Roman"/>
          <w:kern w:val="0"/>
          <w:szCs w:val="24"/>
        </w:rPr>
      </w:pPr>
      <w:bookmarkStart w:id="65" w:name="_Toc247959458"/>
      <w:bookmarkStart w:id="66" w:name="_Toc225570084"/>
      <w:bookmarkStart w:id="67" w:name="_Toc361324862"/>
      <w:bookmarkStart w:id="68" w:name="_Toc35966124"/>
      <w:r w:rsidRPr="001C20F0">
        <w:rPr>
          <w:rFonts w:ascii="Times New Roman" w:hAnsi="Times New Roman"/>
          <w:kern w:val="0"/>
          <w:szCs w:val="24"/>
        </w:rPr>
        <w:t>4.</w:t>
      </w:r>
      <w:r w:rsidRPr="001C20F0">
        <w:rPr>
          <w:rFonts w:ascii="Times New Roman" w:hAnsi="Times New Roman" w:hint="eastAsia"/>
          <w:kern w:val="0"/>
          <w:szCs w:val="24"/>
        </w:rPr>
        <w:t>8</w:t>
      </w:r>
      <w:r w:rsidRPr="001C20F0">
        <w:rPr>
          <w:rFonts w:ascii="Times New Roman" w:hAnsi="Times New Roman"/>
          <w:kern w:val="0"/>
          <w:szCs w:val="24"/>
        </w:rPr>
        <w:t>管理人对报告期内基金利润分配情况的说明</w:t>
      </w:r>
      <w:bookmarkEnd w:id="65"/>
      <w:bookmarkEnd w:id="66"/>
      <w:bookmarkEnd w:id="67"/>
      <w:bookmarkEnd w:id="68"/>
    </w:p>
    <w:p w:rsidR="000F397F" w:rsidRDefault="0015641A">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BB731C" w:rsidRPr="00BB731C" w:rsidRDefault="00BB731C" w:rsidP="00BB731C">
      <w:pPr>
        <w:spacing w:before="29" w:line="288" w:lineRule="auto"/>
        <w:ind w:firstLineChars="200" w:firstLine="480"/>
        <w:rPr>
          <w:kern w:val="0"/>
          <w:sz w:val="24"/>
        </w:rPr>
      </w:pPr>
      <w:r w:rsidRPr="00BB731C">
        <w:rPr>
          <w:kern w:val="0"/>
          <w:sz w:val="24"/>
        </w:rPr>
        <w:t>本基金未对本报告期内利润进行分配。</w:t>
      </w:r>
    </w:p>
    <w:p w:rsidR="00BB731C" w:rsidRPr="00A4203E" w:rsidRDefault="00BB731C" w:rsidP="00BB731C">
      <w:pPr>
        <w:spacing w:line="360" w:lineRule="auto"/>
        <w:ind w:firstLineChars="200" w:firstLine="420"/>
        <w:rPr>
          <w:rFonts w:eastAsiaTheme="minorEastAsia"/>
          <w:color w:val="000000"/>
          <w:szCs w:val="21"/>
        </w:rPr>
      </w:pPr>
    </w:p>
    <w:p w:rsidR="00BB731C" w:rsidRPr="001C20F0" w:rsidRDefault="00BB731C" w:rsidP="001C20F0">
      <w:pPr>
        <w:pStyle w:val="20"/>
        <w:spacing w:before="29" w:after="0" w:line="288" w:lineRule="auto"/>
        <w:rPr>
          <w:rFonts w:ascii="Times New Roman" w:hAnsi="Times New Roman"/>
          <w:kern w:val="0"/>
          <w:szCs w:val="24"/>
        </w:rPr>
      </w:pPr>
      <w:bookmarkStart w:id="69" w:name="_Toc35966125"/>
      <w:r w:rsidRPr="001C20F0">
        <w:rPr>
          <w:rFonts w:ascii="Times New Roman" w:hAnsi="Times New Roman"/>
          <w:kern w:val="0"/>
          <w:szCs w:val="24"/>
        </w:rPr>
        <w:t>4.9</w:t>
      </w:r>
      <w:r w:rsidRPr="001C20F0">
        <w:rPr>
          <w:rFonts w:ascii="Times New Roman" w:hAnsi="Times New Roman" w:hint="eastAsia"/>
          <w:kern w:val="0"/>
          <w:szCs w:val="24"/>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3596612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1C20F0" w:rsidRDefault="001A59F9" w:rsidP="001C20F0">
      <w:pPr>
        <w:pStyle w:val="20"/>
        <w:spacing w:before="29" w:after="0" w:line="288" w:lineRule="auto"/>
        <w:rPr>
          <w:rFonts w:ascii="Times New Roman" w:hAnsi="Times New Roman"/>
          <w:kern w:val="0"/>
          <w:szCs w:val="24"/>
        </w:rPr>
      </w:pPr>
      <w:bookmarkStart w:id="73" w:name="_Toc225498264"/>
      <w:bookmarkStart w:id="74" w:name="_Toc361324865"/>
      <w:bookmarkStart w:id="75" w:name="_Toc35966127"/>
      <w:r w:rsidRPr="001C20F0">
        <w:rPr>
          <w:rFonts w:ascii="Times New Roman" w:hAnsi="Times New Roman"/>
          <w:kern w:val="0"/>
          <w:szCs w:val="24"/>
        </w:rPr>
        <w:t xml:space="preserve">5.1 </w:t>
      </w:r>
      <w:r w:rsidRPr="001C20F0">
        <w:rPr>
          <w:rFonts w:ascii="Times New Roman" w:hAnsi="Times New Roman" w:hint="eastAsia"/>
          <w:kern w:val="0"/>
          <w:szCs w:val="24"/>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招商银行具备完善的公司治理结构、内部稽核监控制度和风险控制制度，我行在履</w:t>
      </w:r>
      <w:r w:rsidRPr="00A40DA7">
        <w:rPr>
          <w:kern w:val="0"/>
          <w:sz w:val="24"/>
        </w:rPr>
        <w:lastRenderedPageBreak/>
        <w:t>行托管职责中，严格遵守有关法律法规、托管协议的规定，尽职尽责地履行托管义务并安全保管托管资产。</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76" w:name="_Toc225498265"/>
      <w:bookmarkStart w:id="77" w:name="_Toc361324866"/>
      <w:bookmarkStart w:id="78" w:name="_Toc35966128"/>
      <w:r w:rsidRPr="001C20F0">
        <w:rPr>
          <w:rFonts w:ascii="Times New Roman" w:hAnsi="Times New Roman"/>
          <w:kern w:val="0"/>
          <w:szCs w:val="24"/>
        </w:rPr>
        <w:t xml:space="preserve">5.2 </w:t>
      </w:r>
      <w:r w:rsidRPr="001C20F0">
        <w:rPr>
          <w:rFonts w:ascii="Times New Roman" w:hAnsi="Times New Roman" w:hint="eastAsia"/>
          <w:kern w:val="0"/>
          <w:szCs w:val="24"/>
        </w:rPr>
        <w:t>托管人对报告期内本基金投资运作遵规守信、净值计算、利润分配等情况的</w:t>
      </w:r>
      <w:bookmarkEnd w:id="76"/>
      <w:r w:rsidRPr="001C20F0">
        <w:rPr>
          <w:rFonts w:ascii="Times New Roman" w:hAnsi="Times New Roman" w:hint="eastAsia"/>
          <w:kern w:val="0"/>
          <w:szCs w:val="24"/>
        </w:rPr>
        <w:t>说明</w:t>
      </w:r>
      <w:bookmarkEnd w:id="77"/>
      <w:bookmarkEnd w:id="78"/>
    </w:p>
    <w:p w:rsidR="000F397F" w:rsidRDefault="0015641A">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0F397F" w:rsidRDefault="0015641A">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Pr="00A40DA7"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C20F0" w:rsidRDefault="001A59F9" w:rsidP="001C20F0">
      <w:pPr>
        <w:pStyle w:val="20"/>
        <w:spacing w:before="29" w:after="0" w:line="288" w:lineRule="auto"/>
        <w:rPr>
          <w:rFonts w:ascii="Times New Roman" w:hAnsi="Times New Roman"/>
          <w:kern w:val="0"/>
          <w:szCs w:val="24"/>
        </w:rPr>
      </w:pPr>
      <w:bookmarkStart w:id="79" w:name="_Toc225498266"/>
      <w:bookmarkStart w:id="80" w:name="_Toc361324867"/>
      <w:bookmarkStart w:id="81" w:name="_Toc35966129"/>
      <w:r w:rsidRPr="001C20F0">
        <w:rPr>
          <w:rFonts w:ascii="Times New Roman" w:hAnsi="Times New Roman"/>
          <w:kern w:val="0"/>
          <w:szCs w:val="24"/>
        </w:rPr>
        <w:t xml:space="preserve">5.3 </w:t>
      </w:r>
      <w:r w:rsidRPr="001C20F0">
        <w:rPr>
          <w:rFonts w:ascii="Times New Roman" w:hAnsi="Times New Roman" w:hint="eastAsia"/>
          <w:kern w:val="0"/>
          <w:szCs w:val="24"/>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本年度报告中财务指标、净值表现、财务会计报告、投资组合报告内容真实、准确，不存在虚假记载、误导性陈述或者重大遗漏。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bookmarkStart w:id="90" w:name="_Toc35966130"/>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90"/>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交银施罗德境尚收益债券型证券投资基金全体基金份额持有人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374459273"/>
      <w:bookmarkStart w:id="98" w:name="_Toc362424011"/>
      <w:bookmarkStart w:id="99" w:name="_Toc352331233"/>
      <w:bookmarkStart w:id="100" w:name="_Toc352256055"/>
      <w:bookmarkStart w:id="101" w:name="_Toc352255987"/>
      <w:bookmarkStart w:id="102" w:name="_Toc286996147"/>
      <w:bookmarkStart w:id="103" w:name="_Toc35966131"/>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1"/>
      <w:bookmarkEnd w:id="92"/>
      <w:bookmarkEnd w:id="93"/>
      <w:bookmarkEnd w:id="94"/>
      <w:bookmarkEnd w:id="95"/>
      <w:bookmarkEnd w:id="96"/>
      <w:bookmarkEnd w:id="103"/>
    </w:p>
    <w:p w:rsidR="000F397F" w:rsidRDefault="0015641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0F397F" w:rsidRDefault="0015641A">
      <w:pPr>
        <w:widowControl/>
        <w:spacing w:line="288" w:lineRule="auto"/>
        <w:ind w:firstLine="420"/>
        <w:rPr>
          <w:rFonts w:eastAsiaTheme="minorEastAsia"/>
          <w:kern w:val="0"/>
          <w:sz w:val="24"/>
        </w:rPr>
      </w:pPr>
      <w:r>
        <w:rPr>
          <w:rFonts w:eastAsiaTheme="minorEastAsia"/>
          <w:kern w:val="0"/>
          <w:sz w:val="24"/>
        </w:rPr>
        <w:t>我们审计了交银施罗德境尚收益债券型证券投资基金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交银境尚债券基金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F397F" w:rsidRDefault="000F397F">
      <w:pPr>
        <w:widowControl/>
        <w:spacing w:line="288" w:lineRule="auto"/>
        <w:ind w:firstLine="420"/>
        <w:rPr>
          <w:rFonts w:eastAsiaTheme="minorEastAsia"/>
          <w:kern w:val="0"/>
          <w:sz w:val="24"/>
        </w:rPr>
      </w:pPr>
    </w:p>
    <w:p w:rsidR="000F397F" w:rsidRDefault="0015641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发布的有关规定及允许的基金行业实务操作编制，公允反映了交银境尚债券基金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613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rsidR="000F397F" w:rsidRDefault="0015641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t>按照中国注册会计师职业道德守则，我们独立于交银境尚债券基金，并履行了职业道德方面的其他责任。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5966133"/>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5"/>
    </w:p>
    <w:p w:rsidR="000F397F" w:rsidRDefault="0015641A">
      <w:pPr>
        <w:spacing w:line="288" w:lineRule="auto"/>
        <w:ind w:firstLineChars="200" w:firstLine="480"/>
        <w:rPr>
          <w:rFonts w:eastAsiaTheme="minorEastAsia"/>
          <w:sz w:val="24"/>
        </w:rPr>
      </w:pPr>
      <w:r>
        <w:rPr>
          <w:rFonts w:eastAsiaTheme="minorEastAsia"/>
          <w:sz w:val="24"/>
        </w:rPr>
        <w:t>交银境尚债券基金的基金管理人交银施罗德基金管理有限公司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t>在编制财务报表时，基金管理人管理层负责评估交银境尚债券基金的持续经营能力，披露与持续经营相关的事项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，并运用持续经营假设，除非基金管理人管理层计划清算交银境尚债券基金、终止运营或别无其他现实的选择。</w:t>
      </w:r>
    </w:p>
    <w:p w:rsidR="000F397F" w:rsidRDefault="000F397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基金管理人治理层负责监督交银境尚债券基金的财务报告过程。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35966134"/>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rsidR="000F397F" w:rsidRDefault="0015641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F397F" w:rsidRDefault="0015641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境尚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境尚债券基金不能持续经营。</w:t>
      </w:r>
    </w:p>
    <w:p w:rsidR="000F397F" w:rsidRDefault="000F397F">
      <w:pPr>
        <w:spacing w:line="288" w:lineRule="auto"/>
        <w:ind w:firstLineChars="200" w:firstLine="480"/>
        <w:rPr>
          <w:rFonts w:eastAsiaTheme="minorEastAsia"/>
          <w:sz w:val="24"/>
        </w:rPr>
      </w:pPr>
    </w:p>
    <w:p w:rsidR="000F397F" w:rsidRDefault="0015641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0F397F" w:rsidRDefault="000F397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3" w:name="_Toc3596613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3"/>
    </w:p>
    <w:p w:rsidR="00DB6EA0" w:rsidRPr="00DB6EA0" w:rsidRDefault="00DB6EA0" w:rsidP="00DB6EA0"/>
    <w:p w:rsidR="001A59F9" w:rsidRPr="001C20F0" w:rsidRDefault="001A59F9" w:rsidP="001C20F0">
      <w:pPr>
        <w:pStyle w:val="20"/>
        <w:spacing w:beforeLines="50" w:before="156" w:after="0" w:line="288" w:lineRule="auto"/>
        <w:rPr>
          <w:rFonts w:ascii="Times New Roman" w:eastAsiaTheme="minorEastAsia" w:hAnsi="Times New Roman"/>
          <w:kern w:val="0"/>
          <w:szCs w:val="24"/>
        </w:rPr>
      </w:pPr>
      <w:bookmarkStart w:id="114" w:name="_Toc225498268"/>
      <w:bookmarkStart w:id="115" w:name="_Toc361324873"/>
      <w:bookmarkStart w:id="116" w:name="_Toc35966136"/>
      <w:r w:rsidRPr="001C20F0">
        <w:rPr>
          <w:rFonts w:ascii="Times New Roman" w:eastAsiaTheme="minorEastAsia" w:hAnsi="Times New Roman"/>
          <w:kern w:val="0"/>
          <w:szCs w:val="24"/>
        </w:rPr>
        <w:t xml:space="preserve">7.1 </w:t>
      </w:r>
      <w:r w:rsidRPr="001C20F0">
        <w:rPr>
          <w:rFonts w:ascii="Times New Roman" w:eastAsiaTheme="minorEastAsia" w:hAnsi="Times New Roman" w:hint="eastAsia"/>
          <w:kern w:val="0"/>
          <w:szCs w:val="24"/>
        </w:rPr>
        <w:t>资产负债表</w:t>
      </w:r>
      <w:bookmarkEnd w:id="114"/>
      <w:bookmarkEnd w:id="115"/>
      <w:bookmarkEnd w:id="11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交银施罗德境尚收益债券型证券投资基金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176EFF">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176EFF">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5,350,005.49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180,752.70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45,879.92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56,815,846.33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1,528.89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35,478,860.00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1,776,551,102.50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35,478,860.00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1,776,551,102.50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lastRenderedPageBreak/>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785,814.91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40,436,412.37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109.99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41,660,670.31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1,873,985,642.79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917,598,950.50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121.53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29,717.60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647,783.93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5,572.06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121,459.48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2,544.33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10,673.47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220.69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41,097.03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187,069.73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775,177.86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329,300.00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107,735.75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919,711,512.00</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39,169,645.35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886,762,743.75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2,383,289.21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67,511,387.04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41,552,934.56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954,274,130.79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41,660,670.31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1,873,985,642.79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1.0619</w:t>
      </w:r>
      <w:r w:rsidRPr="00400137">
        <w:rPr>
          <w:kern w:val="0"/>
          <w:sz w:val="24"/>
        </w:rPr>
        <w:t>元，</w:t>
      </w:r>
      <w:r w:rsidRPr="00400137">
        <w:rPr>
          <w:kern w:val="0"/>
          <w:sz w:val="24"/>
        </w:rPr>
        <w:t>C</w:t>
      </w:r>
      <w:r w:rsidRPr="00400137">
        <w:rPr>
          <w:kern w:val="0"/>
          <w:sz w:val="24"/>
        </w:rPr>
        <w:t>类基金份额净值</w:t>
      </w:r>
      <w:r w:rsidRPr="00400137">
        <w:rPr>
          <w:kern w:val="0"/>
          <w:sz w:val="24"/>
        </w:rPr>
        <w:t>1.0538</w:t>
      </w:r>
      <w:r w:rsidRPr="00400137">
        <w:rPr>
          <w:kern w:val="0"/>
          <w:sz w:val="24"/>
        </w:rPr>
        <w:t>元，基金份额总额</w:t>
      </w:r>
      <w:r w:rsidRPr="00400137">
        <w:rPr>
          <w:kern w:val="0"/>
          <w:sz w:val="24"/>
        </w:rPr>
        <w:t>39,169,645.35</w:t>
      </w:r>
      <w:r w:rsidRPr="00400137">
        <w:rPr>
          <w:kern w:val="0"/>
          <w:sz w:val="24"/>
        </w:rPr>
        <w:t>份，其中</w:t>
      </w:r>
      <w:r w:rsidRPr="00400137">
        <w:rPr>
          <w:kern w:val="0"/>
          <w:sz w:val="24"/>
        </w:rPr>
        <w:t>A</w:t>
      </w:r>
      <w:r w:rsidRPr="00400137">
        <w:rPr>
          <w:kern w:val="0"/>
          <w:sz w:val="24"/>
        </w:rPr>
        <w:t>类基金份额</w:t>
      </w:r>
      <w:r w:rsidRPr="00400137">
        <w:rPr>
          <w:kern w:val="0"/>
          <w:sz w:val="24"/>
        </w:rPr>
        <w:t>33,961,323.92</w:t>
      </w:r>
      <w:r w:rsidRPr="00400137">
        <w:rPr>
          <w:kern w:val="0"/>
          <w:sz w:val="24"/>
        </w:rPr>
        <w:t>份，</w:t>
      </w:r>
      <w:r w:rsidRPr="00400137">
        <w:rPr>
          <w:kern w:val="0"/>
          <w:sz w:val="24"/>
        </w:rPr>
        <w:t>C</w:t>
      </w:r>
      <w:r w:rsidRPr="00400137">
        <w:rPr>
          <w:kern w:val="0"/>
          <w:sz w:val="24"/>
        </w:rPr>
        <w:t>类基金份额</w:t>
      </w:r>
      <w:r w:rsidRPr="00400137">
        <w:rPr>
          <w:kern w:val="0"/>
          <w:sz w:val="24"/>
        </w:rPr>
        <w:t>5,208,321.43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1C20F0" w:rsidRDefault="001A59F9" w:rsidP="001C20F0">
      <w:pPr>
        <w:pStyle w:val="20"/>
        <w:spacing w:beforeLines="50" w:before="156" w:after="0" w:line="288" w:lineRule="auto"/>
        <w:rPr>
          <w:rFonts w:ascii="Times New Roman" w:eastAsiaTheme="minorEastAsia" w:hAnsi="Times New Roman"/>
          <w:kern w:val="0"/>
          <w:szCs w:val="24"/>
        </w:rPr>
      </w:pPr>
      <w:bookmarkStart w:id="117" w:name="_Toc225498269"/>
      <w:bookmarkStart w:id="118" w:name="_Toc361324874"/>
      <w:bookmarkStart w:id="119" w:name="_Toc35966137"/>
      <w:r w:rsidRPr="001C20F0">
        <w:rPr>
          <w:rFonts w:ascii="Times New Roman" w:eastAsiaTheme="minorEastAsia" w:hAnsi="Times New Roman"/>
          <w:kern w:val="0"/>
          <w:szCs w:val="24"/>
        </w:rPr>
        <w:t xml:space="preserve">7.2 </w:t>
      </w:r>
      <w:r w:rsidRPr="001C20F0">
        <w:rPr>
          <w:rFonts w:ascii="Times New Roman" w:eastAsiaTheme="minorEastAsia" w:hAnsi="Times New Roman" w:hint="eastAsia"/>
          <w:kern w:val="0"/>
          <w:szCs w:val="24"/>
        </w:rPr>
        <w:t>利润表</w:t>
      </w:r>
      <w:bookmarkEnd w:id="117"/>
      <w:bookmarkEnd w:id="118"/>
      <w:bookmarkEnd w:id="11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交银施罗德境尚收益债券型证券投资基金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18,884,502.29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104,829,196.75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17,510,969.12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72,378,934.46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204,957.96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882,619.08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16,894,615.42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71,049,332.31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446,983.07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411,395.74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14,659,954.09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1,829,245.06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14,659,954.09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1,864,497.11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-35,252.05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-13,288,877.47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30,621,017.23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2,456.55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5,352,858.94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37,385,237.63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1,737,431.94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7,403,409.10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325,768.52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1,388,139.28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40,274.17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122,289.53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11,707.56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4,998.84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3,071,053.79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27,852,133.65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3,071,053.79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27,852,133.65</w:t>
            </w:r>
          </w:p>
        </w:tc>
      </w:tr>
      <w:tr w:rsidR="002D33D4" w:rsidRPr="00D564C7" w:rsidTr="00176EFF">
        <w:tc>
          <w:tcPr>
            <w:tcW w:w="3420" w:type="dxa"/>
            <w:vAlign w:val="center"/>
          </w:tcPr>
          <w:p w:rsidR="002D33D4" w:rsidRPr="002D33D4" w:rsidRDefault="002D33D4" w:rsidP="00176EFF">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176EFF">
            <w:pPr>
              <w:pStyle w:val="af6"/>
              <w:jc w:val="center"/>
              <w:rPr>
                <w:rFonts w:ascii="Times New Roman" w:eastAsiaTheme="minorEastAsia" w:hAnsi="Times New Roman"/>
                <w:color w:val="000000"/>
              </w:rPr>
            </w:pPr>
          </w:p>
        </w:tc>
        <w:tc>
          <w:tcPr>
            <w:tcW w:w="2250" w:type="dxa"/>
            <w:vAlign w:val="bottom"/>
          </w:tcPr>
          <w:p w:rsidR="002D33D4" w:rsidRPr="002D33D4" w:rsidRDefault="002D33D4" w:rsidP="00176EFF">
            <w:pPr>
              <w:jc w:val="right"/>
              <w:rPr>
                <w:rFonts w:eastAsiaTheme="minorEastAsia"/>
                <w:color w:val="000000"/>
                <w:sz w:val="24"/>
              </w:rPr>
            </w:pPr>
            <w:r w:rsidRPr="002D33D4">
              <w:rPr>
                <w:rFonts w:eastAsiaTheme="minorEastAsia"/>
                <w:color w:val="000000"/>
                <w:sz w:val="24"/>
              </w:rPr>
              <w:t>51,267.24</w:t>
            </w:r>
          </w:p>
        </w:tc>
        <w:tc>
          <w:tcPr>
            <w:tcW w:w="2250" w:type="dxa"/>
            <w:vAlign w:val="bottom"/>
          </w:tcPr>
          <w:p w:rsidR="002D33D4" w:rsidRPr="002D33D4" w:rsidRDefault="002D33D4" w:rsidP="00176EFF">
            <w:pPr>
              <w:jc w:val="right"/>
              <w:rPr>
                <w:rFonts w:eastAsiaTheme="minorEastAsia"/>
                <w:color w:val="000000"/>
                <w:sz w:val="24"/>
              </w:rPr>
            </w:pPr>
            <w:r w:rsidRPr="002D33D4">
              <w:rPr>
                <w:rFonts w:eastAsiaTheme="minorEastAsia"/>
                <w:color w:val="000000"/>
                <w:sz w:val="24"/>
              </w:rPr>
              <w:t>238,924.67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115,355.72</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375,342.56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13,531,643.35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67,443,959.12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13,531,643.35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67,443,959.12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C20F0" w:rsidRDefault="001A59F9" w:rsidP="001C20F0">
      <w:pPr>
        <w:pStyle w:val="20"/>
        <w:spacing w:beforeLines="50" w:before="156" w:after="0" w:line="288" w:lineRule="auto"/>
        <w:rPr>
          <w:rFonts w:ascii="Times New Roman" w:eastAsiaTheme="minorEastAsia" w:hAnsi="Times New Roman"/>
          <w:kern w:val="0"/>
          <w:szCs w:val="24"/>
        </w:rPr>
      </w:pPr>
      <w:bookmarkStart w:id="120" w:name="_Toc225498270"/>
      <w:bookmarkStart w:id="121" w:name="_Toc361324875"/>
      <w:bookmarkStart w:id="122" w:name="_Toc35966138"/>
      <w:r w:rsidRPr="001C20F0">
        <w:rPr>
          <w:rFonts w:ascii="Times New Roman" w:eastAsiaTheme="minorEastAsia" w:hAnsi="Times New Roman"/>
          <w:kern w:val="0"/>
          <w:szCs w:val="24"/>
        </w:rPr>
        <w:t xml:space="preserve">7.3 </w:t>
      </w:r>
      <w:r w:rsidRPr="001C20F0">
        <w:rPr>
          <w:rFonts w:ascii="Times New Roman" w:eastAsiaTheme="minorEastAsia" w:hAnsi="Times New Roman" w:hint="eastAsia"/>
          <w:kern w:val="0"/>
          <w:szCs w:val="24"/>
        </w:rPr>
        <w:t>所有者权益（基金净值）变动表</w:t>
      </w:r>
      <w:bookmarkEnd w:id="120"/>
      <w:bookmarkEnd w:id="121"/>
      <w:bookmarkEnd w:id="12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交银施罗德境尚收益债券型证券投资基金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67,511,387.04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954,274,130.79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13,531,643.35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13,531,643.35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-847,593,098.40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-29,985,746.34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-877,578,844.74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14,801,028.59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713,671.46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15,514,700.05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-862,394,126.99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-30,699,417.80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-893,093,544.79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-48,673,994.84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-48,673,994.84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39,169,645.35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2,383,289.21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41,552,934.56</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lastRenderedPageBreak/>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6,531,516.93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893,294,260.68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67,443,959.12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67,443,959.12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-6,464,089.01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-6,464,089.01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67,511,387.04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954,274,130.79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1C20F0" w:rsidRDefault="001A59F9" w:rsidP="001C20F0">
      <w:pPr>
        <w:pStyle w:val="20"/>
        <w:spacing w:beforeLines="50" w:before="156" w:after="0" w:line="288" w:lineRule="auto"/>
        <w:rPr>
          <w:rFonts w:ascii="Times New Roman" w:eastAsiaTheme="minorEastAsia" w:hAnsi="Times New Roman"/>
          <w:kern w:val="0"/>
          <w:szCs w:val="24"/>
        </w:rPr>
      </w:pPr>
      <w:bookmarkStart w:id="123" w:name="_Toc225498271"/>
      <w:bookmarkStart w:id="124" w:name="_Toc361324876"/>
      <w:bookmarkStart w:id="125" w:name="_Toc35966139"/>
      <w:r w:rsidRPr="001C20F0">
        <w:rPr>
          <w:rFonts w:ascii="Times New Roman" w:eastAsiaTheme="minorEastAsia" w:hAnsi="Times New Roman"/>
          <w:kern w:val="0"/>
          <w:szCs w:val="24"/>
        </w:rPr>
        <w:t xml:space="preserve">7.4 </w:t>
      </w:r>
      <w:r w:rsidRPr="001C20F0">
        <w:rPr>
          <w:rFonts w:ascii="Times New Roman" w:eastAsiaTheme="minorEastAsia" w:hAnsi="Times New Roman" w:hint="eastAsia"/>
          <w:kern w:val="0"/>
          <w:szCs w:val="24"/>
        </w:rPr>
        <w:t>报表附注</w:t>
      </w:r>
      <w:bookmarkEnd w:id="123"/>
      <w:bookmarkEnd w:id="124"/>
      <w:bookmarkEnd w:id="12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F397F" w:rsidRDefault="0015641A">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w:t>
      </w:r>
      <w:r>
        <w:rPr>
          <w:kern w:val="0"/>
          <w:sz w:val="24"/>
        </w:rPr>
        <w:lastRenderedPageBreak/>
        <w:t>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rsidR="000F397F" w:rsidRDefault="0015641A">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0F397F" w:rsidRDefault="0015641A">
      <w:pPr>
        <w:spacing w:before="29" w:line="288" w:lineRule="auto"/>
        <w:ind w:firstLineChars="200" w:firstLine="480"/>
        <w:rPr>
          <w:kern w:val="0"/>
          <w:sz w:val="24"/>
        </w:rPr>
      </w:pPr>
      <w:r>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Pr>
          <w:kern w:val="0"/>
          <w:sz w:val="24"/>
        </w:rPr>
        <w:t>5%</w:t>
      </w:r>
      <w:r>
        <w:rPr>
          <w:kern w:val="0"/>
          <w:sz w:val="24"/>
        </w:rPr>
        <w:t>，其中现金不包括结算备付金、存出保证金和应收申购款等。本基金封闭期内的业绩比较基准为两年期银行定期存款税后收益率</w:t>
      </w:r>
      <w:r>
        <w:rPr>
          <w:kern w:val="0"/>
          <w:sz w:val="24"/>
        </w:rPr>
        <w:t>+1.25%</w:t>
      </w:r>
      <w:r>
        <w:rPr>
          <w:kern w:val="0"/>
          <w:sz w:val="24"/>
        </w:rPr>
        <w:t>，转为开放式运作后的业绩比较基准为中债综合全价指数收益率。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F397F" w:rsidRDefault="0015641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颁布的《证券投资基金会计核算业务指引》、《交银施罗德境尚收益债券型证券投资基金基金合同》和在财务报表附注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F397F" w:rsidRDefault="0015641A">
      <w:pPr>
        <w:spacing w:before="29" w:line="288" w:lineRule="auto"/>
        <w:ind w:firstLineChars="200" w:firstLine="480"/>
        <w:rPr>
          <w:kern w:val="0"/>
          <w:sz w:val="24"/>
        </w:rPr>
      </w:pPr>
      <w:r>
        <w:rPr>
          <w:kern w:val="0"/>
          <w:sz w:val="24"/>
        </w:rPr>
        <w:t xml:space="preserve">(1) </w:t>
      </w:r>
      <w:r>
        <w:rPr>
          <w:kern w:val="0"/>
          <w:sz w:val="24"/>
        </w:rPr>
        <w:t>金融资产的分类</w:t>
      </w:r>
    </w:p>
    <w:p w:rsidR="000F397F" w:rsidRDefault="0015641A">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F397F" w:rsidRDefault="0015641A">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F397F" w:rsidRDefault="0015641A">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F397F" w:rsidRDefault="0015641A">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F397F" w:rsidRDefault="0015641A">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kern w:val="0"/>
          <w:sz w:val="24"/>
        </w:rPr>
        <w:lastRenderedPageBreak/>
        <w:t>入初始确认金额。</w:t>
      </w:r>
    </w:p>
    <w:p w:rsidR="000F397F" w:rsidRDefault="0015641A">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F397F" w:rsidRDefault="0015641A">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F397F" w:rsidRDefault="0015641A">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F397F" w:rsidRDefault="0015641A">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0F397F" w:rsidRDefault="0015641A">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F397F" w:rsidRDefault="0015641A">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r w:rsidRPr="004A3D9A">
        <w:rPr>
          <w:kern w:val="0"/>
          <w:sz w:val="24"/>
        </w:rPr>
        <w:lastRenderedPageBreak/>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F397F" w:rsidRDefault="0015641A">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F397F" w:rsidRDefault="0015641A">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F397F" w:rsidRDefault="0015641A">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F397F" w:rsidRDefault="0015641A">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F397F" w:rsidRDefault="0015641A">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F397F" w:rsidRDefault="0015641A">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F397F" w:rsidRDefault="0015641A">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F397F" w:rsidRDefault="0015641A">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F397F" w:rsidRDefault="0015641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F397F" w:rsidRDefault="0015641A">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F397F" w:rsidRDefault="0015641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F397F" w:rsidRDefault="0015641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176EFF">
        <w:trPr>
          <w:trHeight w:val="345"/>
          <w:jc w:val="center"/>
        </w:trPr>
        <w:tc>
          <w:tcPr>
            <w:tcW w:w="2634" w:type="dxa"/>
            <w:tcMar>
              <w:top w:w="15" w:type="dxa"/>
              <w:left w:w="15" w:type="dxa"/>
              <w:bottom w:w="0" w:type="dxa"/>
              <w:right w:w="15" w:type="dxa"/>
            </w:tcMar>
            <w:vAlign w:val="center"/>
          </w:tcPr>
          <w:p w:rsidR="00FB2187" w:rsidRPr="00FB2187" w:rsidRDefault="00FB2187" w:rsidP="00176EFF">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176EFF">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176EFF">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176EFF">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176EFF">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176EFF">
        <w:trPr>
          <w:trHeight w:val="315"/>
          <w:jc w:val="center"/>
        </w:trPr>
        <w:tc>
          <w:tcPr>
            <w:tcW w:w="2634" w:type="dxa"/>
            <w:tcMar>
              <w:top w:w="15" w:type="dxa"/>
              <w:left w:w="15" w:type="dxa"/>
              <w:bottom w:w="0" w:type="dxa"/>
              <w:right w:w="15" w:type="dxa"/>
            </w:tcMar>
            <w:vAlign w:val="center"/>
          </w:tcPr>
          <w:p w:rsidR="00FB2187" w:rsidRPr="00FB2187" w:rsidRDefault="00FB2187" w:rsidP="00176EFF">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176EFF">
            <w:pPr>
              <w:spacing w:line="360" w:lineRule="auto"/>
              <w:jc w:val="right"/>
              <w:rPr>
                <w:rFonts w:eastAsiaTheme="minorEastAsia"/>
                <w:kern w:val="0"/>
                <w:sz w:val="24"/>
              </w:rPr>
            </w:pPr>
            <w:r w:rsidRPr="00FB2187">
              <w:rPr>
                <w:rFonts w:eastAsiaTheme="minorEastAsia"/>
                <w:kern w:val="0"/>
                <w:sz w:val="24"/>
              </w:rPr>
              <w:t>5,350,005.49</w:t>
            </w:r>
          </w:p>
        </w:tc>
        <w:tc>
          <w:tcPr>
            <w:tcW w:w="3158" w:type="dxa"/>
            <w:tcMar>
              <w:top w:w="15" w:type="dxa"/>
              <w:left w:w="15" w:type="dxa"/>
              <w:bottom w:w="0" w:type="dxa"/>
              <w:right w:w="15" w:type="dxa"/>
            </w:tcMar>
            <w:vAlign w:val="center"/>
          </w:tcPr>
          <w:p w:rsidR="00FB2187" w:rsidRPr="00FB2187" w:rsidRDefault="00FB2187" w:rsidP="00176EFF">
            <w:pPr>
              <w:spacing w:line="360" w:lineRule="auto"/>
              <w:jc w:val="right"/>
              <w:rPr>
                <w:rFonts w:eastAsiaTheme="minorEastAsia"/>
                <w:kern w:val="0"/>
                <w:sz w:val="24"/>
              </w:rPr>
            </w:pPr>
            <w:r w:rsidRPr="00FB2187">
              <w:rPr>
                <w:rFonts w:eastAsiaTheme="minorEastAsia"/>
                <w:kern w:val="0"/>
                <w:sz w:val="24"/>
              </w:rPr>
              <w:t>180,752.70</w:t>
            </w:r>
          </w:p>
        </w:tc>
      </w:tr>
      <w:tr w:rsidR="00FB2187" w:rsidRPr="00FB2187" w:rsidTr="00176EFF">
        <w:trPr>
          <w:trHeight w:val="315"/>
          <w:jc w:val="center"/>
        </w:trPr>
        <w:tc>
          <w:tcPr>
            <w:tcW w:w="2634" w:type="dxa"/>
            <w:tcMar>
              <w:top w:w="15" w:type="dxa"/>
              <w:left w:w="15" w:type="dxa"/>
              <w:bottom w:w="0" w:type="dxa"/>
              <w:right w:w="15" w:type="dxa"/>
            </w:tcMar>
            <w:vAlign w:val="center"/>
          </w:tcPr>
          <w:p w:rsidR="00FB2187" w:rsidRPr="00FB2187" w:rsidRDefault="00FB2187" w:rsidP="00176EFF">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176EFF">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176EFF">
            <w:pPr>
              <w:spacing w:line="360" w:lineRule="auto"/>
              <w:jc w:val="right"/>
              <w:rPr>
                <w:rFonts w:eastAsiaTheme="minorEastAsia"/>
                <w:kern w:val="0"/>
                <w:sz w:val="24"/>
              </w:rPr>
            </w:pPr>
            <w:r w:rsidRPr="00FB2187">
              <w:rPr>
                <w:rFonts w:eastAsiaTheme="minorEastAsia"/>
                <w:kern w:val="0"/>
                <w:sz w:val="24"/>
              </w:rPr>
              <w:t>-</w:t>
            </w:r>
          </w:p>
        </w:tc>
      </w:tr>
      <w:tr w:rsidR="00FB2187" w:rsidRPr="00FB2187" w:rsidTr="00176EFF">
        <w:trPr>
          <w:trHeight w:val="315"/>
          <w:jc w:val="center"/>
        </w:trPr>
        <w:tc>
          <w:tcPr>
            <w:tcW w:w="2634" w:type="dxa"/>
            <w:tcMar>
              <w:top w:w="15" w:type="dxa"/>
              <w:left w:w="15" w:type="dxa"/>
              <w:bottom w:w="0" w:type="dxa"/>
              <w:right w:w="15" w:type="dxa"/>
            </w:tcMar>
          </w:tcPr>
          <w:p w:rsidR="00FB2187" w:rsidRPr="00FB2187" w:rsidRDefault="00FB2187" w:rsidP="00176EFF">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176EFF">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176EFF">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176EFF">
        <w:trPr>
          <w:trHeight w:val="315"/>
          <w:jc w:val="center"/>
        </w:trPr>
        <w:tc>
          <w:tcPr>
            <w:tcW w:w="2634" w:type="dxa"/>
            <w:tcMar>
              <w:top w:w="15" w:type="dxa"/>
              <w:left w:w="15" w:type="dxa"/>
              <w:bottom w:w="0" w:type="dxa"/>
              <w:right w:w="15" w:type="dxa"/>
            </w:tcMar>
          </w:tcPr>
          <w:p w:rsidR="00FB2187" w:rsidRPr="00FB2187" w:rsidRDefault="00FB2187" w:rsidP="00176EF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176EF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176EFF">
            <w:pPr>
              <w:spacing w:line="360" w:lineRule="auto"/>
              <w:jc w:val="right"/>
              <w:rPr>
                <w:rFonts w:eastAsiaTheme="minorEastAsia"/>
                <w:kern w:val="0"/>
                <w:sz w:val="24"/>
              </w:rPr>
            </w:pPr>
            <w:r w:rsidRPr="00FB2187">
              <w:rPr>
                <w:rFonts w:eastAsiaTheme="minorEastAsia"/>
                <w:kern w:val="0"/>
                <w:sz w:val="24"/>
              </w:rPr>
              <w:t>-</w:t>
            </w:r>
          </w:p>
        </w:tc>
      </w:tr>
      <w:tr w:rsidR="00FB2187" w:rsidRPr="00FB2187" w:rsidTr="00176EFF">
        <w:trPr>
          <w:trHeight w:val="315"/>
          <w:jc w:val="center"/>
        </w:trPr>
        <w:tc>
          <w:tcPr>
            <w:tcW w:w="2634" w:type="dxa"/>
            <w:tcMar>
              <w:top w:w="15" w:type="dxa"/>
              <w:left w:w="15" w:type="dxa"/>
              <w:bottom w:w="0" w:type="dxa"/>
              <w:right w:w="15" w:type="dxa"/>
            </w:tcMar>
          </w:tcPr>
          <w:p w:rsidR="00FB2187" w:rsidRPr="00FB2187" w:rsidRDefault="00FB2187" w:rsidP="00176EF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lastRenderedPageBreak/>
              <w:t>存款期限3个月以上</w:t>
            </w:r>
          </w:p>
        </w:tc>
        <w:tc>
          <w:tcPr>
            <w:tcW w:w="3157" w:type="dxa"/>
            <w:tcMar>
              <w:top w:w="15" w:type="dxa"/>
              <w:left w:w="15" w:type="dxa"/>
              <w:bottom w:w="0" w:type="dxa"/>
              <w:right w:w="15" w:type="dxa"/>
            </w:tcMar>
            <w:vAlign w:val="bottom"/>
          </w:tcPr>
          <w:p w:rsidR="00FB2187" w:rsidRPr="00FB2187" w:rsidRDefault="00FB2187" w:rsidP="00176EF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176EF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176EFF">
        <w:trPr>
          <w:trHeight w:val="315"/>
          <w:jc w:val="center"/>
        </w:trPr>
        <w:tc>
          <w:tcPr>
            <w:tcW w:w="2634" w:type="dxa"/>
            <w:tcMar>
              <w:top w:w="15" w:type="dxa"/>
              <w:left w:w="15" w:type="dxa"/>
              <w:bottom w:w="0" w:type="dxa"/>
              <w:right w:w="15" w:type="dxa"/>
            </w:tcMar>
            <w:vAlign w:val="center"/>
          </w:tcPr>
          <w:p w:rsidR="00FB2187" w:rsidRPr="00063F90" w:rsidRDefault="00FB2187" w:rsidP="00176EFF">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176EFF">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176EFF">
            <w:pPr>
              <w:spacing w:line="360" w:lineRule="auto"/>
              <w:jc w:val="right"/>
              <w:rPr>
                <w:rFonts w:eastAsiaTheme="minorEastAsia"/>
                <w:kern w:val="0"/>
                <w:sz w:val="24"/>
              </w:rPr>
            </w:pPr>
            <w:r w:rsidRPr="00063F90">
              <w:rPr>
                <w:rFonts w:eastAsiaTheme="minorEastAsia"/>
                <w:kern w:val="0"/>
                <w:sz w:val="24"/>
              </w:rPr>
              <w:t>-</w:t>
            </w:r>
          </w:p>
        </w:tc>
      </w:tr>
      <w:tr w:rsidR="00FB2187" w:rsidRPr="00063F90" w:rsidTr="00176EFF">
        <w:trPr>
          <w:trHeight w:val="315"/>
          <w:jc w:val="center"/>
        </w:trPr>
        <w:tc>
          <w:tcPr>
            <w:tcW w:w="2634" w:type="dxa"/>
            <w:tcMar>
              <w:top w:w="15" w:type="dxa"/>
              <w:left w:w="15" w:type="dxa"/>
              <w:bottom w:w="0" w:type="dxa"/>
              <w:right w:w="15" w:type="dxa"/>
            </w:tcMar>
            <w:vAlign w:val="center"/>
          </w:tcPr>
          <w:p w:rsidR="00FB2187" w:rsidRPr="00063F90" w:rsidRDefault="00FB2187" w:rsidP="00176EFF">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176EFF">
            <w:pPr>
              <w:spacing w:line="360" w:lineRule="auto"/>
              <w:jc w:val="right"/>
              <w:rPr>
                <w:rFonts w:eastAsiaTheme="minorEastAsia"/>
                <w:kern w:val="0"/>
                <w:sz w:val="24"/>
              </w:rPr>
            </w:pPr>
            <w:r w:rsidRPr="00063F90">
              <w:rPr>
                <w:rFonts w:eastAsiaTheme="minorEastAsia"/>
                <w:kern w:val="0"/>
                <w:sz w:val="24"/>
              </w:rPr>
              <w:t>5,350,005.49</w:t>
            </w:r>
          </w:p>
        </w:tc>
        <w:tc>
          <w:tcPr>
            <w:tcW w:w="3158" w:type="dxa"/>
            <w:tcMar>
              <w:top w:w="15" w:type="dxa"/>
              <w:left w:w="15" w:type="dxa"/>
              <w:bottom w:w="0" w:type="dxa"/>
              <w:right w:w="15" w:type="dxa"/>
            </w:tcMar>
            <w:vAlign w:val="center"/>
          </w:tcPr>
          <w:p w:rsidR="00FB2187" w:rsidRPr="00063F90" w:rsidRDefault="00FB2187" w:rsidP="00176EFF">
            <w:pPr>
              <w:spacing w:line="360" w:lineRule="auto"/>
              <w:jc w:val="right"/>
              <w:rPr>
                <w:rFonts w:eastAsiaTheme="minorEastAsia"/>
                <w:kern w:val="0"/>
                <w:sz w:val="24"/>
              </w:rPr>
            </w:pPr>
            <w:r w:rsidRPr="00063F90">
              <w:rPr>
                <w:rFonts w:eastAsiaTheme="minorEastAsia"/>
                <w:kern w:val="0"/>
                <w:sz w:val="24"/>
              </w:rPr>
              <w:t>180,752.70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15,033,537.30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15,176,860.00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143,322.70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20,201,170.00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20,302,000.00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100,830.00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35,234,707.30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35,478,860.00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244,152.70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35,234,707.30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35,478,860.00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244,152.70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822,067,945.09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832,116,102.50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10,048,157.41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940,950,127.24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944,435,000.00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3,484,872.76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1,763,018,072.33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1,776,551,102.50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13,533,030.17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1,763,018,072.33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1,776,551,102.50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13,533,030.17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lastRenderedPageBreak/>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176EFF">
        <w:trPr>
          <w:trHeight w:val="330"/>
        </w:trPr>
        <w:tc>
          <w:tcPr>
            <w:tcW w:w="2351" w:type="dxa"/>
            <w:vAlign w:val="center"/>
          </w:tcPr>
          <w:p w:rsidR="005770BD" w:rsidRPr="00063F90" w:rsidRDefault="005770BD" w:rsidP="00176EFF">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176EFF">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176EFF">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176EFF">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176EFF">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176EFF">
        <w:trPr>
          <w:trHeight w:val="257"/>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1,280.97</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99.05</w:t>
            </w:r>
          </w:p>
        </w:tc>
      </w:tr>
      <w:tr w:rsidR="005770BD" w:rsidRPr="00063F90" w:rsidTr="00176EFF">
        <w:trPr>
          <w:trHeight w:val="223"/>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r>
      <w:tr w:rsidR="005770BD" w:rsidRPr="00063F90" w:rsidTr="00176EFF">
        <w:trPr>
          <w:trHeight w:val="223"/>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r>
      <w:tr w:rsidR="005770BD" w:rsidRPr="00063F90" w:rsidTr="00176EFF">
        <w:trPr>
          <w:trHeight w:val="223"/>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22.66</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28,123.81</w:t>
            </w:r>
          </w:p>
        </w:tc>
      </w:tr>
      <w:tr w:rsidR="005770BD" w:rsidRPr="00063F90" w:rsidTr="00176EFF">
        <w:trPr>
          <w:trHeight w:val="269"/>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784,511.28</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40,408,188.74</w:t>
            </w:r>
          </w:p>
        </w:tc>
      </w:tr>
      <w:tr w:rsidR="005770BD" w:rsidRPr="00063F90" w:rsidTr="00176EFF">
        <w:trPr>
          <w:trHeight w:val="287"/>
        </w:trPr>
        <w:tc>
          <w:tcPr>
            <w:tcW w:w="2351" w:type="dxa"/>
            <w:vAlign w:val="bottom"/>
          </w:tcPr>
          <w:p w:rsidR="005770BD" w:rsidRPr="005770BD" w:rsidRDefault="005770BD" w:rsidP="00176EFF">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176EFF">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176EFF">
            <w:pPr>
              <w:spacing w:line="360" w:lineRule="auto"/>
              <w:jc w:val="right"/>
              <w:rPr>
                <w:rFonts w:eastAsiaTheme="minorEastAsia"/>
                <w:sz w:val="24"/>
              </w:rPr>
            </w:pPr>
            <w:r w:rsidRPr="005770BD">
              <w:rPr>
                <w:rFonts w:eastAsiaTheme="minorEastAsia"/>
                <w:sz w:val="24"/>
              </w:rPr>
              <w:t>-</w:t>
            </w:r>
          </w:p>
        </w:tc>
      </w:tr>
      <w:tr w:rsidR="005770BD" w:rsidRPr="00063F90" w:rsidTr="00176EFF">
        <w:trPr>
          <w:trHeight w:val="287"/>
        </w:trPr>
        <w:tc>
          <w:tcPr>
            <w:tcW w:w="2351" w:type="dxa"/>
            <w:vAlign w:val="center"/>
          </w:tcPr>
          <w:p w:rsidR="005770BD" w:rsidRPr="005770BD" w:rsidRDefault="005770BD" w:rsidP="00176EFF">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176EFF">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176EFF">
            <w:pPr>
              <w:spacing w:line="360" w:lineRule="auto"/>
              <w:jc w:val="right"/>
              <w:rPr>
                <w:rFonts w:eastAsiaTheme="minorEastAsia"/>
                <w:sz w:val="24"/>
              </w:rPr>
            </w:pPr>
            <w:r w:rsidRPr="005770BD">
              <w:rPr>
                <w:rFonts w:eastAsiaTheme="minorEastAsia"/>
                <w:sz w:val="24"/>
              </w:rPr>
              <w:t>-</w:t>
            </w:r>
          </w:p>
        </w:tc>
      </w:tr>
      <w:tr w:rsidR="005770BD" w:rsidRPr="00063F90" w:rsidTr="00176EFF">
        <w:trPr>
          <w:trHeight w:val="305"/>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r>
      <w:tr w:rsidR="005770BD" w:rsidRPr="00063F90" w:rsidTr="00176EFF">
        <w:trPr>
          <w:trHeight w:val="305"/>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r>
      <w:tr w:rsidR="005770BD" w:rsidRPr="00063F90" w:rsidTr="00176EFF">
        <w:trPr>
          <w:trHeight w:val="305"/>
        </w:trPr>
        <w:tc>
          <w:tcPr>
            <w:tcW w:w="2351" w:type="dxa"/>
            <w:vAlign w:val="center"/>
          </w:tcPr>
          <w:p w:rsidR="005770BD" w:rsidRPr="00063F90" w:rsidRDefault="005770BD" w:rsidP="00176EFF">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0.77</w:t>
            </w:r>
          </w:p>
        </w:tc>
      </w:tr>
      <w:tr w:rsidR="005770BD" w:rsidRPr="00063F90" w:rsidTr="00176EFF">
        <w:trPr>
          <w:trHeight w:val="330"/>
        </w:trPr>
        <w:tc>
          <w:tcPr>
            <w:tcW w:w="2351" w:type="dxa"/>
            <w:vAlign w:val="center"/>
          </w:tcPr>
          <w:p w:rsidR="005770BD" w:rsidRPr="00063F90" w:rsidRDefault="005770BD" w:rsidP="00176EFF">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785,814.91</w:t>
            </w:r>
          </w:p>
        </w:tc>
        <w:tc>
          <w:tcPr>
            <w:tcW w:w="3406" w:type="dxa"/>
            <w:noWrap/>
            <w:vAlign w:val="center"/>
          </w:tcPr>
          <w:p w:rsidR="005770BD" w:rsidRPr="00063F90" w:rsidRDefault="005770BD" w:rsidP="00176EFF">
            <w:pPr>
              <w:spacing w:line="360" w:lineRule="auto"/>
              <w:jc w:val="right"/>
              <w:rPr>
                <w:rFonts w:eastAsiaTheme="minorEastAsia"/>
                <w:sz w:val="24"/>
              </w:rPr>
            </w:pPr>
            <w:r w:rsidRPr="00063F90">
              <w:rPr>
                <w:rFonts w:eastAsiaTheme="minorEastAsia"/>
                <w:sz w:val="24"/>
              </w:rPr>
              <w:t>40,436,412.37</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76EFF" w:rsidRPr="00BE7F3D" w:rsidRDefault="00176EFF" w:rsidP="00BE7F3D">
      <w:pPr>
        <w:tabs>
          <w:tab w:val="left" w:pos="426"/>
        </w:tabs>
        <w:spacing w:line="360" w:lineRule="auto"/>
        <w:ind w:firstLineChars="200" w:firstLine="480"/>
        <w:jc w:val="left"/>
        <w:rPr>
          <w:rFonts w:eastAsiaTheme="minorEastAsia"/>
          <w:color w:val="000000" w:themeColor="text1"/>
          <w:kern w:val="0"/>
          <w:sz w:val="24"/>
        </w:rPr>
      </w:pPr>
      <w:r w:rsidRPr="00176EFF">
        <w:rPr>
          <w:rFonts w:eastAsiaTheme="minorEastAsia" w:hint="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lastRenderedPageBreak/>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lastRenderedPageBreak/>
              <w:t>上年度末</w:t>
            </w:r>
          </w:p>
          <w:p w:rsidR="007821AB" w:rsidRPr="00C40DC0" w:rsidRDefault="007821AB" w:rsidP="00C40DC0">
            <w:pPr>
              <w:spacing w:before="29" w:line="288" w:lineRule="auto"/>
              <w:jc w:val="center"/>
              <w:rPr>
                <w:sz w:val="24"/>
              </w:rPr>
            </w:pPr>
            <w:r w:rsidRPr="00C40DC0">
              <w:rPr>
                <w:sz w:val="24"/>
              </w:rPr>
              <w:lastRenderedPageBreak/>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lastRenderedPageBreak/>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220.69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41,097.03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220.69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41,097.03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0F397F">
        <w:tc>
          <w:tcPr>
            <w:tcW w:w="2715" w:type="dxa"/>
            <w:vAlign w:val="center"/>
          </w:tcPr>
          <w:p w:rsidR="000F397F" w:rsidRDefault="0015641A">
            <w:pPr>
              <w:jc w:val="left"/>
            </w:pPr>
            <w:r>
              <w:rPr>
                <w:sz w:val="24"/>
              </w:rPr>
              <w:t>预提审计费</w:t>
            </w:r>
          </w:p>
        </w:tc>
        <w:tc>
          <w:tcPr>
            <w:tcW w:w="3150" w:type="dxa"/>
            <w:vAlign w:val="center"/>
          </w:tcPr>
          <w:p w:rsidR="000F397F" w:rsidRDefault="0015641A">
            <w:pPr>
              <w:jc w:val="right"/>
            </w:pPr>
            <w:r>
              <w:rPr>
                <w:sz w:val="24"/>
              </w:rPr>
              <w:t>60,000.00</w:t>
            </w:r>
          </w:p>
        </w:tc>
        <w:tc>
          <w:tcPr>
            <w:tcW w:w="3150" w:type="dxa"/>
            <w:vAlign w:val="center"/>
          </w:tcPr>
          <w:p w:rsidR="000F397F" w:rsidRDefault="0015641A">
            <w:pPr>
              <w:jc w:val="right"/>
            </w:pPr>
            <w:r>
              <w:rPr>
                <w:sz w:val="24"/>
              </w:rPr>
              <w:t>80,000.00</w:t>
            </w:r>
          </w:p>
        </w:tc>
      </w:tr>
      <w:tr w:rsidR="000F397F">
        <w:tc>
          <w:tcPr>
            <w:tcW w:w="2715" w:type="dxa"/>
            <w:vAlign w:val="center"/>
          </w:tcPr>
          <w:p w:rsidR="000F397F" w:rsidRDefault="0015641A">
            <w:pPr>
              <w:jc w:val="left"/>
            </w:pPr>
            <w:r>
              <w:rPr>
                <w:sz w:val="24"/>
              </w:rPr>
              <w:t>预提账户维护费</w:t>
            </w:r>
          </w:p>
        </w:tc>
        <w:tc>
          <w:tcPr>
            <w:tcW w:w="3150" w:type="dxa"/>
            <w:vAlign w:val="center"/>
          </w:tcPr>
          <w:p w:rsidR="000F397F" w:rsidRDefault="0015641A">
            <w:pPr>
              <w:jc w:val="right"/>
            </w:pPr>
            <w:r>
              <w:rPr>
                <w:sz w:val="24"/>
              </w:rPr>
              <w:t>9,300.00</w:t>
            </w:r>
          </w:p>
        </w:tc>
        <w:tc>
          <w:tcPr>
            <w:tcW w:w="3150" w:type="dxa"/>
            <w:vAlign w:val="center"/>
          </w:tcPr>
          <w:p w:rsidR="000F397F" w:rsidRDefault="0015641A">
            <w:pPr>
              <w:jc w:val="right"/>
            </w:pPr>
            <w:r>
              <w:rPr>
                <w:sz w:val="24"/>
              </w:rPr>
              <w:t>9,300.00</w:t>
            </w:r>
          </w:p>
        </w:tc>
      </w:tr>
      <w:tr w:rsidR="000F397F">
        <w:tc>
          <w:tcPr>
            <w:tcW w:w="2715" w:type="dxa"/>
            <w:vAlign w:val="center"/>
          </w:tcPr>
          <w:p w:rsidR="000F397F" w:rsidRDefault="0015641A">
            <w:pPr>
              <w:jc w:val="left"/>
            </w:pPr>
            <w:r>
              <w:rPr>
                <w:sz w:val="24"/>
              </w:rPr>
              <w:t>预提信息披露费</w:t>
            </w:r>
          </w:p>
        </w:tc>
        <w:tc>
          <w:tcPr>
            <w:tcW w:w="3150" w:type="dxa"/>
            <w:vAlign w:val="center"/>
          </w:tcPr>
          <w:p w:rsidR="000F397F" w:rsidRDefault="0015641A">
            <w:pPr>
              <w:jc w:val="right"/>
            </w:pPr>
            <w:r>
              <w:rPr>
                <w:sz w:val="24"/>
              </w:rPr>
              <w:t>-</w:t>
            </w:r>
          </w:p>
        </w:tc>
        <w:tc>
          <w:tcPr>
            <w:tcW w:w="3150" w:type="dxa"/>
            <w:vAlign w:val="center"/>
          </w:tcPr>
          <w:p w:rsidR="000F397F" w:rsidRDefault="0015641A">
            <w:pPr>
              <w:jc w:val="right"/>
            </w:pPr>
            <w:r>
              <w:rPr>
                <w:sz w:val="24"/>
              </w:rPr>
              <w:t>240,000.00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329,300.00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交银境尚收益债券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867,171,268.37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867,171,268.37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9,398,547.24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9,398,547.24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-842,608,491.69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-842,608,491.69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33,961,323.92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33,961,323.92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交银境尚收益债券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19,591,475.38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19,591,475.38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5,402,481.35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5,402,481.35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-19,785,635.30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-19,785,635.30</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lastRenderedPageBreak/>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5,208,321.43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5,208,321.43</w:t>
            </w:r>
          </w:p>
        </w:tc>
      </w:tr>
    </w:tbl>
    <w:p w:rsidR="000F397F" w:rsidRDefault="0015641A">
      <w:pPr>
        <w:tabs>
          <w:tab w:val="left" w:pos="426"/>
        </w:tabs>
        <w:spacing w:before="29" w:line="288" w:lineRule="auto"/>
        <w:jc w:val="left"/>
        <w:rPr>
          <w:rFonts w:eastAsiaTheme="minorEastAsia"/>
          <w:b/>
          <w:sz w:val="24"/>
        </w:rPr>
      </w:pPr>
      <w:r>
        <w:rPr>
          <w:kern w:val="0"/>
          <w:sz w:val="24"/>
        </w:rPr>
        <w:t>注：</w:t>
      </w:r>
    </w:p>
    <w:p w:rsidR="000F397F" w:rsidRDefault="0015641A">
      <w:pPr>
        <w:tabs>
          <w:tab w:val="left" w:pos="426"/>
        </w:tabs>
        <w:spacing w:before="29" w:line="288" w:lineRule="auto"/>
        <w:jc w:val="left"/>
        <w:rPr>
          <w:rFonts w:eastAsiaTheme="minorEastAsia"/>
          <w:b/>
          <w:sz w:val="24"/>
        </w:rPr>
      </w:pPr>
      <w:r>
        <w:rPr>
          <w:kern w:val="0"/>
          <w:sz w:val="24"/>
        </w:rPr>
        <w:t>1.</w:t>
      </w:r>
      <w:r>
        <w:rPr>
          <w:kern w:val="0"/>
          <w:sz w:val="24"/>
        </w:rPr>
        <w:t>根据《交银施罗德境尚收益债券型证券投资基金基金合同》及《交银施罗德境尚收益债券型证券投资基金招募说明书》的相关规定，本基金自</w:t>
      </w:r>
      <w:r>
        <w:rPr>
          <w:kern w:val="0"/>
          <w:sz w:val="24"/>
        </w:rPr>
        <w:t>2017</w:t>
      </w:r>
      <w:r>
        <w:rPr>
          <w:kern w:val="0"/>
          <w:sz w:val="24"/>
        </w:rPr>
        <w:t>年</w:t>
      </w:r>
      <w:r>
        <w:rPr>
          <w:kern w:val="0"/>
          <w:sz w:val="24"/>
        </w:rPr>
        <w:t>3</w:t>
      </w:r>
      <w:r>
        <w:rPr>
          <w:kern w:val="0"/>
          <w:sz w:val="24"/>
        </w:rPr>
        <w:t>月</w:t>
      </w:r>
      <w:r>
        <w:rPr>
          <w:kern w:val="0"/>
          <w:sz w:val="24"/>
        </w:rPr>
        <w:t>3</w:t>
      </w:r>
      <w:r>
        <w:rPr>
          <w:kern w:val="0"/>
          <w:sz w:val="24"/>
        </w:rPr>
        <w:t>日</w:t>
      </w:r>
      <w:r>
        <w:rPr>
          <w:kern w:val="0"/>
          <w:sz w:val="24"/>
        </w:rPr>
        <w:t>(</w:t>
      </w:r>
      <w:r>
        <w:rPr>
          <w:kern w:val="0"/>
          <w:sz w:val="24"/>
        </w:rPr>
        <w:t>基金合同生效日</w:t>
      </w:r>
      <w:r>
        <w:rPr>
          <w:kern w:val="0"/>
          <w:sz w:val="24"/>
        </w:rPr>
        <w:t>)</w:t>
      </w:r>
      <w:r>
        <w:rPr>
          <w:kern w:val="0"/>
          <w:sz w:val="24"/>
        </w:rPr>
        <w:t>起两年（含两年）内封闭运作，封闭期结束后转为开放式运作。根据本基金管理人于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的《交银施罗德基金管理有限公司关于交银施罗德境尚收益债券型证券投资基金封闭期结束转为开放式运作暨开放基金日常申购、赎回、定期定额投资业务并参与部分销售机构申购费率优惠活动的公告》，本基金自</w:t>
      </w:r>
      <w:r>
        <w:rPr>
          <w:kern w:val="0"/>
          <w:sz w:val="24"/>
        </w:rPr>
        <w:t>2019</w:t>
      </w:r>
      <w:r>
        <w:rPr>
          <w:kern w:val="0"/>
          <w:sz w:val="24"/>
        </w:rPr>
        <w:t>年</w:t>
      </w:r>
      <w:r>
        <w:rPr>
          <w:kern w:val="0"/>
          <w:sz w:val="24"/>
        </w:rPr>
        <w:t>3</w:t>
      </w:r>
      <w:r>
        <w:rPr>
          <w:kern w:val="0"/>
          <w:sz w:val="24"/>
        </w:rPr>
        <w:t>月</w:t>
      </w:r>
      <w:r>
        <w:rPr>
          <w:kern w:val="0"/>
          <w:sz w:val="24"/>
        </w:rPr>
        <w:t>5</w:t>
      </w:r>
      <w:r>
        <w:rPr>
          <w:kern w:val="0"/>
          <w:sz w:val="24"/>
        </w:rPr>
        <w:t>日起转为开放式运作。本基金在转为开放式运作后，自</w:t>
      </w:r>
      <w:r>
        <w:rPr>
          <w:kern w:val="0"/>
          <w:sz w:val="24"/>
        </w:rPr>
        <w:t>2019</w:t>
      </w:r>
      <w:r>
        <w:rPr>
          <w:kern w:val="0"/>
          <w:sz w:val="24"/>
        </w:rPr>
        <w:t>年</w:t>
      </w:r>
      <w:r>
        <w:rPr>
          <w:kern w:val="0"/>
          <w:sz w:val="24"/>
        </w:rPr>
        <w:t>3</w:t>
      </w:r>
      <w:r>
        <w:rPr>
          <w:kern w:val="0"/>
          <w:sz w:val="24"/>
        </w:rPr>
        <w:t>月</w:t>
      </w:r>
      <w:r>
        <w:rPr>
          <w:kern w:val="0"/>
          <w:sz w:val="24"/>
        </w:rPr>
        <w:t>5</w:t>
      </w:r>
      <w:r>
        <w:rPr>
          <w:kern w:val="0"/>
          <w:sz w:val="24"/>
        </w:rPr>
        <w:t>日开始办理日常申购、赎回、定期定额投资等业务，并适用基金合同中关于转为开放式运作后的有关规定。</w:t>
      </w:r>
    </w:p>
    <w:p w:rsidR="000F397F" w:rsidRDefault="0015641A">
      <w:pPr>
        <w:tabs>
          <w:tab w:val="left" w:pos="426"/>
        </w:tabs>
        <w:spacing w:before="29" w:line="288" w:lineRule="auto"/>
        <w:jc w:val="left"/>
        <w:rPr>
          <w:rFonts w:eastAsiaTheme="minorEastAsia"/>
          <w:b/>
          <w:sz w:val="24"/>
        </w:rPr>
      </w:pPr>
      <w:r>
        <w:rPr>
          <w:kern w:val="0"/>
          <w:sz w:val="24"/>
        </w:rPr>
        <w:t>2.</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3.</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交银境尚收益债券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52,909,044.92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13,234,654.04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66,143,698.96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26,193,345.54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-12,985,343.53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13,208,002.01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-29,425,389.10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-128,859.52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-29,554,248.62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496,741.01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-16,221.09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480,519.92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-29,922,130.11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-112,638.43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-30,034,768.54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-47,694,420.95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-47,694,420.95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1,982,580.41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120,450.99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2,103,031.40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交银境尚收益债券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1,069,311.95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298,376.13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1,367,688.08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627,175.28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-303,533.94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323,641.34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-454,842.21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23,344.49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-431,497.72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239,380.46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-6,228.92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233,151.54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-694,222.67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29,573.41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-664,649.26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-979,573.89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-979,573.89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262,071.13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18,186.68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280,257.81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62,076.16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7,202.68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141,968.23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875,374.13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913.57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204,957.96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882,619.08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2,491,944,478.09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375,340,666.10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2,413,304,747.52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361,745,517.61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63,979,776.48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11,730,651.38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14,659,954.09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1,864,497.11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lastRenderedPageBreak/>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20,191,473.97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20,035,252.05</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191,473.97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-35,252.05</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176EFF">
        <w:trPr>
          <w:trHeight w:val="285"/>
        </w:trPr>
        <w:tc>
          <w:tcPr>
            <w:tcW w:w="2987" w:type="dxa"/>
            <w:vAlign w:val="center"/>
          </w:tcPr>
          <w:p w:rsidR="005743CD" w:rsidRPr="00063F90" w:rsidRDefault="005743CD" w:rsidP="00176EFF">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176EFF">
            <w:pPr>
              <w:spacing w:line="360" w:lineRule="auto"/>
              <w:jc w:val="center"/>
              <w:rPr>
                <w:rFonts w:eastAsiaTheme="minorEastAsia"/>
                <w:sz w:val="24"/>
              </w:rPr>
            </w:pPr>
            <w:r w:rsidRPr="00063F90">
              <w:rPr>
                <w:rFonts w:eastAsiaTheme="minorEastAsia"/>
                <w:sz w:val="24"/>
              </w:rPr>
              <w:t>本期</w:t>
            </w:r>
          </w:p>
          <w:p w:rsidR="005743CD" w:rsidRPr="00063F90" w:rsidRDefault="005743CD" w:rsidP="00176EFF">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176EFF">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176EFF">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176EFF">
        <w:trPr>
          <w:trHeight w:val="285"/>
        </w:trPr>
        <w:tc>
          <w:tcPr>
            <w:tcW w:w="2987" w:type="dxa"/>
            <w:vAlign w:val="center"/>
          </w:tcPr>
          <w:p w:rsidR="005743CD" w:rsidRPr="00063F90" w:rsidRDefault="005743CD" w:rsidP="00176EFF">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-13,288,877.47</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30,621,017.23</w:t>
            </w:r>
          </w:p>
        </w:tc>
      </w:tr>
      <w:tr w:rsidR="005743CD" w:rsidRPr="00063F90" w:rsidTr="00176EFF">
        <w:trPr>
          <w:trHeight w:val="285"/>
        </w:trPr>
        <w:tc>
          <w:tcPr>
            <w:tcW w:w="2987" w:type="dxa"/>
            <w:vAlign w:val="center"/>
          </w:tcPr>
          <w:p w:rsidR="005743CD" w:rsidRPr="00063F90" w:rsidRDefault="005743CD" w:rsidP="00176EF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w:t>
            </w:r>
          </w:p>
        </w:tc>
      </w:tr>
      <w:tr w:rsidR="005743CD" w:rsidRPr="00063F90" w:rsidTr="00176EFF">
        <w:trPr>
          <w:trHeight w:val="285"/>
        </w:trPr>
        <w:tc>
          <w:tcPr>
            <w:tcW w:w="2987" w:type="dxa"/>
            <w:vAlign w:val="center"/>
          </w:tcPr>
          <w:p w:rsidR="005743CD" w:rsidRPr="00063F90" w:rsidRDefault="005743CD" w:rsidP="00176EF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-13,288,877.47</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30,621,017.23</w:t>
            </w:r>
          </w:p>
        </w:tc>
      </w:tr>
      <w:tr w:rsidR="005743CD" w:rsidRPr="00063F90" w:rsidTr="00176EFF">
        <w:trPr>
          <w:trHeight w:val="285"/>
        </w:trPr>
        <w:tc>
          <w:tcPr>
            <w:tcW w:w="2987" w:type="dxa"/>
            <w:vAlign w:val="center"/>
          </w:tcPr>
          <w:p w:rsidR="005743CD" w:rsidRPr="00063F90" w:rsidRDefault="005743CD" w:rsidP="00176EF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176EFF">
            <w:pPr>
              <w:spacing w:line="360" w:lineRule="auto"/>
              <w:jc w:val="right"/>
              <w:rPr>
                <w:rFonts w:eastAsiaTheme="minorEastAsia"/>
                <w:sz w:val="24"/>
              </w:rPr>
            </w:pPr>
            <w:r w:rsidRPr="00063F90">
              <w:rPr>
                <w:rFonts w:eastAsiaTheme="minorEastAsia"/>
                <w:sz w:val="24"/>
              </w:rPr>
              <w:t>-</w:t>
            </w:r>
          </w:p>
        </w:tc>
      </w:tr>
      <w:tr w:rsidR="005743CD" w:rsidRPr="00063F90" w:rsidTr="00176EFF">
        <w:trPr>
          <w:trHeight w:val="285"/>
        </w:trPr>
        <w:tc>
          <w:tcPr>
            <w:tcW w:w="2987" w:type="dxa"/>
            <w:vAlign w:val="center"/>
          </w:tcPr>
          <w:p w:rsidR="005743CD" w:rsidRPr="00063F90" w:rsidRDefault="005743CD" w:rsidP="00176EFF">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176EFF">
            <w:pPr>
              <w:spacing w:line="360" w:lineRule="auto"/>
              <w:jc w:val="right"/>
              <w:rPr>
                <w:sz w:val="24"/>
              </w:rPr>
            </w:pPr>
            <w:r w:rsidRPr="00063F90">
              <w:rPr>
                <w:sz w:val="24"/>
              </w:rPr>
              <w:t>-</w:t>
            </w:r>
          </w:p>
        </w:tc>
        <w:tc>
          <w:tcPr>
            <w:tcW w:w="3149" w:type="dxa"/>
            <w:vAlign w:val="center"/>
          </w:tcPr>
          <w:p w:rsidR="005743CD" w:rsidRPr="00063F90" w:rsidRDefault="005743CD" w:rsidP="00176EFF">
            <w:pPr>
              <w:spacing w:line="360" w:lineRule="auto"/>
              <w:jc w:val="right"/>
              <w:rPr>
                <w:sz w:val="24"/>
              </w:rPr>
            </w:pPr>
            <w:r w:rsidRPr="00063F90">
              <w:rPr>
                <w:sz w:val="24"/>
              </w:rPr>
              <w:t>-</w:t>
            </w:r>
          </w:p>
        </w:tc>
      </w:tr>
      <w:tr w:rsidR="005743CD" w:rsidRPr="00063F90" w:rsidTr="00176EFF">
        <w:trPr>
          <w:trHeight w:val="285"/>
        </w:trPr>
        <w:tc>
          <w:tcPr>
            <w:tcW w:w="2987" w:type="dxa"/>
            <w:vAlign w:val="center"/>
          </w:tcPr>
          <w:p w:rsidR="005743CD" w:rsidRPr="00063F90" w:rsidRDefault="005743CD" w:rsidP="00176EFF">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176EFF">
            <w:pPr>
              <w:spacing w:line="360" w:lineRule="auto"/>
              <w:jc w:val="right"/>
              <w:rPr>
                <w:sz w:val="24"/>
              </w:rPr>
            </w:pPr>
            <w:r w:rsidRPr="00063F90">
              <w:rPr>
                <w:sz w:val="24"/>
              </w:rPr>
              <w:t>-</w:t>
            </w:r>
          </w:p>
        </w:tc>
        <w:tc>
          <w:tcPr>
            <w:tcW w:w="3149" w:type="dxa"/>
            <w:vAlign w:val="center"/>
          </w:tcPr>
          <w:p w:rsidR="005743CD" w:rsidRPr="00063F90" w:rsidRDefault="005743CD" w:rsidP="00176EFF">
            <w:pPr>
              <w:spacing w:line="360" w:lineRule="auto"/>
              <w:jc w:val="right"/>
              <w:rPr>
                <w:sz w:val="24"/>
              </w:rPr>
            </w:pPr>
            <w:r w:rsidRPr="00063F90">
              <w:rPr>
                <w:sz w:val="24"/>
              </w:rPr>
              <w:t>-</w:t>
            </w:r>
          </w:p>
        </w:tc>
      </w:tr>
      <w:tr w:rsidR="005743CD" w:rsidRPr="00063F90" w:rsidTr="00176EFF">
        <w:trPr>
          <w:trHeight w:val="285"/>
        </w:trPr>
        <w:tc>
          <w:tcPr>
            <w:tcW w:w="2987" w:type="dxa"/>
            <w:vAlign w:val="center"/>
          </w:tcPr>
          <w:p w:rsidR="005743CD" w:rsidRPr="00063F90" w:rsidRDefault="005743CD" w:rsidP="00176EFF">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176EFF">
            <w:pPr>
              <w:spacing w:line="360" w:lineRule="auto"/>
              <w:jc w:val="right"/>
              <w:rPr>
                <w:sz w:val="24"/>
              </w:rPr>
            </w:pPr>
            <w:r w:rsidRPr="00063F90">
              <w:rPr>
                <w:rFonts w:hint="eastAsia"/>
                <w:sz w:val="24"/>
              </w:rPr>
              <w:t>-</w:t>
            </w:r>
          </w:p>
        </w:tc>
        <w:tc>
          <w:tcPr>
            <w:tcW w:w="3149" w:type="dxa"/>
            <w:vAlign w:val="center"/>
          </w:tcPr>
          <w:p w:rsidR="005743CD" w:rsidRPr="00063F90" w:rsidRDefault="005743CD" w:rsidP="00176EFF">
            <w:pPr>
              <w:spacing w:line="360" w:lineRule="auto"/>
              <w:jc w:val="right"/>
              <w:rPr>
                <w:sz w:val="24"/>
              </w:rPr>
            </w:pPr>
            <w:r w:rsidRPr="00063F90">
              <w:rPr>
                <w:rFonts w:hint="eastAsia"/>
                <w:sz w:val="24"/>
              </w:rPr>
              <w:t>-</w:t>
            </w:r>
          </w:p>
        </w:tc>
      </w:tr>
      <w:tr w:rsidR="005743CD" w:rsidRPr="00063F90" w:rsidTr="00176EFF">
        <w:trPr>
          <w:trHeight w:val="285"/>
        </w:trPr>
        <w:tc>
          <w:tcPr>
            <w:tcW w:w="2987" w:type="dxa"/>
            <w:vAlign w:val="center"/>
          </w:tcPr>
          <w:p w:rsidR="005743CD" w:rsidRPr="00063F90" w:rsidRDefault="005743CD" w:rsidP="00176EFF">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176EFF">
            <w:pPr>
              <w:spacing w:line="360" w:lineRule="auto"/>
              <w:jc w:val="right"/>
              <w:rPr>
                <w:sz w:val="24"/>
              </w:rPr>
            </w:pPr>
            <w:r w:rsidRPr="00063F90">
              <w:rPr>
                <w:sz w:val="24"/>
              </w:rPr>
              <w:t>-</w:t>
            </w:r>
          </w:p>
        </w:tc>
        <w:tc>
          <w:tcPr>
            <w:tcW w:w="3149" w:type="dxa"/>
            <w:vAlign w:val="center"/>
          </w:tcPr>
          <w:p w:rsidR="005743CD" w:rsidRPr="00063F90" w:rsidRDefault="005743CD" w:rsidP="00176EFF">
            <w:pPr>
              <w:spacing w:line="360" w:lineRule="auto"/>
              <w:jc w:val="right"/>
              <w:rPr>
                <w:sz w:val="24"/>
              </w:rPr>
            </w:pPr>
            <w:r w:rsidRPr="00063F90">
              <w:rPr>
                <w:sz w:val="24"/>
              </w:rPr>
              <w:t>-</w:t>
            </w:r>
          </w:p>
        </w:tc>
      </w:tr>
      <w:tr w:rsidR="005743CD" w:rsidRPr="00063F90" w:rsidTr="00176EFF">
        <w:trPr>
          <w:trHeight w:val="285"/>
        </w:trPr>
        <w:tc>
          <w:tcPr>
            <w:tcW w:w="2987" w:type="dxa"/>
            <w:vAlign w:val="center"/>
          </w:tcPr>
          <w:p w:rsidR="005743CD" w:rsidRPr="00063F90" w:rsidRDefault="005743CD" w:rsidP="00176EFF">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176EFF">
            <w:pPr>
              <w:spacing w:line="360" w:lineRule="auto"/>
              <w:jc w:val="right"/>
              <w:rPr>
                <w:sz w:val="24"/>
              </w:rPr>
            </w:pPr>
            <w:r w:rsidRPr="00063F90">
              <w:rPr>
                <w:sz w:val="24"/>
              </w:rPr>
              <w:t>-</w:t>
            </w:r>
          </w:p>
        </w:tc>
        <w:tc>
          <w:tcPr>
            <w:tcW w:w="3149" w:type="dxa"/>
            <w:vAlign w:val="center"/>
          </w:tcPr>
          <w:p w:rsidR="005743CD" w:rsidRPr="00063F90" w:rsidRDefault="005743CD" w:rsidP="00176EFF">
            <w:pPr>
              <w:spacing w:line="360" w:lineRule="auto"/>
              <w:jc w:val="right"/>
              <w:rPr>
                <w:sz w:val="24"/>
              </w:rPr>
            </w:pPr>
            <w:r w:rsidRPr="00063F90">
              <w:rPr>
                <w:sz w:val="24"/>
              </w:rPr>
              <w:t>-</w:t>
            </w:r>
          </w:p>
        </w:tc>
      </w:tr>
      <w:tr w:rsidR="005743CD" w:rsidRPr="005743CD" w:rsidTr="00176EFF">
        <w:trPr>
          <w:trHeight w:val="285"/>
        </w:trPr>
        <w:tc>
          <w:tcPr>
            <w:tcW w:w="2987" w:type="dxa"/>
            <w:vAlign w:val="center"/>
          </w:tcPr>
          <w:p w:rsidR="005743CD" w:rsidRPr="005743CD" w:rsidRDefault="005743CD" w:rsidP="00176EFF">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176EFF">
            <w:pPr>
              <w:spacing w:line="360" w:lineRule="auto"/>
              <w:jc w:val="right"/>
              <w:rPr>
                <w:sz w:val="24"/>
              </w:rPr>
            </w:pPr>
            <w:r w:rsidRPr="005743CD">
              <w:rPr>
                <w:sz w:val="24"/>
              </w:rPr>
              <w:t>-</w:t>
            </w:r>
          </w:p>
        </w:tc>
        <w:tc>
          <w:tcPr>
            <w:tcW w:w="3149" w:type="dxa"/>
            <w:vAlign w:val="bottom"/>
          </w:tcPr>
          <w:p w:rsidR="005743CD" w:rsidRPr="005743CD" w:rsidRDefault="005743CD" w:rsidP="00176EFF">
            <w:pPr>
              <w:spacing w:line="360" w:lineRule="auto"/>
              <w:jc w:val="right"/>
              <w:rPr>
                <w:rFonts w:eastAsiaTheme="minorEastAsia"/>
                <w:sz w:val="24"/>
              </w:rPr>
            </w:pPr>
            <w:r w:rsidRPr="005743CD">
              <w:rPr>
                <w:rFonts w:eastAsiaTheme="minorEastAsia"/>
                <w:sz w:val="24"/>
              </w:rPr>
              <w:t>-</w:t>
            </w:r>
          </w:p>
        </w:tc>
      </w:tr>
      <w:tr w:rsidR="005743CD" w:rsidRPr="005743CD" w:rsidTr="00176EFF">
        <w:trPr>
          <w:trHeight w:val="285"/>
        </w:trPr>
        <w:tc>
          <w:tcPr>
            <w:tcW w:w="2987" w:type="dxa"/>
            <w:vAlign w:val="center"/>
          </w:tcPr>
          <w:p w:rsidR="005743CD" w:rsidRPr="005743CD" w:rsidRDefault="005743CD" w:rsidP="00176EFF">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176EFF">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176EFF">
            <w:pPr>
              <w:spacing w:line="360" w:lineRule="auto"/>
              <w:jc w:val="right"/>
              <w:rPr>
                <w:rFonts w:eastAsiaTheme="minorEastAsia"/>
                <w:sz w:val="24"/>
              </w:rPr>
            </w:pPr>
            <w:r w:rsidRPr="005743CD">
              <w:rPr>
                <w:rFonts w:eastAsiaTheme="minorEastAsia"/>
                <w:sz w:val="24"/>
              </w:rPr>
              <w:t>-</w:t>
            </w:r>
          </w:p>
        </w:tc>
      </w:tr>
      <w:tr w:rsidR="005743CD" w:rsidRPr="005743CD" w:rsidTr="00176EFF">
        <w:trPr>
          <w:trHeight w:val="285"/>
        </w:trPr>
        <w:tc>
          <w:tcPr>
            <w:tcW w:w="2987" w:type="dxa"/>
            <w:vAlign w:val="center"/>
          </w:tcPr>
          <w:p w:rsidR="005743CD" w:rsidRPr="005743CD" w:rsidRDefault="005743CD" w:rsidP="00176EFF">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176EFF">
            <w:pPr>
              <w:spacing w:line="360" w:lineRule="auto"/>
              <w:jc w:val="right"/>
              <w:rPr>
                <w:rFonts w:eastAsiaTheme="minorEastAsia"/>
                <w:sz w:val="24"/>
              </w:rPr>
            </w:pPr>
            <w:r w:rsidRPr="005743CD">
              <w:rPr>
                <w:rFonts w:eastAsiaTheme="minorEastAsia"/>
                <w:sz w:val="24"/>
              </w:rPr>
              <w:t>-13,288,877.47</w:t>
            </w:r>
          </w:p>
        </w:tc>
        <w:tc>
          <w:tcPr>
            <w:tcW w:w="3149" w:type="dxa"/>
            <w:vAlign w:val="bottom"/>
          </w:tcPr>
          <w:p w:rsidR="005743CD" w:rsidRPr="005743CD" w:rsidRDefault="005743CD" w:rsidP="00176EFF">
            <w:pPr>
              <w:spacing w:line="360" w:lineRule="auto"/>
              <w:jc w:val="right"/>
              <w:rPr>
                <w:rFonts w:eastAsiaTheme="minorEastAsia"/>
                <w:sz w:val="24"/>
              </w:rPr>
            </w:pPr>
            <w:r w:rsidRPr="005743CD">
              <w:rPr>
                <w:rFonts w:eastAsiaTheme="minorEastAsia"/>
                <w:sz w:val="24"/>
              </w:rPr>
              <w:t>30,621,017.23</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2,445.91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0F397F">
        <w:tc>
          <w:tcPr>
            <w:tcW w:w="2732" w:type="dxa"/>
            <w:vAlign w:val="center"/>
          </w:tcPr>
          <w:p w:rsidR="000F397F" w:rsidRDefault="0015641A">
            <w:pPr>
              <w:jc w:val="left"/>
            </w:pPr>
            <w:r>
              <w:rPr>
                <w:sz w:val="24"/>
              </w:rPr>
              <w:t>基金转换费收入</w:t>
            </w:r>
          </w:p>
        </w:tc>
        <w:tc>
          <w:tcPr>
            <w:tcW w:w="2977" w:type="dxa"/>
            <w:vAlign w:val="center"/>
          </w:tcPr>
          <w:p w:rsidR="000F397F" w:rsidRDefault="0015641A">
            <w:pPr>
              <w:jc w:val="right"/>
            </w:pPr>
            <w:r>
              <w:rPr>
                <w:sz w:val="24"/>
              </w:rPr>
              <w:t>10.64</w:t>
            </w:r>
          </w:p>
        </w:tc>
        <w:tc>
          <w:tcPr>
            <w:tcW w:w="3289" w:type="dxa"/>
            <w:vAlign w:val="center"/>
          </w:tcPr>
          <w:p w:rsidR="000F397F" w:rsidRDefault="0015641A">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2,456.55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0F397F" w:rsidRDefault="0015641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176EFF">
        <w:trPr>
          <w:trHeight w:val="285"/>
        </w:trPr>
        <w:tc>
          <w:tcPr>
            <w:tcW w:w="2528" w:type="dxa"/>
            <w:vAlign w:val="center"/>
          </w:tcPr>
          <w:p w:rsidR="00660056" w:rsidRPr="00A73188" w:rsidRDefault="00660056" w:rsidP="00176EFF">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176EFF">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176EFF">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176EFF">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176EFF">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176EFF">
        <w:trPr>
          <w:trHeight w:val="285"/>
        </w:trPr>
        <w:tc>
          <w:tcPr>
            <w:tcW w:w="2528" w:type="dxa"/>
            <w:vAlign w:val="center"/>
          </w:tcPr>
          <w:p w:rsidR="00660056" w:rsidRPr="00A73188" w:rsidRDefault="00660056" w:rsidP="00176EFF">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176EFF">
            <w:pPr>
              <w:spacing w:line="360" w:lineRule="auto"/>
              <w:jc w:val="right"/>
              <w:rPr>
                <w:rFonts w:eastAsiaTheme="minorEastAsia"/>
                <w:color w:val="000000" w:themeColor="text1"/>
                <w:szCs w:val="21"/>
              </w:rPr>
            </w:pPr>
            <w:r w:rsidRPr="00A73188">
              <w:rPr>
                <w:rFonts w:eastAsiaTheme="minorEastAsia"/>
                <w:color w:val="000000" w:themeColor="text1"/>
                <w:szCs w:val="21"/>
              </w:rPr>
              <w:t>2,032.56</w:t>
            </w:r>
          </w:p>
        </w:tc>
        <w:tc>
          <w:tcPr>
            <w:tcW w:w="3553" w:type="dxa"/>
            <w:vAlign w:val="center"/>
          </w:tcPr>
          <w:p w:rsidR="00660056" w:rsidRPr="00A73188" w:rsidRDefault="00660056" w:rsidP="00176EFF">
            <w:pPr>
              <w:spacing w:line="360" w:lineRule="auto"/>
              <w:jc w:val="right"/>
              <w:rPr>
                <w:rFonts w:eastAsiaTheme="minorEastAsia"/>
                <w:color w:val="000000" w:themeColor="text1"/>
                <w:szCs w:val="21"/>
              </w:rPr>
            </w:pPr>
            <w:r w:rsidRPr="00A73188">
              <w:rPr>
                <w:rFonts w:eastAsiaTheme="minorEastAsia"/>
                <w:color w:val="000000" w:themeColor="text1"/>
                <w:szCs w:val="21"/>
              </w:rPr>
              <w:t>711.34</w:t>
            </w:r>
          </w:p>
        </w:tc>
      </w:tr>
      <w:tr w:rsidR="00660056" w:rsidRPr="00A73188" w:rsidTr="00176EFF">
        <w:trPr>
          <w:trHeight w:val="285"/>
        </w:trPr>
        <w:tc>
          <w:tcPr>
            <w:tcW w:w="2528" w:type="dxa"/>
            <w:vAlign w:val="center"/>
          </w:tcPr>
          <w:p w:rsidR="00660056" w:rsidRPr="00A73188" w:rsidRDefault="00660056" w:rsidP="00176EFF">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176EFF">
            <w:pPr>
              <w:spacing w:line="360" w:lineRule="auto"/>
              <w:jc w:val="right"/>
              <w:rPr>
                <w:rFonts w:eastAsiaTheme="minorEastAsia"/>
                <w:color w:val="000000" w:themeColor="text1"/>
                <w:szCs w:val="21"/>
              </w:rPr>
            </w:pPr>
            <w:r w:rsidRPr="00A73188">
              <w:rPr>
                <w:rFonts w:eastAsiaTheme="minorEastAsia"/>
                <w:color w:val="000000" w:themeColor="text1"/>
                <w:szCs w:val="21"/>
              </w:rPr>
              <w:t>9,675.00</w:t>
            </w:r>
          </w:p>
        </w:tc>
        <w:tc>
          <w:tcPr>
            <w:tcW w:w="3553" w:type="dxa"/>
            <w:vAlign w:val="center"/>
          </w:tcPr>
          <w:p w:rsidR="00660056" w:rsidRPr="00A73188" w:rsidRDefault="00660056" w:rsidP="00176EFF">
            <w:pPr>
              <w:spacing w:line="360" w:lineRule="auto"/>
              <w:jc w:val="right"/>
              <w:rPr>
                <w:rFonts w:eastAsiaTheme="minorEastAsia"/>
                <w:color w:val="000000" w:themeColor="text1"/>
                <w:szCs w:val="21"/>
              </w:rPr>
            </w:pPr>
            <w:r w:rsidRPr="00A73188">
              <w:rPr>
                <w:rFonts w:eastAsiaTheme="minorEastAsia"/>
                <w:color w:val="000000" w:themeColor="text1"/>
                <w:szCs w:val="21"/>
              </w:rPr>
              <w:t>4,287.50</w:t>
            </w:r>
          </w:p>
        </w:tc>
      </w:tr>
      <w:tr w:rsidR="00660056" w:rsidRPr="00A73188" w:rsidTr="00176EFF">
        <w:trPr>
          <w:trHeight w:val="285"/>
        </w:trPr>
        <w:tc>
          <w:tcPr>
            <w:tcW w:w="2528" w:type="dxa"/>
            <w:vAlign w:val="center"/>
          </w:tcPr>
          <w:p w:rsidR="00660056" w:rsidRPr="00A73188" w:rsidRDefault="00660056" w:rsidP="00176EFF">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176EFF">
            <w:pPr>
              <w:spacing w:line="360" w:lineRule="auto"/>
              <w:jc w:val="right"/>
              <w:rPr>
                <w:rFonts w:eastAsiaTheme="minorEastAsia"/>
                <w:color w:val="000000" w:themeColor="text1"/>
                <w:szCs w:val="21"/>
              </w:rPr>
            </w:pPr>
            <w:r w:rsidRPr="00A73188">
              <w:rPr>
                <w:rFonts w:eastAsiaTheme="minorEastAsia"/>
                <w:color w:val="000000" w:themeColor="text1"/>
                <w:szCs w:val="21"/>
              </w:rPr>
              <w:t>11,707.56</w:t>
            </w:r>
          </w:p>
        </w:tc>
        <w:tc>
          <w:tcPr>
            <w:tcW w:w="3553" w:type="dxa"/>
            <w:vAlign w:val="center"/>
          </w:tcPr>
          <w:p w:rsidR="00660056" w:rsidRPr="00A73188" w:rsidRDefault="00660056" w:rsidP="00176EFF">
            <w:pPr>
              <w:spacing w:line="360" w:lineRule="auto"/>
              <w:jc w:val="right"/>
              <w:rPr>
                <w:rFonts w:eastAsiaTheme="minorEastAsia"/>
                <w:color w:val="000000" w:themeColor="text1"/>
                <w:szCs w:val="21"/>
              </w:rPr>
            </w:pPr>
            <w:r w:rsidRPr="00A73188">
              <w:rPr>
                <w:rFonts w:eastAsiaTheme="minorEastAsia"/>
                <w:color w:val="000000" w:themeColor="text1"/>
                <w:szCs w:val="21"/>
              </w:rPr>
              <w:t>4,998.84</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0F397F">
        <w:tc>
          <w:tcPr>
            <w:tcW w:w="2819" w:type="dxa"/>
            <w:vAlign w:val="center"/>
          </w:tcPr>
          <w:p w:rsidR="000F397F" w:rsidRDefault="0015641A">
            <w:pPr>
              <w:jc w:val="left"/>
            </w:pPr>
            <w:r>
              <w:rPr>
                <w:sz w:val="24"/>
              </w:rPr>
              <w:t>银行费用</w:t>
            </w:r>
          </w:p>
        </w:tc>
        <w:tc>
          <w:tcPr>
            <w:tcW w:w="2856" w:type="dxa"/>
            <w:vAlign w:val="center"/>
          </w:tcPr>
          <w:p w:rsidR="000F397F" w:rsidRDefault="0015641A">
            <w:pPr>
              <w:jc w:val="right"/>
            </w:pPr>
            <w:r>
              <w:rPr>
                <w:sz w:val="24"/>
              </w:rPr>
              <w:t>18,155.72</w:t>
            </w:r>
          </w:p>
        </w:tc>
        <w:tc>
          <w:tcPr>
            <w:tcW w:w="3323" w:type="dxa"/>
            <w:vAlign w:val="center"/>
          </w:tcPr>
          <w:p w:rsidR="000F397F" w:rsidRDefault="0015641A">
            <w:pPr>
              <w:jc w:val="right"/>
            </w:pPr>
            <w:r>
              <w:rPr>
                <w:sz w:val="24"/>
              </w:rPr>
              <w:t>8,842.56</w:t>
            </w:r>
          </w:p>
        </w:tc>
      </w:tr>
      <w:tr w:rsidR="000F397F">
        <w:tc>
          <w:tcPr>
            <w:tcW w:w="2819" w:type="dxa"/>
            <w:vAlign w:val="center"/>
          </w:tcPr>
          <w:p w:rsidR="000F397F" w:rsidRDefault="0015641A">
            <w:pPr>
              <w:jc w:val="left"/>
            </w:pPr>
            <w:r>
              <w:rPr>
                <w:sz w:val="24"/>
              </w:rPr>
              <w:t>债券账户费用</w:t>
            </w:r>
          </w:p>
        </w:tc>
        <w:tc>
          <w:tcPr>
            <w:tcW w:w="2856" w:type="dxa"/>
            <w:vAlign w:val="center"/>
          </w:tcPr>
          <w:p w:rsidR="000F397F" w:rsidRDefault="0015641A">
            <w:pPr>
              <w:jc w:val="right"/>
            </w:pPr>
            <w:r>
              <w:rPr>
                <w:sz w:val="24"/>
              </w:rPr>
              <w:t>37,200.00</w:t>
            </w:r>
          </w:p>
        </w:tc>
        <w:tc>
          <w:tcPr>
            <w:tcW w:w="3323" w:type="dxa"/>
            <w:vAlign w:val="center"/>
          </w:tcPr>
          <w:p w:rsidR="000F397F" w:rsidRDefault="0015641A">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115,355.72</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375,342.56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lastRenderedPageBreak/>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176EFF">
        <w:tc>
          <w:tcPr>
            <w:tcW w:w="5220" w:type="dxa"/>
          </w:tcPr>
          <w:p w:rsidR="00882004" w:rsidRPr="004E7650" w:rsidRDefault="00882004" w:rsidP="00176EFF">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176EFF">
            <w:pPr>
              <w:spacing w:before="29" w:line="288" w:lineRule="auto"/>
              <w:jc w:val="center"/>
              <w:rPr>
                <w:color w:val="000000"/>
                <w:sz w:val="24"/>
              </w:rPr>
            </w:pPr>
            <w:r w:rsidRPr="004E7650">
              <w:rPr>
                <w:rFonts w:hint="eastAsia"/>
                <w:color w:val="000000"/>
                <w:sz w:val="24"/>
              </w:rPr>
              <w:t>与本基金的关系</w:t>
            </w:r>
          </w:p>
        </w:tc>
      </w:tr>
      <w:tr w:rsidR="000F397F">
        <w:tc>
          <w:tcPr>
            <w:tcW w:w="5220" w:type="dxa"/>
            <w:vAlign w:val="center"/>
          </w:tcPr>
          <w:p w:rsidR="000F397F" w:rsidRDefault="0015641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F397F" w:rsidRDefault="0015641A">
            <w:pPr>
              <w:jc w:val="center"/>
            </w:pPr>
            <w:r>
              <w:rPr>
                <w:color w:val="000000"/>
                <w:sz w:val="24"/>
              </w:rPr>
              <w:t>基金管理人、基金销售机构</w:t>
            </w:r>
          </w:p>
        </w:tc>
      </w:tr>
      <w:tr w:rsidR="000F397F">
        <w:tc>
          <w:tcPr>
            <w:tcW w:w="5220" w:type="dxa"/>
            <w:vAlign w:val="center"/>
          </w:tcPr>
          <w:p w:rsidR="000F397F" w:rsidRDefault="0015641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0F397F" w:rsidRDefault="0015641A">
            <w:pPr>
              <w:jc w:val="center"/>
            </w:pPr>
            <w:r>
              <w:rPr>
                <w:color w:val="000000"/>
                <w:sz w:val="24"/>
              </w:rPr>
              <w:t>基金托管人、基金销售机构</w:t>
            </w:r>
          </w:p>
        </w:tc>
      </w:tr>
      <w:tr w:rsidR="000F397F">
        <w:tc>
          <w:tcPr>
            <w:tcW w:w="5220" w:type="dxa"/>
            <w:vAlign w:val="center"/>
          </w:tcPr>
          <w:p w:rsidR="000F397F" w:rsidRDefault="0015641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0F397F" w:rsidRDefault="0015641A">
            <w:pPr>
              <w:jc w:val="center"/>
            </w:pPr>
            <w:r>
              <w:rPr>
                <w:color w:val="000000"/>
                <w:sz w:val="24"/>
              </w:rPr>
              <w:t>基金管理人的股东、基金销售机构</w:t>
            </w:r>
          </w:p>
        </w:tc>
      </w:tr>
      <w:tr w:rsidR="000F397F">
        <w:tc>
          <w:tcPr>
            <w:tcW w:w="5220" w:type="dxa"/>
            <w:vAlign w:val="center"/>
          </w:tcPr>
          <w:p w:rsidR="000F397F" w:rsidRDefault="0015641A">
            <w:pPr>
              <w:jc w:val="left"/>
            </w:pPr>
            <w:r>
              <w:rPr>
                <w:color w:val="000000"/>
                <w:sz w:val="24"/>
              </w:rPr>
              <w:t>施罗德投资管理有限公司</w:t>
            </w:r>
          </w:p>
        </w:tc>
        <w:tc>
          <w:tcPr>
            <w:tcW w:w="3780" w:type="dxa"/>
            <w:vAlign w:val="center"/>
          </w:tcPr>
          <w:p w:rsidR="000F397F" w:rsidRDefault="0015641A">
            <w:pPr>
              <w:jc w:val="center"/>
            </w:pPr>
            <w:r>
              <w:rPr>
                <w:color w:val="000000"/>
                <w:sz w:val="24"/>
              </w:rPr>
              <w:t>基金管理人的股东</w:t>
            </w:r>
          </w:p>
        </w:tc>
      </w:tr>
      <w:tr w:rsidR="000F397F">
        <w:tc>
          <w:tcPr>
            <w:tcW w:w="5220" w:type="dxa"/>
            <w:vAlign w:val="center"/>
          </w:tcPr>
          <w:p w:rsidR="000F397F" w:rsidRDefault="0015641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F397F" w:rsidRDefault="0015641A">
            <w:pPr>
              <w:jc w:val="center"/>
            </w:pPr>
            <w:r>
              <w:rPr>
                <w:color w:val="000000"/>
                <w:sz w:val="24"/>
              </w:rPr>
              <w:t>基金管理人的股东</w:t>
            </w:r>
          </w:p>
        </w:tc>
      </w:tr>
      <w:tr w:rsidR="000F397F">
        <w:tc>
          <w:tcPr>
            <w:tcW w:w="5220" w:type="dxa"/>
            <w:vAlign w:val="center"/>
          </w:tcPr>
          <w:p w:rsidR="000F397F" w:rsidRDefault="0015641A">
            <w:pPr>
              <w:jc w:val="left"/>
            </w:pPr>
            <w:r>
              <w:rPr>
                <w:color w:val="000000"/>
                <w:sz w:val="24"/>
              </w:rPr>
              <w:t>交银施罗德资产管理有限公司</w:t>
            </w:r>
          </w:p>
        </w:tc>
        <w:tc>
          <w:tcPr>
            <w:tcW w:w="3780" w:type="dxa"/>
            <w:vAlign w:val="center"/>
          </w:tcPr>
          <w:p w:rsidR="000F397F" w:rsidRDefault="0015641A">
            <w:pPr>
              <w:jc w:val="center"/>
            </w:pPr>
            <w:r>
              <w:rPr>
                <w:color w:val="000000"/>
                <w:sz w:val="24"/>
              </w:rPr>
              <w:t>基金管理人的子公司</w:t>
            </w:r>
          </w:p>
        </w:tc>
      </w:tr>
      <w:tr w:rsidR="000F397F">
        <w:tc>
          <w:tcPr>
            <w:tcW w:w="5220" w:type="dxa"/>
            <w:vAlign w:val="center"/>
          </w:tcPr>
          <w:p w:rsidR="000F397F" w:rsidRDefault="0015641A">
            <w:pPr>
              <w:jc w:val="left"/>
            </w:pPr>
            <w:r>
              <w:rPr>
                <w:color w:val="000000"/>
                <w:sz w:val="24"/>
              </w:rPr>
              <w:t>上海直源投资管理有限公司</w:t>
            </w:r>
          </w:p>
        </w:tc>
        <w:tc>
          <w:tcPr>
            <w:tcW w:w="3780" w:type="dxa"/>
            <w:vAlign w:val="center"/>
          </w:tcPr>
          <w:p w:rsidR="000F397F" w:rsidRDefault="0015641A">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1,737,431.94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7,403,409.10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725,808.91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3,059,687.90</w:t>
            </w:r>
          </w:p>
        </w:tc>
      </w:tr>
    </w:tbl>
    <w:p w:rsidR="000F397F" w:rsidRDefault="0015641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0F397F" w:rsidRDefault="0015641A">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1A59F9" w:rsidRPr="00294E74" w:rsidRDefault="001A59F9" w:rsidP="00294E74">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lastRenderedPageBreak/>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lastRenderedPageBreak/>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lastRenderedPageBreak/>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325,768.52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1,388,139.28</w:t>
            </w:r>
          </w:p>
        </w:tc>
      </w:tr>
    </w:tbl>
    <w:p w:rsidR="000F397F" w:rsidRDefault="0015641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F397F">
        <w:tc>
          <w:tcPr>
            <w:tcW w:w="2045" w:type="dxa"/>
            <w:vAlign w:val="center"/>
          </w:tcPr>
          <w:p w:rsidR="000F397F" w:rsidRDefault="0015641A">
            <w:pPr>
              <w:jc w:val="left"/>
            </w:pPr>
            <w:r>
              <w:rPr>
                <w:sz w:val="24"/>
              </w:rPr>
              <w:t>交通银行</w:t>
            </w:r>
          </w:p>
        </w:tc>
        <w:tc>
          <w:tcPr>
            <w:tcW w:w="2455" w:type="dxa"/>
            <w:vAlign w:val="center"/>
          </w:tcPr>
          <w:p w:rsidR="000F397F" w:rsidRDefault="0015641A">
            <w:pPr>
              <w:jc w:val="right"/>
            </w:pPr>
            <w:r>
              <w:rPr>
                <w:sz w:val="24"/>
              </w:rPr>
              <w:t>-</w:t>
            </w:r>
          </w:p>
        </w:tc>
        <w:tc>
          <w:tcPr>
            <w:tcW w:w="2609" w:type="dxa"/>
            <w:vAlign w:val="center"/>
          </w:tcPr>
          <w:p w:rsidR="000F397F" w:rsidRDefault="0015641A">
            <w:pPr>
              <w:jc w:val="right"/>
            </w:pPr>
            <w:r>
              <w:rPr>
                <w:sz w:val="24"/>
              </w:rPr>
              <w:t>614.76</w:t>
            </w:r>
          </w:p>
        </w:tc>
        <w:tc>
          <w:tcPr>
            <w:tcW w:w="1889" w:type="dxa"/>
            <w:vAlign w:val="center"/>
          </w:tcPr>
          <w:p w:rsidR="000F397F" w:rsidRDefault="0015641A">
            <w:pPr>
              <w:jc w:val="right"/>
            </w:pPr>
            <w:r>
              <w:rPr>
                <w:sz w:val="24"/>
              </w:rPr>
              <w:t>614.76</w:t>
            </w:r>
          </w:p>
        </w:tc>
      </w:tr>
      <w:tr w:rsidR="000F397F">
        <w:tc>
          <w:tcPr>
            <w:tcW w:w="2045" w:type="dxa"/>
            <w:vAlign w:val="center"/>
          </w:tcPr>
          <w:p w:rsidR="000F397F" w:rsidRDefault="0015641A">
            <w:pPr>
              <w:jc w:val="left"/>
            </w:pPr>
            <w:r>
              <w:rPr>
                <w:sz w:val="24"/>
              </w:rPr>
              <w:t>招商银行</w:t>
            </w:r>
          </w:p>
        </w:tc>
        <w:tc>
          <w:tcPr>
            <w:tcW w:w="2455" w:type="dxa"/>
            <w:vAlign w:val="center"/>
          </w:tcPr>
          <w:p w:rsidR="000F397F" w:rsidRDefault="0015641A">
            <w:pPr>
              <w:jc w:val="right"/>
            </w:pPr>
            <w:r>
              <w:rPr>
                <w:sz w:val="24"/>
              </w:rPr>
              <w:t>-</w:t>
            </w:r>
          </w:p>
        </w:tc>
        <w:tc>
          <w:tcPr>
            <w:tcW w:w="2609" w:type="dxa"/>
            <w:vAlign w:val="center"/>
          </w:tcPr>
          <w:p w:rsidR="000F397F" w:rsidRDefault="0015641A">
            <w:pPr>
              <w:jc w:val="right"/>
            </w:pPr>
            <w:r>
              <w:rPr>
                <w:sz w:val="24"/>
              </w:rPr>
              <w:t>36,956.18</w:t>
            </w:r>
          </w:p>
        </w:tc>
        <w:tc>
          <w:tcPr>
            <w:tcW w:w="1889" w:type="dxa"/>
            <w:vAlign w:val="center"/>
          </w:tcPr>
          <w:p w:rsidR="000F397F" w:rsidRDefault="0015641A">
            <w:pPr>
              <w:jc w:val="right"/>
            </w:pPr>
            <w:r>
              <w:rPr>
                <w:sz w:val="24"/>
              </w:rPr>
              <w:t>36,956.18</w:t>
            </w:r>
          </w:p>
        </w:tc>
      </w:tr>
      <w:tr w:rsidR="000F397F">
        <w:tc>
          <w:tcPr>
            <w:tcW w:w="2045" w:type="dxa"/>
            <w:vAlign w:val="center"/>
          </w:tcPr>
          <w:p w:rsidR="000F397F" w:rsidRDefault="0015641A">
            <w:pPr>
              <w:jc w:val="left"/>
            </w:pPr>
            <w:r>
              <w:rPr>
                <w:sz w:val="24"/>
              </w:rPr>
              <w:t>交银施罗德基金公司</w:t>
            </w:r>
          </w:p>
        </w:tc>
        <w:tc>
          <w:tcPr>
            <w:tcW w:w="2455" w:type="dxa"/>
            <w:vAlign w:val="center"/>
          </w:tcPr>
          <w:p w:rsidR="000F397F" w:rsidRDefault="0015641A">
            <w:pPr>
              <w:jc w:val="right"/>
            </w:pPr>
            <w:r>
              <w:rPr>
                <w:sz w:val="24"/>
              </w:rPr>
              <w:t>-</w:t>
            </w:r>
          </w:p>
        </w:tc>
        <w:tc>
          <w:tcPr>
            <w:tcW w:w="2609" w:type="dxa"/>
            <w:vAlign w:val="center"/>
          </w:tcPr>
          <w:p w:rsidR="000F397F" w:rsidRDefault="0015641A">
            <w:pPr>
              <w:jc w:val="right"/>
            </w:pPr>
            <w:r>
              <w:rPr>
                <w:sz w:val="24"/>
              </w:rPr>
              <w:t>2,722.49</w:t>
            </w:r>
          </w:p>
        </w:tc>
        <w:tc>
          <w:tcPr>
            <w:tcW w:w="1889" w:type="dxa"/>
            <w:vAlign w:val="center"/>
          </w:tcPr>
          <w:p w:rsidR="000F397F" w:rsidRDefault="0015641A">
            <w:pPr>
              <w:jc w:val="right"/>
            </w:pPr>
            <w:r>
              <w:rPr>
                <w:sz w:val="24"/>
              </w:rPr>
              <w:t>2,722.49</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40,293.43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40,293.43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F397F">
        <w:tc>
          <w:tcPr>
            <w:tcW w:w="2045" w:type="dxa"/>
            <w:vAlign w:val="center"/>
          </w:tcPr>
          <w:p w:rsidR="000F397F" w:rsidRDefault="0015641A">
            <w:pPr>
              <w:jc w:val="left"/>
            </w:pPr>
            <w:r>
              <w:rPr>
                <w:sz w:val="24"/>
              </w:rPr>
              <w:t>交通银行</w:t>
            </w:r>
          </w:p>
        </w:tc>
        <w:tc>
          <w:tcPr>
            <w:tcW w:w="2455" w:type="dxa"/>
            <w:vAlign w:val="center"/>
          </w:tcPr>
          <w:p w:rsidR="000F397F" w:rsidRDefault="0015641A">
            <w:pPr>
              <w:jc w:val="right"/>
            </w:pPr>
            <w:r>
              <w:rPr>
                <w:sz w:val="24"/>
              </w:rPr>
              <w:t>-</w:t>
            </w:r>
          </w:p>
        </w:tc>
        <w:tc>
          <w:tcPr>
            <w:tcW w:w="2609" w:type="dxa"/>
            <w:vAlign w:val="center"/>
          </w:tcPr>
          <w:p w:rsidR="000F397F" w:rsidRDefault="0015641A">
            <w:pPr>
              <w:jc w:val="right"/>
            </w:pPr>
            <w:r>
              <w:rPr>
                <w:sz w:val="24"/>
              </w:rPr>
              <w:t>2,280.43</w:t>
            </w:r>
          </w:p>
        </w:tc>
        <w:tc>
          <w:tcPr>
            <w:tcW w:w="1889" w:type="dxa"/>
            <w:vAlign w:val="center"/>
          </w:tcPr>
          <w:p w:rsidR="000F397F" w:rsidRDefault="0015641A">
            <w:pPr>
              <w:jc w:val="right"/>
            </w:pPr>
            <w:r>
              <w:rPr>
                <w:sz w:val="24"/>
              </w:rPr>
              <w:t>2,280.43</w:t>
            </w:r>
          </w:p>
        </w:tc>
      </w:tr>
      <w:tr w:rsidR="000F397F">
        <w:tc>
          <w:tcPr>
            <w:tcW w:w="2045" w:type="dxa"/>
            <w:vAlign w:val="center"/>
          </w:tcPr>
          <w:p w:rsidR="000F397F" w:rsidRDefault="0015641A">
            <w:pPr>
              <w:jc w:val="left"/>
            </w:pPr>
            <w:r>
              <w:rPr>
                <w:sz w:val="24"/>
              </w:rPr>
              <w:t>交银施罗德基金公司</w:t>
            </w:r>
          </w:p>
        </w:tc>
        <w:tc>
          <w:tcPr>
            <w:tcW w:w="2455" w:type="dxa"/>
            <w:vAlign w:val="center"/>
          </w:tcPr>
          <w:p w:rsidR="000F397F" w:rsidRDefault="0015641A">
            <w:pPr>
              <w:jc w:val="right"/>
            </w:pPr>
            <w:r>
              <w:rPr>
                <w:sz w:val="24"/>
              </w:rPr>
              <w:t>-</w:t>
            </w:r>
          </w:p>
        </w:tc>
        <w:tc>
          <w:tcPr>
            <w:tcW w:w="2609" w:type="dxa"/>
            <w:vAlign w:val="center"/>
          </w:tcPr>
          <w:p w:rsidR="000F397F" w:rsidRDefault="0015641A">
            <w:pPr>
              <w:jc w:val="right"/>
            </w:pPr>
            <w:r>
              <w:rPr>
                <w:sz w:val="24"/>
              </w:rPr>
              <w:t>52.70</w:t>
            </w:r>
          </w:p>
        </w:tc>
        <w:tc>
          <w:tcPr>
            <w:tcW w:w="1889" w:type="dxa"/>
            <w:vAlign w:val="center"/>
          </w:tcPr>
          <w:p w:rsidR="000F397F" w:rsidRDefault="0015641A">
            <w:pPr>
              <w:jc w:val="right"/>
            </w:pPr>
            <w:r>
              <w:rPr>
                <w:sz w:val="24"/>
              </w:rPr>
              <w:t>52.70</w:t>
            </w:r>
          </w:p>
        </w:tc>
      </w:tr>
      <w:tr w:rsidR="000F397F">
        <w:tc>
          <w:tcPr>
            <w:tcW w:w="2045" w:type="dxa"/>
            <w:vAlign w:val="center"/>
          </w:tcPr>
          <w:p w:rsidR="000F397F" w:rsidRDefault="0015641A">
            <w:pPr>
              <w:jc w:val="left"/>
            </w:pPr>
            <w:r>
              <w:rPr>
                <w:sz w:val="24"/>
              </w:rPr>
              <w:t>招商银行</w:t>
            </w:r>
          </w:p>
        </w:tc>
        <w:tc>
          <w:tcPr>
            <w:tcW w:w="2455" w:type="dxa"/>
            <w:vAlign w:val="center"/>
          </w:tcPr>
          <w:p w:rsidR="000F397F" w:rsidRDefault="0015641A">
            <w:pPr>
              <w:jc w:val="right"/>
            </w:pPr>
            <w:r>
              <w:rPr>
                <w:sz w:val="24"/>
              </w:rPr>
              <w:t>-</w:t>
            </w:r>
          </w:p>
        </w:tc>
        <w:tc>
          <w:tcPr>
            <w:tcW w:w="2609" w:type="dxa"/>
            <w:vAlign w:val="center"/>
          </w:tcPr>
          <w:p w:rsidR="000F397F" w:rsidRDefault="0015641A">
            <w:pPr>
              <w:jc w:val="right"/>
            </w:pPr>
            <w:r>
              <w:rPr>
                <w:sz w:val="24"/>
              </w:rPr>
              <w:t>119,956.40</w:t>
            </w:r>
          </w:p>
        </w:tc>
        <w:tc>
          <w:tcPr>
            <w:tcW w:w="1889" w:type="dxa"/>
            <w:vAlign w:val="center"/>
          </w:tcPr>
          <w:p w:rsidR="000F397F" w:rsidRDefault="0015641A">
            <w:pPr>
              <w:jc w:val="right"/>
            </w:pPr>
            <w:r>
              <w:rPr>
                <w:sz w:val="24"/>
              </w:rPr>
              <w:t>119,956.40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122,289.53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122,289.53</w:t>
            </w:r>
          </w:p>
        </w:tc>
      </w:tr>
    </w:tbl>
    <w:p w:rsidR="000F397F" w:rsidRDefault="0015641A">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w:t>
      </w:r>
      <w:r w:rsidR="00FC42DE">
        <w:rPr>
          <w:rFonts w:hint="eastAsia"/>
          <w:kern w:val="0"/>
          <w:sz w:val="24"/>
        </w:rPr>
        <w:t>持有</w:t>
      </w:r>
      <w:r w:rsidRPr="009E3E5B">
        <w:rPr>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F397F">
        <w:tc>
          <w:tcPr>
            <w:tcW w:w="2268" w:type="dxa"/>
            <w:vAlign w:val="center"/>
          </w:tcPr>
          <w:p w:rsidR="000F397F" w:rsidRDefault="0015641A">
            <w:pPr>
              <w:jc w:val="left"/>
            </w:pPr>
            <w:r>
              <w:rPr>
                <w:szCs w:val="21"/>
              </w:rPr>
              <w:t>招商银行</w:t>
            </w:r>
          </w:p>
        </w:tc>
        <w:tc>
          <w:tcPr>
            <w:tcW w:w="1683" w:type="dxa"/>
            <w:vAlign w:val="center"/>
          </w:tcPr>
          <w:p w:rsidR="000F397F" w:rsidRDefault="0015641A">
            <w:pPr>
              <w:jc w:val="right"/>
            </w:pPr>
            <w:r>
              <w:rPr>
                <w:szCs w:val="21"/>
              </w:rPr>
              <w:t>5,350,005.49</w:t>
            </w:r>
          </w:p>
        </w:tc>
        <w:tc>
          <w:tcPr>
            <w:tcW w:w="1683" w:type="dxa"/>
            <w:vAlign w:val="center"/>
          </w:tcPr>
          <w:p w:rsidR="000F397F" w:rsidRDefault="0015641A">
            <w:pPr>
              <w:jc w:val="right"/>
            </w:pPr>
            <w:r>
              <w:rPr>
                <w:szCs w:val="21"/>
              </w:rPr>
              <w:t>62,076.16</w:t>
            </w:r>
          </w:p>
        </w:tc>
        <w:tc>
          <w:tcPr>
            <w:tcW w:w="1683" w:type="dxa"/>
            <w:vAlign w:val="center"/>
          </w:tcPr>
          <w:p w:rsidR="000F397F" w:rsidRDefault="0015641A">
            <w:pPr>
              <w:jc w:val="right"/>
            </w:pPr>
            <w:r>
              <w:rPr>
                <w:szCs w:val="21"/>
              </w:rPr>
              <w:t>180,752.70</w:t>
            </w:r>
          </w:p>
        </w:tc>
        <w:tc>
          <w:tcPr>
            <w:tcW w:w="1683" w:type="dxa"/>
            <w:vAlign w:val="center"/>
          </w:tcPr>
          <w:p w:rsidR="000F397F" w:rsidRDefault="0015641A">
            <w:pPr>
              <w:jc w:val="right"/>
            </w:pPr>
            <w:r>
              <w:rPr>
                <w:szCs w:val="21"/>
              </w:rPr>
              <w:t>7,202.68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交银境尚收益债券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176EFF">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15641A" w:rsidTr="0015641A">
        <w:trPr>
          <w:jc w:val="center"/>
        </w:trPr>
        <w:tc>
          <w:tcPr>
            <w:tcW w:w="853" w:type="dxa"/>
            <w:vAlign w:val="center"/>
          </w:tcPr>
          <w:p w:rsidR="000F397F" w:rsidRDefault="0015641A">
            <w:pPr>
              <w:jc w:val="center"/>
            </w:pPr>
            <w:r>
              <w:rPr>
                <w:szCs w:val="21"/>
              </w:rPr>
              <w:t>1</w:t>
            </w:r>
          </w:p>
        </w:tc>
        <w:tc>
          <w:tcPr>
            <w:tcW w:w="1216" w:type="dxa"/>
            <w:vAlign w:val="center"/>
          </w:tcPr>
          <w:p w:rsidR="000F397F" w:rsidRDefault="0015641A">
            <w:pPr>
              <w:jc w:val="center"/>
            </w:pPr>
            <w:r>
              <w:rPr>
                <w:szCs w:val="21"/>
              </w:rPr>
              <w:t>2019-01-14</w:t>
            </w:r>
          </w:p>
        </w:tc>
        <w:tc>
          <w:tcPr>
            <w:tcW w:w="1478" w:type="dxa"/>
            <w:vAlign w:val="center"/>
          </w:tcPr>
          <w:p w:rsidR="000F397F" w:rsidRDefault="0015641A">
            <w:pPr>
              <w:jc w:val="center"/>
            </w:pPr>
            <w:r>
              <w:rPr>
                <w:szCs w:val="21"/>
              </w:rPr>
              <w:t>2019-01-14</w:t>
            </w:r>
          </w:p>
        </w:tc>
        <w:tc>
          <w:tcPr>
            <w:tcW w:w="1171" w:type="dxa"/>
            <w:vAlign w:val="center"/>
          </w:tcPr>
          <w:p w:rsidR="000F397F" w:rsidRDefault="0015641A">
            <w:pPr>
              <w:jc w:val="right"/>
            </w:pPr>
            <w:r>
              <w:rPr>
                <w:szCs w:val="21"/>
              </w:rPr>
              <w:t>0.550</w:t>
            </w:r>
          </w:p>
        </w:tc>
        <w:tc>
          <w:tcPr>
            <w:tcW w:w="1325" w:type="dxa"/>
            <w:vAlign w:val="center"/>
          </w:tcPr>
          <w:p w:rsidR="000F397F" w:rsidRDefault="0015641A">
            <w:pPr>
              <w:jc w:val="right"/>
            </w:pPr>
            <w:r>
              <w:rPr>
                <w:szCs w:val="21"/>
              </w:rPr>
              <w:t>47,694,420.95</w:t>
            </w:r>
          </w:p>
        </w:tc>
        <w:tc>
          <w:tcPr>
            <w:tcW w:w="1325" w:type="dxa"/>
            <w:vAlign w:val="center"/>
          </w:tcPr>
          <w:p w:rsidR="000F397F" w:rsidRDefault="0015641A">
            <w:pPr>
              <w:jc w:val="right"/>
            </w:pPr>
            <w:r>
              <w:rPr>
                <w:szCs w:val="21"/>
              </w:rPr>
              <w:t>-</w:t>
            </w:r>
          </w:p>
        </w:tc>
        <w:tc>
          <w:tcPr>
            <w:tcW w:w="1325" w:type="dxa"/>
            <w:vAlign w:val="center"/>
          </w:tcPr>
          <w:p w:rsidR="000F397F" w:rsidRDefault="0015641A">
            <w:pPr>
              <w:jc w:val="right"/>
            </w:pPr>
            <w:r>
              <w:rPr>
                <w:szCs w:val="21"/>
              </w:rPr>
              <w:t>47,694,420.95</w:t>
            </w:r>
          </w:p>
        </w:tc>
        <w:tc>
          <w:tcPr>
            <w:tcW w:w="948" w:type="dxa"/>
            <w:vAlign w:val="center"/>
          </w:tcPr>
          <w:p w:rsidR="000F397F" w:rsidRDefault="0015641A">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0.550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47,694,420.95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47,694,420.95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交银境尚收益债券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176EFF">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lastRenderedPageBreak/>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15641A" w:rsidTr="0015641A">
        <w:trPr>
          <w:jc w:val="center"/>
        </w:trPr>
        <w:tc>
          <w:tcPr>
            <w:tcW w:w="853" w:type="dxa"/>
            <w:vAlign w:val="center"/>
          </w:tcPr>
          <w:p w:rsidR="000F397F" w:rsidRDefault="0015641A">
            <w:pPr>
              <w:jc w:val="center"/>
            </w:pPr>
            <w:r>
              <w:rPr>
                <w:szCs w:val="21"/>
              </w:rPr>
              <w:t>1</w:t>
            </w:r>
          </w:p>
        </w:tc>
        <w:tc>
          <w:tcPr>
            <w:tcW w:w="1216" w:type="dxa"/>
            <w:vAlign w:val="center"/>
          </w:tcPr>
          <w:p w:rsidR="000F397F" w:rsidRDefault="0015641A">
            <w:pPr>
              <w:jc w:val="center"/>
            </w:pPr>
            <w:r>
              <w:rPr>
                <w:szCs w:val="21"/>
              </w:rPr>
              <w:t>2019-01-14</w:t>
            </w:r>
          </w:p>
        </w:tc>
        <w:tc>
          <w:tcPr>
            <w:tcW w:w="1478" w:type="dxa"/>
            <w:vAlign w:val="center"/>
          </w:tcPr>
          <w:p w:rsidR="000F397F" w:rsidRDefault="0015641A">
            <w:pPr>
              <w:jc w:val="center"/>
            </w:pPr>
            <w:r>
              <w:rPr>
                <w:szCs w:val="21"/>
              </w:rPr>
              <w:t>2019-01-14</w:t>
            </w:r>
          </w:p>
        </w:tc>
        <w:tc>
          <w:tcPr>
            <w:tcW w:w="1171" w:type="dxa"/>
            <w:vAlign w:val="center"/>
          </w:tcPr>
          <w:p w:rsidR="000F397F" w:rsidRDefault="0015641A">
            <w:pPr>
              <w:jc w:val="right"/>
            </w:pPr>
            <w:r>
              <w:rPr>
                <w:szCs w:val="21"/>
              </w:rPr>
              <w:t>0.500</w:t>
            </w:r>
          </w:p>
        </w:tc>
        <w:tc>
          <w:tcPr>
            <w:tcW w:w="1325" w:type="dxa"/>
            <w:vAlign w:val="center"/>
          </w:tcPr>
          <w:p w:rsidR="000F397F" w:rsidRDefault="0015641A">
            <w:pPr>
              <w:jc w:val="right"/>
            </w:pPr>
            <w:r>
              <w:rPr>
                <w:szCs w:val="21"/>
              </w:rPr>
              <w:t>979,573.89</w:t>
            </w:r>
          </w:p>
        </w:tc>
        <w:tc>
          <w:tcPr>
            <w:tcW w:w="1325" w:type="dxa"/>
            <w:vAlign w:val="center"/>
          </w:tcPr>
          <w:p w:rsidR="000F397F" w:rsidRDefault="0015641A">
            <w:pPr>
              <w:jc w:val="right"/>
            </w:pPr>
            <w:r>
              <w:rPr>
                <w:szCs w:val="21"/>
              </w:rPr>
              <w:t>-</w:t>
            </w:r>
          </w:p>
        </w:tc>
        <w:tc>
          <w:tcPr>
            <w:tcW w:w="1325" w:type="dxa"/>
            <w:vAlign w:val="center"/>
          </w:tcPr>
          <w:p w:rsidR="000F397F" w:rsidRDefault="0015641A">
            <w:pPr>
              <w:jc w:val="right"/>
            </w:pPr>
            <w:r>
              <w:rPr>
                <w:szCs w:val="21"/>
              </w:rPr>
              <w:t>979,573.89</w:t>
            </w:r>
          </w:p>
        </w:tc>
        <w:tc>
          <w:tcPr>
            <w:tcW w:w="948" w:type="dxa"/>
            <w:vAlign w:val="center"/>
          </w:tcPr>
          <w:p w:rsidR="000F397F" w:rsidRDefault="0015641A">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0.500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979,573.89</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979,573.89</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w:t>
      </w:r>
      <w:r w:rsidR="00380733">
        <w:rPr>
          <w:rFonts w:hint="eastAsia"/>
          <w:kern w:val="0"/>
          <w:sz w:val="24"/>
        </w:rPr>
        <w:t>报告</w:t>
      </w:r>
      <w:r w:rsidRPr="00D754A9">
        <w:rPr>
          <w:kern w:val="0"/>
          <w:sz w:val="24"/>
        </w:rPr>
        <w:t>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380733" w:rsidRPr="00633504" w:rsidRDefault="00380733" w:rsidP="00380733">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F397F" w:rsidRDefault="0015641A">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0F397F" w:rsidRDefault="0015641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kern w:val="0"/>
          <w:sz w:val="24"/>
        </w:rPr>
        <w:lastRenderedPageBreak/>
        <w:t>行使督察权利，直接对董事会负责，就内部控制制度和执行情况独立地履行检查、评价、报告、建议职能，定期和不定期地向董事会报告公司内部控制执行情况。</w:t>
      </w:r>
    </w:p>
    <w:p w:rsidR="000F397F" w:rsidRDefault="0015641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F397F" w:rsidRDefault="0015641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F397F" w:rsidRDefault="0015641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176EFF">
        <w:tc>
          <w:tcPr>
            <w:tcW w:w="2590" w:type="dxa"/>
            <w:vAlign w:val="center"/>
          </w:tcPr>
          <w:p w:rsidR="00271758" w:rsidRPr="00271758" w:rsidRDefault="00271758" w:rsidP="00176EFF">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176EFF">
        <w:tc>
          <w:tcPr>
            <w:tcW w:w="2590" w:type="dxa"/>
          </w:tcPr>
          <w:p w:rsidR="00271758" w:rsidRPr="00271758" w:rsidRDefault="00271758" w:rsidP="00176EFF">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60,687,000.00</w:t>
            </w:r>
          </w:p>
        </w:tc>
      </w:tr>
      <w:tr w:rsidR="00271758" w:rsidRPr="00271758" w:rsidTr="00176EFF">
        <w:tc>
          <w:tcPr>
            <w:tcW w:w="2590" w:type="dxa"/>
          </w:tcPr>
          <w:p w:rsidR="00271758" w:rsidRPr="00271758" w:rsidRDefault="00271758" w:rsidP="00176EFF">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r>
      <w:tr w:rsidR="00271758" w:rsidRPr="00271758" w:rsidTr="00176EFF">
        <w:tc>
          <w:tcPr>
            <w:tcW w:w="2590" w:type="dxa"/>
            <w:vAlign w:val="center"/>
          </w:tcPr>
          <w:p w:rsidR="00271758" w:rsidRPr="00271758" w:rsidRDefault="00271758" w:rsidP="00176EFF">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176EFF">
            <w:pPr>
              <w:spacing w:line="360" w:lineRule="auto"/>
              <w:jc w:val="right"/>
              <w:rPr>
                <w:rFonts w:eastAsiaTheme="minorEastAsia"/>
                <w:sz w:val="24"/>
              </w:rPr>
            </w:pPr>
            <w:r w:rsidRPr="00271758">
              <w:rPr>
                <w:rFonts w:eastAsiaTheme="minorEastAsia"/>
                <w:sz w:val="24"/>
              </w:rPr>
              <w:t>287,114,000.00</w:t>
            </w:r>
          </w:p>
        </w:tc>
      </w:tr>
      <w:tr w:rsidR="00271758" w:rsidRPr="00271758" w:rsidTr="00176EFF">
        <w:tc>
          <w:tcPr>
            <w:tcW w:w="2590" w:type="dxa"/>
            <w:vAlign w:val="center"/>
          </w:tcPr>
          <w:p w:rsidR="00271758" w:rsidRPr="00271758" w:rsidRDefault="00271758" w:rsidP="00176EFF">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176EFF">
            <w:pPr>
              <w:spacing w:line="360" w:lineRule="auto"/>
              <w:jc w:val="right"/>
              <w:rPr>
                <w:rFonts w:eastAsiaTheme="minorEastAsia"/>
                <w:sz w:val="24"/>
              </w:rPr>
            </w:pPr>
            <w:r w:rsidRPr="00271758">
              <w:rPr>
                <w:rFonts w:eastAsiaTheme="minorEastAsia"/>
                <w:sz w:val="24"/>
              </w:rPr>
              <w:t>347,801,000.00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176EFF">
        <w:tc>
          <w:tcPr>
            <w:tcW w:w="2552" w:type="dxa"/>
            <w:vAlign w:val="center"/>
          </w:tcPr>
          <w:p w:rsidR="00271758" w:rsidRPr="00271758" w:rsidRDefault="00271758" w:rsidP="00176EFF">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上年度末</w:t>
            </w:r>
          </w:p>
          <w:p w:rsidR="00271758" w:rsidRPr="00271758" w:rsidRDefault="00271758" w:rsidP="00176EFF">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176EFF">
        <w:tc>
          <w:tcPr>
            <w:tcW w:w="2552" w:type="dxa"/>
          </w:tcPr>
          <w:p w:rsidR="00271758" w:rsidRPr="00271758" w:rsidRDefault="00271758" w:rsidP="00176EFF">
            <w:pPr>
              <w:spacing w:line="360" w:lineRule="auto"/>
              <w:rPr>
                <w:rFonts w:eastAsiaTheme="minorEastAsia"/>
                <w:sz w:val="24"/>
              </w:rPr>
            </w:pPr>
            <w:r w:rsidRPr="00271758">
              <w:rPr>
                <w:rFonts w:eastAsiaTheme="minorEastAsia"/>
                <w:sz w:val="24"/>
              </w:rPr>
              <w:lastRenderedPageBreak/>
              <w:t>AAA</w:t>
            </w:r>
          </w:p>
        </w:tc>
        <w:tc>
          <w:tcPr>
            <w:tcW w:w="2835"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1,047,741,000.00</w:t>
            </w:r>
          </w:p>
        </w:tc>
      </w:tr>
      <w:tr w:rsidR="00271758" w:rsidRPr="00271758" w:rsidTr="00176EFF">
        <w:tc>
          <w:tcPr>
            <w:tcW w:w="2552" w:type="dxa"/>
          </w:tcPr>
          <w:p w:rsidR="00271758" w:rsidRPr="00271758" w:rsidRDefault="00271758" w:rsidP="00176EFF">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381,009,102.50</w:t>
            </w:r>
          </w:p>
        </w:tc>
      </w:tr>
      <w:tr w:rsidR="00271758" w:rsidRPr="00271758" w:rsidTr="00176EFF">
        <w:tc>
          <w:tcPr>
            <w:tcW w:w="2552" w:type="dxa"/>
            <w:vAlign w:val="center"/>
          </w:tcPr>
          <w:p w:rsidR="00271758" w:rsidRPr="00271758" w:rsidRDefault="00271758" w:rsidP="00176EFF">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35,478,860.00</w:t>
            </w:r>
          </w:p>
        </w:tc>
        <w:tc>
          <w:tcPr>
            <w:tcW w:w="3260" w:type="dxa"/>
          </w:tcPr>
          <w:p w:rsidR="00271758" w:rsidRPr="00271758" w:rsidRDefault="00271758" w:rsidP="00176EFF">
            <w:pPr>
              <w:spacing w:line="360" w:lineRule="auto"/>
              <w:jc w:val="right"/>
              <w:rPr>
                <w:rFonts w:eastAsiaTheme="minorEastAsia"/>
                <w:sz w:val="24"/>
              </w:rPr>
            </w:pPr>
            <w:r w:rsidRPr="00271758">
              <w:rPr>
                <w:rFonts w:eastAsiaTheme="minorEastAsia"/>
                <w:sz w:val="24"/>
              </w:rPr>
              <w:t>-</w:t>
            </w:r>
          </w:p>
        </w:tc>
      </w:tr>
      <w:tr w:rsidR="00271758" w:rsidRPr="00271758" w:rsidTr="00176EFF">
        <w:tc>
          <w:tcPr>
            <w:tcW w:w="2552" w:type="dxa"/>
            <w:vAlign w:val="center"/>
          </w:tcPr>
          <w:p w:rsidR="00271758" w:rsidRPr="00271758" w:rsidRDefault="00271758" w:rsidP="00176EFF">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176EFF">
            <w:pPr>
              <w:spacing w:line="360" w:lineRule="auto"/>
              <w:jc w:val="right"/>
              <w:rPr>
                <w:rFonts w:eastAsiaTheme="minorEastAsia"/>
                <w:sz w:val="24"/>
              </w:rPr>
            </w:pPr>
            <w:r w:rsidRPr="00271758">
              <w:rPr>
                <w:rFonts w:eastAsiaTheme="minorEastAsia"/>
                <w:sz w:val="24"/>
              </w:rPr>
              <w:t>35,478,860.00</w:t>
            </w:r>
          </w:p>
        </w:tc>
        <w:tc>
          <w:tcPr>
            <w:tcW w:w="3260" w:type="dxa"/>
            <w:vAlign w:val="center"/>
          </w:tcPr>
          <w:p w:rsidR="00271758" w:rsidRPr="00271758" w:rsidRDefault="00271758" w:rsidP="00176EFF">
            <w:pPr>
              <w:spacing w:line="360" w:lineRule="auto"/>
              <w:jc w:val="right"/>
              <w:rPr>
                <w:rFonts w:eastAsiaTheme="minorEastAsia"/>
                <w:sz w:val="24"/>
              </w:rPr>
            </w:pPr>
            <w:r w:rsidRPr="00271758">
              <w:rPr>
                <w:rFonts w:eastAsiaTheme="minorEastAsia"/>
                <w:sz w:val="24"/>
              </w:rPr>
              <w:t>1,428,750,102.50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F397F" w:rsidRDefault="0015641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封闭期结束后基金份额持有人可随时要求赎回其持有的基金份额，另一方面来自于投资品种所处的交易市场不活跃而带来的变现困难或因投资集中而无法在市场出现剧烈波动的情况下以合理的价格变现。</w:t>
      </w:r>
    </w:p>
    <w:p w:rsidR="000F397F" w:rsidRDefault="0015641A">
      <w:pPr>
        <w:spacing w:before="29" w:line="288" w:lineRule="auto"/>
        <w:ind w:firstLineChars="200" w:firstLine="480"/>
        <w:rPr>
          <w:kern w:val="0"/>
          <w:sz w:val="24"/>
        </w:rPr>
      </w:pPr>
      <w:r>
        <w:rPr>
          <w:kern w:val="0"/>
          <w:sz w:val="24"/>
        </w:rPr>
        <w:t>针对兑付赎回资金的流动性风险，本基金封闭期结束后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F397F" w:rsidRDefault="0015641A">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0F397F" w:rsidRDefault="0015641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F397F" w:rsidRDefault="0015641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w:t>
      </w:r>
      <w:r>
        <w:rPr>
          <w:rFonts w:eastAsiaTheme="minorEastAsia"/>
          <w:color w:val="000000" w:themeColor="text1"/>
          <w:kern w:val="0"/>
          <w:szCs w:val="21"/>
        </w:rPr>
        <w:lastRenderedPageBreak/>
        <w:t>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0F397F" w:rsidRDefault="0015641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F397F" w:rsidRDefault="0015641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于封闭期结束后，本基金的基金管理人每日对基金组合资产中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F397F" w:rsidRDefault="0015641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F397F" w:rsidRDefault="0015641A">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F397F" w:rsidRDefault="0015641A">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F397F">
        <w:tc>
          <w:tcPr>
            <w:tcW w:w="1499" w:type="dxa"/>
            <w:vAlign w:val="center"/>
          </w:tcPr>
          <w:p w:rsidR="000F397F" w:rsidRDefault="0015641A">
            <w:pPr>
              <w:jc w:val="center"/>
            </w:pPr>
            <w:r>
              <w:rPr>
                <w:color w:val="000000"/>
                <w:sz w:val="18"/>
                <w:szCs w:val="18"/>
              </w:rPr>
              <w:t>银行存款</w:t>
            </w:r>
          </w:p>
        </w:tc>
        <w:tc>
          <w:tcPr>
            <w:tcW w:w="1499" w:type="dxa"/>
            <w:vAlign w:val="center"/>
          </w:tcPr>
          <w:p w:rsidR="000F397F" w:rsidRDefault="0015641A">
            <w:pPr>
              <w:jc w:val="right"/>
            </w:pPr>
            <w:r>
              <w:rPr>
                <w:color w:val="000000"/>
                <w:sz w:val="18"/>
                <w:szCs w:val="18"/>
              </w:rPr>
              <w:t>5,350,005.49</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5,350,005.49</w:t>
            </w:r>
          </w:p>
        </w:tc>
      </w:tr>
      <w:tr w:rsidR="000F397F">
        <w:tc>
          <w:tcPr>
            <w:tcW w:w="1499" w:type="dxa"/>
            <w:vAlign w:val="center"/>
          </w:tcPr>
          <w:p w:rsidR="000F397F" w:rsidRDefault="0015641A">
            <w:pPr>
              <w:jc w:val="center"/>
            </w:pPr>
            <w:r>
              <w:rPr>
                <w:color w:val="000000"/>
                <w:sz w:val="18"/>
                <w:szCs w:val="18"/>
              </w:rPr>
              <w:t>结算备付金</w:t>
            </w:r>
          </w:p>
        </w:tc>
        <w:tc>
          <w:tcPr>
            <w:tcW w:w="1499" w:type="dxa"/>
            <w:vAlign w:val="center"/>
          </w:tcPr>
          <w:p w:rsidR="000F397F" w:rsidRDefault="0015641A">
            <w:pPr>
              <w:jc w:val="right"/>
            </w:pPr>
            <w:r>
              <w:rPr>
                <w:color w:val="000000"/>
                <w:sz w:val="18"/>
                <w:szCs w:val="18"/>
              </w:rPr>
              <w:t>45,879.92</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45,879.92</w:t>
            </w:r>
          </w:p>
        </w:tc>
      </w:tr>
      <w:tr w:rsidR="000F397F">
        <w:tc>
          <w:tcPr>
            <w:tcW w:w="1499" w:type="dxa"/>
            <w:vAlign w:val="center"/>
          </w:tcPr>
          <w:p w:rsidR="000F397F" w:rsidRDefault="0015641A">
            <w:pPr>
              <w:jc w:val="center"/>
            </w:pPr>
            <w:r>
              <w:rPr>
                <w:color w:val="000000"/>
                <w:sz w:val="18"/>
                <w:szCs w:val="18"/>
              </w:rPr>
              <w:t>交易性金融资产</w:t>
            </w:r>
          </w:p>
        </w:tc>
        <w:tc>
          <w:tcPr>
            <w:tcW w:w="1499" w:type="dxa"/>
            <w:vAlign w:val="center"/>
          </w:tcPr>
          <w:p w:rsidR="000F397F" w:rsidRDefault="0015641A">
            <w:pPr>
              <w:jc w:val="right"/>
            </w:pPr>
            <w:r>
              <w:rPr>
                <w:color w:val="000000"/>
                <w:sz w:val="18"/>
                <w:szCs w:val="18"/>
              </w:rPr>
              <w:t>2,216,500.00</w:t>
            </w:r>
          </w:p>
        </w:tc>
        <w:tc>
          <w:tcPr>
            <w:tcW w:w="1500" w:type="dxa"/>
            <w:vAlign w:val="center"/>
          </w:tcPr>
          <w:p w:rsidR="000F397F" w:rsidRDefault="0015641A">
            <w:pPr>
              <w:jc w:val="right"/>
            </w:pPr>
            <w:r>
              <w:rPr>
                <w:color w:val="000000"/>
                <w:sz w:val="18"/>
                <w:szCs w:val="18"/>
              </w:rPr>
              <w:t>12,960,360.00</w:t>
            </w:r>
          </w:p>
        </w:tc>
        <w:tc>
          <w:tcPr>
            <w:tcW w:w="1500" w:type="dxa"/>
            <w:vAlign w:val="center"/>
          </w:tcPr>
          <w:p w:rsidR="000F397F" w:rsidRDefault="0015641A">
            <w:pPr>
              <w:jc w:val="right"/>
            </w:pPr>
            <w:r>
              <w:rPr>
                <w:color w:val="000000"/>
                <w:sz w:val="18"/>
                <w:szCs w:val="18"/>
              </w:rPr>
              <w:t>20,302,000.00</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35,478,860.00</w:t>
            </w:r>
          </w:p>
        </w:tc>
      </w:tr>
      <w:tr w:rsidR="000F397F">
        <w:tc>
          <w:tcPr>
            <w:tcW w:w="1499" w:type="dxa"/>
            <w:vAlign w:val="center"/>
          </w:tcPr>
          <w:p w:rsidR="000F397F" w:rsidRDefault="0015641A">
            <w:pPr>
              <w:jc w:val="center"/>
            </w:pPr>
            <w:r>
              <w:rPr>
                <w:color w:val="000000"/>
                <w:sz w:val="18"/>
                <w:szCs w:val="18"/>
              </w:rPr>
              <w:t>应收利息</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785,814.91</w:t>
            </w:r>
          </w:p>
        </w:tc>
        <w:tc>
          <w:tcPr>
            <w:tcW w:w="1500" w:type="dxa"/>
            <w:vAlign w:val="center"/>
          </w:tcPr>
          <w:p w:rsidR="000F397F" w:rsidRDefault="0015641A">
            <w:pPr>
              <w:jc w:val="right"/>
            </w:pPr>
            <w:r>
              <w:rPr>
                <w:color w:val="000000"/>
                <w:sz w:val="18"/>
                <w:szCs w:val="18"/>
              </w:rPr>
              <w:t>785,814.91</w:t>
            </w:r>
          </w:p>
        </w:tc>
      </w:tr>
      <w:tr w:rsidR="000F397F">
        <w:tc>
          <w:tcPr>
            <w:tcW w:w="1499" w:type="dxa"/>
            <w:vAlign w:val="center"/>
          </w:tcPr>
          <w:p w:rsidR="000F397F" w:rsidRDefault="0015641A">
            <w:pPr>
              <w:jc w:val="center"/>
            </w:pPr>
            <w:r>
              <w:rPr>
                <w:color w:val="000000"/>
                <w:sz w:val="18"/>
                <w:szCs w:val="18"/>
              </w:rPr>
              <w:t>应收申购款</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109.99</w:t>
            </w:r>
          </w:p>
        </w:tc>
        <w:tc>
          <w:tcPr>
            <w:tcW w:w="1500" w:type="dxa"/>
            <w:vAlign w:val="center"/>
          </w:tcPr>
          <w:p w:rsidR="000F397F" w:rsidRDefault="0015641A">
            <w:pPr>
              <w:jc w:val="right"/>
            </w:pPr>
            <w:r>
              <w:rPr>
                <w:color w:val="000000"/>
                <w:sz w:val="18"/>
                <w:szCs w:val="18"/>
              </w:rPr>
              <w:t>109.99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7,612,385.41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12,960,360.00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20,302,000.00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785,924.90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41,660,670.31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F397F">
        <w:tc>
          <w:tcPr>
            <w:tcW w:w="1499" w:type="dxa"/>
            <w:vAlign w:val="center"/>
          </w:tcPr>
          <w:p w:rsidR="000F397F" w:rsidRDefault="0015641A">
            <w:pPr>
              <w:jc w:val="center"/>
            </w:pPr>
            <w:r>
              <w:rPr>
                <w:color w:val="000000"/>
                <w:sz w:val="18"/>
                <w:szCs w:val="18"/>
              </w:rPr>
              <w:t>应付赎回款</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121.53</w:t>
            </w:r>
          </w:p>
        </w:tc>
        <w:tc>
          <w:tcPr>
            <w:tcW w:w="1500" w:type="dxa"/>
            <w:vAlign w:val="center"/>
          </w:tcPr>
          <w:p w:rsidR="000F397F" w:rsidRDefault="0015641A">
            <w:pPr>
              <w:jc w:val="right"/>
            </w:pPr>
            <w:r>
              <w:rPr>
                <w:color w:val="000000"/>
                <w:sz w:val="18"/>
                <w:szCs w:val="18"/>
              </w:rPr>
              <w:t>121.53</w:t>
            </w:r>
          </w:p>
        </w:tc>
      </w:tr>
      <w:tr w:rsidR="000F397F">
        <w:tc>
          <w:tcPr>
            <w:tcW w:w="1499" w:type="dxa"/>
            <w:vAlign w:val="center"/>
          </w:tcPr>
          <w:p w:rsidR="000F397F" w:rsidRDefault="0015641A">
            <w:pPr>
              <w:jc w:val="center"/>
            </w:pPr>
            <w:r>
              <w:rPr>
                <w:color w:val="000000"/>
                <w:sz w:val="18"/>
                <w:szCs w:val="18"/>
              </w:rPr>
              <w:t>应付管理人报酬</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29,717.60</w:t>
            </w:r>
          </w:p>
        </w:tc>
        <w:tc>
          <w:tcPr>
            <w:tcW w:w="1500" w:type="dxa"/>
            <w:vAlign w:val="center"/>
          </w:tcPr>
          <w:p w:rsidR="000F397F" w:rsidRDefault="0015641A">
            <w:pPr>
              <w:jc w:val="right"/>
            </w:pPr>
            <w:r>
              <w:rPr>
                <w:color w:val="000000"/>
                <w:sz w:val="18"/>
                <w:szCs w:val="18"/>
              </w:rPr>
              <w:t>29,717.60</w:t>
            </w:r>
          </w:p>
        </w:tc>
      </w:tr>
      <w:tr w:rsidR="000F397F">
        <w:tc>
          <w:tcPr>
            <w:tcW w:w="1499" w:type="dxa"/>
            <w:vAlign w:val="center"/>
          </w:tcPr>
          <w:p w:rsidR="000F397F" w:rsidRDefault="0015641A">
            <w:pPr>
              <w:jc w:val="center"/>
            </w:pPr>
            <w:r>
              <w:rPr>
                <w:color w:val="000000"/>
                <w:sz w:val="18"/>
                <w:szCs w:val="18"/>
              </w:rPr>
              <w:t>应付托管费</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5,572.06</w:t>
            </w:r>
          </w:p>
        </w:tc>
        <w:tc>
          <w:tcPr>
            <w:tcW w:w="1500" w:type="dxa"/>
            <w:vAlign w:val="center"/>
          </w:tcPr>
          <w:p w:rsidR="000F397F" w:rsidRDefault="0015641A">
            <w:pPr>
              <w:jc w:val="right"/>
            </w:pPr>
            <w:r>
              <w:rPr>
                <w:color w:val="000000"/>
                <w:sz w:val="18"/>
                <w:szCs w:val="18"/>
              </w:rPr>
              <w:t>5,572.06</w:t>
            </w:r>
          </w:p>
        </w:tc>
      </w:tr>
      <w:tr w:rsidR="000F397F">
        <w:tc>
          <w:tcPr>
            <w:tcW w:w="1499" w:type="dxa"/>
            <w:vAlign w:val="center"/>
          </w:tcPr>
          <w:p w:rsidR="000F397F" w:rsidRDefault="0015641A">
            <w:pPr>
              <w:jc w:val="center"/>
            </w:pPr>
            <w:r>
              <w:rPr>
                <w:color w:val="000000"/>
                <w:sz w:val="18"/>
                <w:szCs w:val="18"/>
              </w:rPr>
              <w:t>应付销售服务费</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2,544.33</w:t>
            </w:r>
          </w:p>
        </w:tc>
        <w:tc>
          <w:tcPr>
            <w:tcW w:w="1500" w:type="dxa"/>
            <w:vAlign w:val="center"/>
          </w:tcPr>
          <w:p w:rsidR="000F397F" w:rsidRDefault="0015641A">
            <w:pPr>
              <w:jc w:val="right"/>
            </w:pPr>
            <w:r>
              <w:rPr>
                <w:color w:val="000000"/>
                <w:sz w:val="18"/>
                <w:szCs w:val="18"/>
              </w:rPr>
              <w:t>2,544.33</w:t>
            </w:r>
          </w:p>
        </w:tc>
      </w:tr>
      <w:tr w:rsidR="000F397F">
        <w:tc>
          <w:tcPr>
            <w:tcW w:w="1499" w:type="dxa"/>
            <w:vAlign w:val="center"/>
          </w:tcPr>
          <w:p w:rsidR="000F397F" w:rsidRDefault="0015641A">
            <w:pPr>
              <w:jc w:val="center"/>
            </w:pPr>
            <w:r>
              <w:rPr>
                <w:color w:val="000000"/>
                <w:sz w:val="18"/>
                <w:szCs w:val="18"/>
              </w:rPr>
              <w:t>应付交易费用</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220.69</w:t>
            </w:r>
          </w:p>
        </w:tc>
        <w:tc>
          <w:tcPr>
            <w:tcW w:w="1500" w:type="dxa"/>
            <w:vAlign w:val="center"/>
          </w:tcPr>
          <w:p w:rsidR="000F397F" w:rsidRDefault="0015641A">
            <w:pPr>
              <w:jc w:val="right"/>
            </w:pPr>
            <w:r>
              <w:rPr>
                <w:color w:val="000000"/>
                <w:sz w:val="18"/>
                <w:szCs w:val="18"/>
              </w:rPr>
              <w:t>220.69</w:t>
            </w:r>
          </w:p>
        </w:tc>
      </w:tr>
      <w:tr w:rsidR="000F397F">
        <w:tc>
          <w:tcPr>
            <w:tcW w:w="1499" w:type="dxa"/>
            <w:vAlign w:val="center"/>
          </w:tcPr>
          <w:p w:rsidR="000F397F" w:rsidRDefault="0015641A">
            <w:pPr>
              <w:jc w:val="center"/>
            </w:pPr>
            <w:r>
              <w:rPr>
                <w:color w:val="000000"/>
                <w:sz w:val="18"/>
                <w:szCs w:val="18"/>
              </w:rPr>
              <w:t>应交税费</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259.54</w:t>
            </w:r>
          </w:p>
        </w:tc>
        <w:tc>
          <w:tcPr>
            <w:tcW w:w="1500" w:type="dxa"/>
            <w:vAlign w:val="center"/>
          </w:tcPr>
          <w:p w:rsidR="000F397F" w:rsidRDefault="0015641A">
            <w:pPr>
              <w:jc w:val="right"/>
            </w:pPr>
            <w:r>
              <w:rPr>
                <w:color w:val="000000"/>
                <w:sz w:val="18"/>
                <w:szCs w:val="18"/>
              </w:rPr>
              <w:t>259.54</w:t>
            </w:r>
          </w:p>
        </w:tc>
      </w:tr>
      <w:tr w:rsidR="000F397F">
        <w:tc>
          <w:tcPr>
            <w:tcW w:w="1499" w:type="dxa"/>
            <w:vAlign w:val="center"/>
          </w:tcPr>
          <w:p w:rsidR="000F397F" w:rsidRDefault="0015641A">
            <w:pPr>
              <w:jc w:val="center"/>
            </w:pPr>
            <w:r>
              <w:rPr>
                <w:color w:val="000000"/>
                <w:sz w:val="18"/>
                <w:szCs w:val="18"/>
              </w:rPr>
              <w:t>其他负债</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69,300.00</w:t>
            </w:r>
          </w:p>
        </w:tc>
        <w:tc>
          <w:tcPr>
            <w:tcW w:w="1500" w:type="dxa"/>
            <w:vAlign w:val="center"/>
          </w:tcPr>
          <w:p w:rsidR="000F397F" w:rsidRDefault="0015641A">
            <w:pPr>
              <w:jc w:val="right"/>
            </w:pPr>
            <w:r>
              <w:rPr>
                <w:color w:val="000000"/>
                <w:sz w:val="18"/>
                <w:szCs w:val="18"/>
              </w:rPr>
              <w:t>69,300.00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107,735.75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107,735.75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7,612,385.41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12,960,360.00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20,302,000.00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678,189.15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41,552,934.56</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F397F">
        <w:tc>
          <w:tcPr>
            <w:tcW w:w="1499" w:type="dxa"/>
            <w:vAlign w:val="center"/>
          </w:tcPr>
          <w:p w:rsidR="000F397F" w:rsidRDefault="0015641A">
            <w:pPr>
              <w:jc w:val="center"/>
            </w:pPr>
            <w:r>
              <w:rPr>
                <w:color w:val="000000"/>
                <w:sz w:val="18"/>
                <w:szCs w:val="18"/>
              </w:rPr>
              <w:t>银行存款</w:t>
            </w:r>
          </w:p>
        </w:tc>
        <w:tc>
          <w:tcPr>
            <w:tcW w:w="1499" w:type="dxa"/>
            <w:vAlign w:val="center"/>
          </w:tcPr>
          <w:p w:rsidR="000F397F" w:rsidRDefault="0015641A">
            <w:pPr>
              <w:jc w:val="right"/>
            </w:pPr>
            <w:r>
              <w:rPr>
                <w:color w:val="000000"/>
                <w:sz w:val="18"/>
                <w:szCs w:val="18"/>
              </w:rPr>
              <w:t>180,752.70</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180,752.70</w:t>
            </w:r>
          </w:p>
        </w:tc>
      </w:tr>
      <w:tr w:rsidR="000F397F">
        <w:tc>
          <w:tcPr>
            <w:tcW w:w="1499" w:type="dxa"/>
            <w:vAlign w:val="center"/>
          </w:tcPr>
          <w:p w:rsidR="000F397F" w:rsidRDefault="0015641A">
            <w:pPr>
              <w:jc w:val="center"/>
            </w:pPr>
            <w:r>
              <w:rPr>
                <w:color w:val="000000"/>
                <w:sz w:val="18"/>
                <w:szCs w:val="18"/>
              </w:rPr>
              <w:t>结算备付金</w:t>
            </w:r>
          </w:p>
        </w:tc>
        <w:tc>
          <w:tcPr>
            <w:tcW w:w="1499" w:type="dxa"/>
            <w:vAlign w:val="center"/>
          </w:tcPr>
          <w:p w:rsidR="000F397F" w:rsidRDefault="0015641A">
            <w:pPr>
              <w:jc w:val="right"/>
            </w:pPr>
            <w:r>
              <w:rPr>
                <w:color w:val="000000"/>
                <w:sz w:val="18"/>
                <w:szCs w:val="18"/>
              </w:rPr>
              <w:t>56,815,846.33</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56,815,846.33</w:t>
            </w:r>
          </w:p>
        </w:tc>
      </w:tr>
      <w:tr w:rsidR="000F397F">
        <w:tc>
          <w:tcPr>
            <w:tcW w:w="1499" w:type="dxa"/>
            <w:vAlign w:val="center"/>
          </w:tcPr>
          <w:p w:rsidR="000F397F" w:rsidRDefault="0015641A">
            <w:pPr>
              <w:jc w:val="center"/>
            </w:pPr>
            <w:r>
              <w:rPr>
                <w:color w:val="000000"/>
                <w:sz w:val="18"/>
                <w:szCs w:val="18"/>
              </w:rPr>
              <w:t>存出保证金</w:t>
            </w:r>
          </w:p>
        </w:tc>
        <w:tc>
          <w:tcPr>
            <w:tcW w:w="1499" w:type="dxa"/>
            <w:vAlign w:val="center"/>
          </w:tcPr>
          <w:p w:rsidR="000F397F" w:rsidRDefault="0015641A">
            <w:pPr>
              <w:jc w:val="right"/>
            </w:pPr>
            <w:r>
              <w:rPr>
                <w:color w:val="000000"/>
                <w:sz w:val="18"/>
                <w:szCs w:val="18"/>
              </w:rPr>
              <w:t>1,528.89</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1,528.89</w:t>
            </w:r>
          </w:p>
        </w:tc>
      </w:tr>
      <w:tr w:rsidR="000F397F">
        <w:tc>
          <w:tcPr>
            <w:tcW w:w="1499" w:type="dxa"/>
            <w:vAlign w:val="center"/>
          </w:tcPr>
          <w:p w:rsidR="000F397F" w:rsidRDefault="0015641A">
            <w:pPr>
              <w:jc w:val="center"/>
            </w:pPr>
            <w:r>
              <w:rPr>
                <w:color w:val="000000"/>
                <w:sz w:val="18"/>
                <w:szCs w:val="18"/>
              </w:rPr>
              <w:t>交易性金融资产</w:t>
            </w:r>
          </w:p>
        </w:tc>
        <w:tc>
          <w:tcPr>
            <w:tcW w:w="1499" w:type="dxa"/>
            <w:vAlign w:val="center"/>
          </w:tcPr>
          <w:p w:rsidR="000F397F" w:rsidRDefault="0015641A">
            <w:pPr>
              <w:jc w:val="right"/>
            </w:pPr>
            <w:r>
              <w:rPr>
                <w:color w:val="000000"/>
                <w:sz w:val="18"/>
                <w:szCs w:val="18"/>
              </w:rPr>
              <w:t>1,533,885,102.50</w:t>
            </w:r>
          </w:p>
        </w:tc>
        <w:tc>
          <w:tcPr>
            <w:tcW w:w="1500" w:type="dxa"/>
            <w:vAlign w:val="center"/>
          </w:tcPr>
          <w:p w:rsidR="000F397F" w:rsidRDefault="0015641A">
            <w:pPr>
              <w:jc w:val="right"/>
            </w:pPr>
            <w:r>
              <w:rPr>
                <w:color w:val="000000"/>
                <w:sz w:val="18"/>
                <w:szCs w:val="18"/>
              </w:rPr>
              <w:t>242,666,000.00</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1,776,551,102.50</w:t>
            </w:r>
          </w:p>
        </w:tc>
      </w:tr>
      <w:tr w:rsidR="000F397F">
        <w:tc>
          <w:tcPr>
            <w:tcW w:w="1499" w:type="dxa"/>
            <w:vAlign w:val="center"/>
          </w:tcPr>
          <w:p w:rsidR="000F397F" w:rsidRDefault="0015641A">
            <w:pPr>
              <w:jc w:val="center"/>
            </w:pPr>
            <w:r>
              <w:rPr>
                <w:color w:val="000000"/>
                <w:sz w:val="18"/>
                <w:szCs w:val="18"/>
              </w:rPr>
              <w:t>应收利息</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40,436,412.37</w:t>
            </w:r>
          </w:p>
        </w:tc>
        <w:tc>
          <w:tcPr>
            <w:tcW w:w="1500" w:type="dxa"/>
            <w:vAlign w:val="center"/>
          </w:tcPr>
          <w:p w:rsidR="000F397F" w:rsidRDefault="0015641A">
            <w:pPr>
              <w:jc w:val="right"/>
            </w:pPr>
            <w:r>
              <w:rPr>
                <w:color w:val="000000"/>
                <w:sz w:val="18"/>
                <w:szCs w:val="18"/>
              </w:rPr>
              <w:t>40,436,412.37</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1,590,883,230.42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242,666,000.00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40,436,412.37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1,873,985,642.79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F397F">
        <w:tc>
          <w:tcPr>
            <w:tcW w:w="1499" w:type="dxa"/>
            <w:vAlign w:val="center"/>
          </w:tcPr>
          <w:p w:rsidR="000F397F" w:rsidRDefault="0015641A">
            <w:pPr>
              <w:jc w:val="center"/>
            </w:pPr>
            <w:r>
              <w:rPr>
                <w:color w:val="000000"/>
                <w:sz w:val="18"/>
                <w:szCs w:val="18"/>
              </w:rPr>
              <w:t>卖出回购金融资产款</w:t>
            </w:r>
          </w:p>
        </w:tc>
        <w:tc>
          <w:tcPr>
            <w:tcW w:w="1499" w:type="dxa"/>
            <w:vAlign w:val="center"/>
          </w:tcPr>
          <w:p w:rsidR="000F397F" w:rsidRDefault="0015641A">
            <w:pPr>
              <w:jc w:val="right"/>
            </w:pPr>
            <w:r>
              <w:rPr>
                <w:color w:val="000000"/>
                <w:sz w:val="18"/>
                <w:szCs w:val="18"/>
              </w:rPr>
              <w:t>917,598,950.50</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917,598,950.50</w:t>
            </w:r>
          </w:p>
        </w:tc>
      </w:tr>
      <w:tr w:rsidR="000F397F">
        <w:tc>
          <w:tcPr>
            <w:tcW w:w="1499" w:type="dxa"/>
            <w:vAlign w:val="center"/>
          </w:tcPr>
          <w:p w:rsidR="000F397F" w:rsidRDefault="0015641A">
            <w:pPr>
              <w:jc w:val="center"/>
            </w:pPr>
            <w:r>
              <w:rPr>
                <w:color w:val="000000"/>
                <w:sz w:val="18"/>
                <w:szCs w:val="18"/>
              </w:rPr>
              <w:t>应付管理人报酬</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647,783.93</w:t>
            </w:r>
          </w:p>
        </w:tc>
        <w:tc>
          <w:tcPr>
            <w:tcW w:w="1500" w:type="dxa"/>
            <w:vAlign w:val="center"/>
          </w:tcPr>
          <w:p w:rsidR="000F397F" w:rsidRDefault="0015641A">
            <w:pPr>
              <w:jc w:val="right"/>
            </w:pPr>
            <w:r>
              <w:rPr>
                <w:color w:val="000000"/>
                <w:sz w:val="18"/>
                <w:szCs w:val="18"/>
              </w:rPr>
              <w:t>647,783.93</w:t>
            </w:r>
          </w:p>
        </w:tc>
      </w:tr>
      <w:tr w:rsidR="000F397F">
        <w:tc>
          <w:tcPr>
            <w:tcW w:w="1499" w:type="dxa"/>
            <w:vAlign w:val="center"/>
          </w:tcPr>
          <w:p w:rsidR="000F397F" w:rsidRDefault="0015641A">
            <w:pPr>
              <w:jc w:val="center"/>
            </w:pPr>
            <w:r>
              <w:rPr>
                <w:color w:val="000000"/>
                <w:sz w:val="18"/>
                <w:szCs w:val="18"/>
              </w:rPr>
              <w:t>应付托管费</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121,459.48</w:t>
            </w:r>
          </w:p>
        </w:tc>
        <w:tc>
          <w:tcPr>
            <w:tcW w:w="1500" w:type="dxa"/>
            <w:vAlign w:val="center"/>
          </w:tcPr>
          <w:p w:rsidR="000F397F" w:rsidRDefault="0015641A">
            <w:pPr>
              <w:jc w:val="right"/>
            </w:pPr>
            <w:r>
              <w:rPr>
                <w:color w:val="000000"/>
                <w:sz w:val="18"/>
                <w:szCs w:val="18"/>
              </w:rPr>
              <w:t>121,459.48</w:t>
            </w:r>
          </w:p>
        </w:tc>
      </w:tr>
      <w:tr w:rsidR="000F397F">
        <w:tc>
          <w:tcPr>
            <w:tcW w:w="1499" w:type="dxa"/>
            <w:vAlign w:val="center"/>
          </w:tcPr>
          <w:p w:rsidR="000F397F" w:rsidRDefault="0015641A">
            <w:pPr>
              <w:jc w:val="center"/>
            </w:pPr>
            <w:r>
              <w:rPr>
                <w:color w:val="000000"/>
                <w:sz w:val="18"/>
                <w:szCs w:val="18"/>
              </w:rPr>
              <w:t>应付销售服务费</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10,673.47</w:t>
            </w:r>
          </w:p>
        </w:tc>
        <w:tc>
          <w:tcPr>
            <w:tcW w:w="1500" w:type="dxa"/>
            <w:vAlign w:val="center"/>
          </w:tcPr>
          <w:p w:rsidR="000F397F" w:rsidRDefault="0015641A">
            <w:pPr>
              <w:jc w:val="right"/>
            </w:pPr>
            <w:r>
              <w:rPr>
                <w:color w:val="000000"/>
                <w:sz w:val="18"/>
                <w:szCs w:val="18"/>
              </w:rPr>
              <w:t>10,673.47</w:t>
            </w:r>
          </w:p>
        </w:tc>
      </w:tr>
      <w:tr w:rsidR="000F397F">
        <w:tc>
          <w:tcPr>
            <w:tcW w:w="1499" w:type="dxa"/>
            <w:vAlign w:val="center"/>
          </w:tcPr>
          <w:p w:rsidR="000F397F" w:rsidRDefault="0015641A">
            <w:pPr>
              <w:jc w:val="center"/>
            </w:pPr>
            <w:r>
              <w:rPr>
                <w:color w:val="000000"/>
                <w:sz w:val="18"/>
                <w:szCs w:val="18"/>
              </w:rPr>
              <w:t>应付交易费用</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41,097.03</w:t>
            </w:r>
          </w:p>
        </w:tc>
        <w:tc>
          <w:tcPr>
            <w:tcW w:w="1500" w:type="dxa"/>
            <w:vAlign w:val="center"/>
          </w:tcPr>
          <w:p w:rsidR="000F397F" w:rsidRDefault="0015641A">
            <w:pPr>
              <w:jc w:val="right"/>
            </w:pPr>
            <w:r>
              <w:rPr>
                <w:color w:val="000000"/>
                <w:sz w:val="18"/>
                <w:szCs w:val="18"/>
              </w:rPr>
              <w:t>41,097.03</w:t>
            </w:r>
          </w:p>
        </w:tc>
      </w:tr>
      <w:tr w:rsidR="000F397F">
        <w:tc>
          <w:tcPr>
            <w:tcW w:w="1499" w:type="dxa"/>
            <w:vAlign w:val="center"/>
          </w:tcPr>
          <w:p w:rsidR="000F397F" w:rsidRDefault="0015641A">
            <w:pPr>
              <w:jc w:val="center"/>
            </w:pPr>
            <w:r>
              <w:rPr>
                <w:color w:val="000000"/>
                <w:sz w:val="18"/>
                <w:szCs w:val="18"/>
              </w:rPr>
              <w:lastRenderedPageBreak/>
              <w:t>应交税费</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187,069.73</w:t>
            </w:r>
          </w:p>
        </w:tc>
        <w:tc>
          <w:tcPr>
            <w:tcW w:w="1500" w:type="dxa"/>
            <w:vAlign w:val="center"/>
          </w:tcPr>
          <w:p w:rsidR="000F397F" w:rsidRDefault="0015641A">
            <w:pPr>
              <w:jc w:val="right"/>
            </w:pPr>
            <w:r>
              <w:rPr>
                <w:color w:val="000000"/>
                <w:sz w:val="18"/>
                <w:szCs w:val="18"/>
              </w:rPr>
              <w:t>187,069.73</w:t>
            </w:r>
          </w:p>
        </w:tc>
      </w:tr>
      <w:tr w:rsidR="000F397F">
        <w:tc>
          <w:tcPr>
            <w:tcW w:w="1499" w:type="dxa"/>
            <w:vAlign w:val="center"/>
          </w:tcPr>
          <w:p w:rsidR="000F397F" w:rsidRDefault="0015641A">
            <w:pPr>
              <w:jc w:val="center"/>
            </w:pPr>
            <w:r>
              <w:rPr>
                <w:color w:val="000000"/>
                <w:sz w:val="18"/>
                <w:szCs w:val="18"/>
              </w:rPr>
              <w:t>应付利息</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775,177.86</w:t>
            </w:r>
          </w:p>
        </w:tc>
        <w:tc>
          <w:tcPr>
            <w:tcW w:w="1500" w:type="dxa"/>
            <w:vAlign w:val="center"/>
          </w:tcPr>
          <w:p w:rsidR="000F397F" w:rsidRDefault="0015641A">
            <w:pPr>
              <w:jc w:val="right"/>
            </w:pPr>
            <w:r>
              <w:rPr>
                <w:color w:val="000000"/>
                <w:sz w:val="18"/>
                <w:szCs w:val="18"/>
              </w:rPr>
              <w:t>775,177.86</w:t>
            </w:r>
          </w:p>
        </w:tc>
      </w:tr>
      <w:tr w:rsidR="000F397F">
        <w:tc>
          <w:tcPr>
            <w:tcW w:w="1499" w:type="dxa"/>
            <w:vAlign w:val="center"/>
          </w:tcPr>
          <w:p w:rsidR="000F397F" w:rsidRDefault="0015641A">
            <w:pPr>
              <w:jc w:val="center"/>
            </w:pPr>
            <w:r>
              <w:rPr>
                <w:color w:val="000000"/>
                <w:sz w:val="18"/>
                <w:szCs w:val="18"/>
              </w:rPr>
              <w:t>其他负债</w:t>
            </w:r>
          </w:p>
        </w:tc>
        <w:tc>
          <w:tcPr>
            <w:tcW w:w="1499"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w:t>
            </w:r>
          </w:p>
        </w:tc>
        <w:tc>
          <w:tcPr>
            <w:tcW w:w="1500" w:type="dxa"/>
            <w:vAlign w:val="center"/>
          </w:tcPr>
          <w:p w:rsidR="000F397F" w:rsidRDefault="0015641A">
            <w:pPr>
              <w:jc w:val="right"/>
            </w:pPr>
            <w:r>
              <w:rPr>
                <w:color w:val="000000"/>
                <w:sz w:val="18"/>
                <w:szCs w:val="18"/>
              </w:rPr>
              <w:t>329,300.00</w:t>
            </w:r>
          </w:p>
        </w:tc>
        <w:tc>
          <w:tcPr>
            <w:tcW w:w="1500" w:type="dxa"/>
            <w:vAlign w:val="center"/>
          </w:tcPr>
          <w:p w:rsidR="000F397F" w:rsidRDefault="0015641A">
            <w:pPr>
              <w:jc w:val="right"/>
            </w:pPr>
            <w:r>
              <w:rPr>
                <w:color w:val="000000"/>
                <w:sz w:val="18"/>
                <w:szCs w:val="18"/>
              </w:rPr>
              <w:t>329,300.00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917,598,950.50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2,112,561.50</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919,711,512.00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673,284,279.92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242,666,000.00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38,323,850.87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954,274,130.79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F397F">
        <w:tc>
          <w:tcPr>
            <w:tcW w:w="1276" w:type="dxa"/>
            <w:vAlign w:val="center"/>
          </w:tcPr>
          <w:p w:rsidR="000F397F" w:rsidRDefault="0015641A">
            <w:pPr>
              <w:jc w:val="left"/>
            </w:pPr>
            <w:r>
              <w:rPr>
                <w:color w:val="000000"/>
                <w:sz w:val="24"/>
              </w:rPr>
              <w:t>假设</w:t>
            </w:r>
          </w:p>
        </w:tc>
        <w:tc>
          <w:tcPr>
            <w:tcW w:w="7722" w:type="dxa"/>
            <w:gridSpan w:val="3"/>
            <w:vAlign w:val="center"/>
          </w:tcPr>
          <w:p w:rsidR="000F397F" w:rsidRDefault="0015641A">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F397F">
        <w:tc>
          <w:tcPr>
            <w:tcW w:w="1276" w:type="dxa"/>
            <w:vMerge/>
          </w:tcPr>
          <w:p w:rsidR="000F397F" w:rsidRDefault="000F397F"/>
        </w:tc>
        <w:tc>
          <w:tcPr>
            <w:tcW w:w="2693" w:type="dxa"/>
            <w:vAlign w:val="center"/>
          </w:tcPr>
          <w:p w:rsidR="000F397F" w:rsidRDefault="0015641A">
            <w:pPr>
              <w:jc w:val="left"/>
            </w:pPr>
            <w:r>
              <w:rPr>
                <w:color w:val="000000"/>
                <w:sz w:val="24"/>
              </w:rPr>
              <w:t>市场利率上升</w:t>
            </w:r>
            <w:r>
              <w:rPr>
                <w:color w:val="000000"/>
                <w:sz w:val="24"/>
              </w:rPr>
              <w:t>25</w:t>
            </w:r>
            <w:r>
              <w:rPr>
                <w:color w:val="000000"/>
                <w:sz w:val="24"/>
              </w:rPr>
              <w:t>个基点</w:t>
            </w:r>
          </w:p>
        </w:tc>
        <w:tc>
          <w:tcPr>
            <w:tcW w:w="2780" w:type="dxa"/>
            <w:vAlign w:val="center"/>
          </w:tcPr>
          <w:p w:rsidR="000F397F" w:rsidRDefault="0015641A">
            <w:pPr>
              <w:jc w:val="right"/>
            </w:pPr>
            <w:r>
              <w:rPr>
                <w:color w:val="000000"/>
                <w:sz w:val="24"/>
              </w:rPr>
              <w:t>减少约</w:t>
            </w:r>
            <w:r>
              <w:rPr>
                <w:color w:val="000000"/>
                <w:sz w:val="24"/>
              </w:rPr>
              <w:t>47</w:t>
            </w:r>
          </w:p>
        </w:tc>
        <w:tc>
          <w:tcPr>
            <w:tcW w:w="2249" w:type="dxa"/>
            <w:vAlign w:val="center"/>
          </w:tcPr>
          <w:p w:rsidR="000F397F" w:rsidRDefault="0015641A">
            <w:pPr>
              <w:jc w:val="right"/>
            </w:pPr>
            <w:r>
              <w:rPr>
                <w:color w:val="000000"/>
                <w:sz w:val="24"/>
              </w:rPr>
              <w:t>减少约</w:t>
            </w:r>
            <w:r>
              <w:rPr>
                <w:color w:val="000000"/>
                <w:sz w:val="24"/>
              </w:rPr>
              <w:t>184</w:t>
            </w:r>
          </w:p>
        </w:tc>
      </w:tr>
      <w:tr w:rsidR="000F397F">
        <w:tc>
          <w:tcPr>
            <w:tcW w:w="1276" w:type="dxa"/>
            <w:vMerge/>
          </w:tcPr>
          <w:p w:rsidR="000F397F" w:rsidRDefault="000F397F"/>
        </w:tc>
        <w:tc>
          <w:tcPr>
            <w:tcW w:w="2693" w:type="dxa"/>
            <w:vAlign w:val="center"/>
          </w:tcPr>
          <w:p w:rsidR="000F397F" w:rsidRDefault="0015641A">
            <w:pPr>
              <w:jc w:val="left"/>
            </w:pPr>
            <w:r>
              <w:rPr>
                <w:color w:val="000000"/>
                <w:sz w:val="24"/>
              </w:rPr>
              <w:t>市场利率下降</w:t>
            </w:r>
            <w:r>
              <w:rPr>
                <w:color w:val="000000"/>
                <w:sz w:val="24"/>
              </w:rPr>
              <w:t>25</w:t>
            </w:r>
            <w:r>
              <w:rPr>
                <w:color w:val="000000"/>
                <w:sz w:val="24"/>
              </w:rPr>
              <w:t>个基点</w:t>
            </w:r>
          </w:p>
        </w:tc>
        <w:tc>
          <w:tcPr>
            <w:tcW w:w="2780" w:type="dxa"/>
            <w:vAlign w:val="center"/>
          </w:tcPr>
          <w:p w:rsidR="000F397F" w:rsidRDefault="0015641A">
            <w:pPr>
              <w:jc w:val="right"/>
            </w:pPr>
            <w:r>
              <w:rPr>
                <w:color w:val="000000"/>
                <w:sz w:val="24"/>
              </w:rPr>
              <w:t>增加约</w:t>
            </w:r>
            <w:r>
              <w:rPr>
                <w:color w:val="000000"/>
                <w:sz w:val="24"/>
              </w:rPr>
              <w:t>48</w:t>
            </w:r>
          </w:p>
        </w:tc>
        <w:tc>
          <w:tcPr>
            <w:tcW w:w="2249" w:type="dxa"/>
            <w:vAlign w:val="center"/>
          </w:tcPr>
          <w:p w:rsidR="000F397F" w:rsidRDefault="0015641A">
            <w:pPr>
              <w:jc w:val="right"/>
            </w:pPr>
            <w:r>
              <w:rPr>
                <w:color w:val="000000"/>
                <w:sz w:val="24"/>
              </w:rPr>
              <w:t>增加约</w:t>
            </w:r>
            <w:r>
              <w:rPr>
                <w:color w:val="000000"/>
                <w:sz w:val="24"/>
              </w:rPr>
              <w:t>185</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F397F" w:rsidRDefault="0015641A">
      <w:pPr>
        <w:spacing w:before="29" w:line="288" w:lineRule="auto"/>
        <w:ind w:firstLineChars="200" w:firstLine="480"/>
        <w:rPr>
          <w:kern w:val="0"/>
          <w:sz w:val="24"/>
        </w:rPr>
      </w:pPr>
      <w:r>
        <w:rPr>
          <w:kern w:val="0"/>
          <w:sz w:val="24"/>
        </w:rPr>
        <w:t xml:space="preserve">(1) </w:t>
      </w:r>
      <w:r>
        <w:rPr>
          <w:kern w:val="0"/>
          <w:sz w:val="24"/>
        </w:rPr>
        <w:t>公允价值</w:t>
      </w:r>
    </w:p>
    <w:p w:rsidR="000F397F" w:rsidRDefault="0015641A">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F397F" w:rsidRDefault="0015641A">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F397F" w:rsidRDefault="0015641A">
      <w:pPr>
        <w:spacing w:before="29" w:line="288" w:lineRule="auto"/>
        <w:ind w:firstLineChars="200" w:firstLine="480"/>
        <w:rPr>
          <w:kern w:val="0"/>
          <w:sz w:val="24"/>
        </w:rPr>
      </w:pPr>
      <w:r>
        <w:rPr>
          <w:kern w:val="0"/>
          <w:sz w:val="24"/>
        </w:rPr>
        <w:t>第一层次：相同资产或负债在活跃市场上未经调整的报价。</w:t>
      </w:r>
    </w:p>
    <w:p w:rsidR="000F397F" w:rsidRDefault="0015641A">
      <w:pPr>
        <w:spacing w:before="29" w:line="288" w:lineRule="auto"/>
        <w:ind w:firstLineChars="200" w:firstLine="480"/>
        <w:rPr>
          <w:kern w:val="0"/>
          <w:sz w:val="24"/>
        </w:rPr>
      </w:pPr>
      <w:r>
        <w:rPr>
          <w:kern w:val="0"/>
          <w:sz w:val="24"/>
        </w:rPr>
        <w:t>第二层次：除第一层次输入值外相关资产或负债直接或间接可观察的输入值。</w:t>
      </w:r>
    </w:p>
    <w:p w:rsidR="000F397F" w:rsidRDefault="0015641A">
      <w:pPr>
        <w:spacing w:before="29" w:line="288" w:lineRule="auto"/>
        <w:ind w:firstLineChars="200" w:firstLine="480"/>
        <w:rPr>
          <w:kern w:val="0"/>
          <w:sz w:val="24"/>
        </w:rPr>
      </w:pPr>
      <w:r>
        <w:rPr>
          <w:kern w:val="0"/>
          <w:sz w:val="24"/>
        </w:rPr>
        <w:t>第三层次：相关资产或负债的不可观察输入值。</w:t>
      </w:r>
    </w:p>
    <w:p w:rsidR="000F397F" w:rsidRDefault="0015641A">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F397F" w:rsidRDefault="0015641A">
      <w:pPr>
        <w:spacing w:before="29" w:line="288" w:lineRule="auto"/>
        <w:ind w:firstLineChars="200" w:firstLine="480"/>
        <w:rPr>
          <w:kern w:val="0"/>
          <w:sz w:val="24"/>
        </w:rPr>
      </w:pPr>
      <w:r>
        <w:rPr>
          <w:kern w:val="0"/>
          <w:sz w:val="24"/>
        </w:rPr>
        <w:t xml:space="preserve">(i)  </w:t>
      </w:r>
      <w:r>
        <w:rPr>
          <w:kern w:val="0"/>
          <w:sz w:val="24"/>
        </w:rPr>
        <w:t>各层次金融工具公允价值</w:t>
      </w:r>
    </w:p>
    <w:p w:rsidR="000F397F" w:rsidRDefault="0015641A">
      <w:pPr>
        <w:spacing w:before="29" w:line="288" w:lineRule="auto"/>
        <w:ind w:firstLineChars="200" w:firstLine="480"/>
        <w:rPr>
          <w:kern w:val="0"/>
          <w:sz w:val="24"/>
        </w:rPr>
      </w:pPr>
      <w:r>
        <w:rPr>
          <w:kern w:val="0"/>
          <w:sz w:val="24"/>
        </w:rPr>
        <w:lastRenderedPageBreak/>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35,478,860.00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1,776,551,102.50</w:t>
      </w:r>
      <w:r>
        <w:rPr>
          <w:kern w:val="0"/>
          <w:sz w:val="24"/>
        </w:rPr>
        <w:t>元，无第一或第三层次</w:t>
      </w:r>
      <w:r>
        <w:rPr>
          <w:kern w:val="0"/>
          <w:sz w:val="24"/>
        </w:rPr>
        <w:t>)</w:t>
      </w:r>
      <w:r>
        <w:rPr>
          <w:kern w:val="0"/>
          <w:sz w:val="24"/>
        </w:rPr>
        <w:t>。</w:t>
      </w:r>
    </w:p>
    <w:p w:rsidR="000F397F" w:rsidRDefault="0015641A">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F397F" w:rsidRDefault="0015641A">
      <w:pPr>
        <w:spacing w:before="29" w:line="288" w:lineRule="auto"/>
        <w:ind w:firstLineChars="200" w:firstLine="480"/>
        <w:rPr>
          <w:kern w:val="0"/>
          <w:sz w:val="24"/>
        </w:rPr>
      </w:pPr>
      <w:r>
        <w:rPr>
          <w:kern w:val="0"/>
          <w:sz w:val="24"/>
        </w:rPr>
        <w:t>本基金以导致各层次之间转换的事项发生日为确认各层次之间转换的时点。</w:t>
      </w:r>
    </w:p>
    <w:p w:rsidR="000F397F" w:rsidRDefault="0015641A">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0F397F" w:rsidRDefault="0015641A">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F397F" w:rsidRDefault="0015641A">
      <w:pPr>
        <w:spacing w:before="29" w:line="288" w:lineRule="auto"/>
        <w:ind w:firstLineChars="200" w:firstLine="480"/>
        <w:rPr>
          <w:kern w:val="0"/>
          <w:sz w:val="24"/>
        </w:rPr>
      </w:pPr>
      <w:r>
        <w:rPr>
          <w:kern w:val="0"/>
          <w:sz w:val="24"/>
        </w:rPr>
        <w:t>无。</w:t>
      </w:r>
    </w:p>
    <w:p w:rsidR="000F397F" w:rsidRDefault="0015641A">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F397F" w:rsidRDefault="0015641A">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F397F" w:rsidRDefault="0015641A">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F397F" w:rsidRDefault="0015641A">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614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9" w:name="_Toc225498273"/>
      <w:bookmarkStart w:id="130" w:name="_Toc361324878"/>
      <w:bookmarkStart w:id="131" w:name="_Toc3596614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35,478,860.00</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85.16</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35,478,860.00</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85.16</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176EFF">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176EFF">
        <w:tc>
          <w:tcPr>
            <w:tcW w:w="1080" w:type="dxa"/>
            <w:vAlign w:val="center"/>
          </w:tcPr>
          <w:p w:rsidR="00832C5C" w:rsidRPr="00A73188" w:rsidRDefault="00832C5C" w:rsidP="00176EFF">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w:t>
            </w:r>
            <w:r w:rsidRPr="00A73188">
              <w:rPr>
                <w:rFonts w:eastAsiaTheme="minorEastAsia"/>
                <w:color w:val="000000" w:themeColor="text1"/>
                <w:szCs w:val="21"/>
              </w:rPr>
              <w:lastRenderedPageBreak/>
              <w:t>计</w:t>
            </w:r>
          </w:p>
        </w:tc>
        <w:tc>
          <w:tcPr>
            <w:tcW w:w="255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lastRenderedPageBreak/>
              <w:t>5,395,885.41</w:t>
            </w:r>
          </w:p>
        </w:tc>
        <w:tc>
          <w:tcPr>
            <w:tcW w:w="2621" w:type="dxa"/>
            <w:vAlign w:val="center"/>
          </w:tcPr>
          <w:p w:rsidR="00832C5C" w:rsidRPr="00A73188" w:rsidRDefault="00832C5C" w:rsidP="00176EF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12.95</w:t>
            </w:r>
          </w:p>
        </w:tc>
      </w:tr>
      <w:tr w:rsidR="00832C5C" w:rsidRPr="00A73188" w:rsidTr="00176EFF">
        <w:tc>
          <w:tcPr>
            <w:tcW w:w="1080" w:type="dxa"/>
            <w:vAlign w:val="center"/>
          </w:tcPr>
          <w:p w:rsidR="00832C5C" w:rsidRPr="00A73188" w:rsidRDefault="00832C5C" w:rsidP="00176EFF">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176EFF">
            <w:pPr>
              <w:spacing w:line="276" w:lineRule="auto"/>
              <w:jc w:val="right"/>
              <w:rPr>
                <w:rFonts w:eastAsiaTheme="minorEastAsia"/>
                <w:color w:val="000000" w:themeColor="text1"/>
                <w:szCs w:val="21"/>
              </w:rPr>
            </w:pPr>
            <w:r w:rsidRPr="00A73188">
              <w:rPr>
                <w:rFonts w:eastAsiaTheme="minorEastAsia"/>
                <w:color w:val="000000" w:themeColor="text1"/>
                <w:szCs w:val="21"/>
              </w:rPr>
              <w:t>785,924.90</w:t>
            </w:r>
          </w:p>
        </w:tc>
        <w:tc>
          <w:tcPr>
            <w:tcW w:w="2621" w:type="dxa"/>
            <w:vAlign w:val="center"/>
          </w:tcPr>
          <w:p w:rsidR="00832C5C" w:rsidRPr="00A73188" w:rsidRDefault="00832C5C" w:rsidP="00176EFF">
            <w:pPr>
              <w:spacing w:line="276" w:lineRule="auto"/>
              <w:jc w:val="right"/>
              <w:rPr>
                <w:rFonts w:eastAsiaTheme="minorEastAsia"/>
                <w:color w:val="000000" w:themeColor="text1"/>
                <w:szCs w:val="21"/>
              </w:rPr>
            </w:pPr>
            <w:r w:rsidRPr="00A73188">
              <w:rPr>
                <w:rFonts w:eastAsiaTheme="minorEastAsia"/>
                <w:color w:val="000000" w:themeColor="text1"/>
                <w:szCs w:val="21"/>
              </w:rPr>
              <w:t>1.89</w:t>
            </w:r>
          </w:p>
        </w:tc>
      </w:tr>
      <w:tr w:rsidR="00832C5C" w:rsidRPr="00A73188" w:rsidTr="00176EFF">
        <w:tc>
          <w:tcPr>
            <w:tcW w:w="1080" w:type="dxa"/>
            <w:vAlign w:val="center"/>
          </w:tcPr>
          <w:p w:rsidR="00832C5C" w:rsidRPr="00A73188" w:rsidRDefault="00832C5C" w:rsidP="00176EFF">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176EF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176EFF">
            <w:pPr>
              <w:spacing w:line="276" w:lineRule="auto"/>
              <w:jc w:val="right"/>
              <w:rPr>
                <w:rFonts w:eastAsiaTheme="minorEastAsia"/>
                <w:color w:val="000000" w:themeColor="text1"/>
                <w:szCs w:val="21"/>
              </w:rPr>
            </w:pPr>
            <w:r w:rsidRPr="00A73188">
              <w:rPr>
                <w:rFonts w:eastAsiaTheme="minorEastAsia"/>
                <w:color w:val="000000" w:themeColor="text1"/>
                <w:szCs w:val="21"/>
              </w:rPr>
              <w:t>41,660,670.31</w:t>
            </w:r>
          </w:p>
        </w:tc>
        <w:tc>
          <w:tcPr>
            <w:tcW w:w="2621" w:type="dxa"/>
            <w:vAlign w:val="center"/>
          </w:tcPr>
          <w:p w:rsidR="00832C5C" w:rsidRPr="00A73188" w:rsidRDefault="00832C5C" w:rsidP="00176EFF">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32" w:name="_Toc225498274"/>
      <w:bookmarkStart w:id="133" w:name="_Toc361324879"/>
      <w:bookmarkStart w:id="134" w:name="_Toc35966142"/>
      <w:r w:rsidRPr="001C20F0">
        <w:rPr>
          <w:rFonts w:ascii="Times New Roman" w:eastAsiaTheme="minorEastAsia" w:hAnsi="Times New Roman"/>
          <w:bCs w:val="0"/>
          <w:color w:val="000000" w:themeColor="text1"/>
          <w:kern w:val="0"/>
          <w:sz w:val="21"/>
          <w:szCs w:val="21"/>
        </w:rPr>
        <w:t>8.2</w:t>
      </w:r>
      <w:r w:rsidRPr="001C20F0">
        <w:rPr>
          <w:rFonts w:ascii="Times New Roman" w:eastAsiaTheme="minorEastAsia" w:hAnsi="Times New Roman" w:hint="eastAsia"/>
          <w:bCs w:val="0"/>
          <w:color w:val="000000" w:themeColor="text1"/>
          <w:kern w:val="0"/>
          <w:sz w:val="21"/>
          <w:szCs w:val="21"/>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35" w:name="_Toc361324881"/>
      <w:bookmarkStart w:id="136" w:name="_Toc35966143"/>
      <w:r w:rsidRPr="001C20F0">
        <w:rPr>
          <w:rFonts w:ascii="Times New Roman" w:eastAsiaTheme="minorEastAsia" w:hAnsi="Times New Roman"/>
          <w:bCs w:val="0"/>
          <w:color w:val="000000" w:themeColor="text1"/>
          <w:kern w:val="0"/>
          <w:sz w:val="21"/>
          <w:szCs w:val="21"/>
        </w:rPr>
        <w:t>8.3</w:t>
      </w:r>
      <w:r w:rsidRPr="001C20F0">
        <w:rPr>
          <w:rFonts w:ascii="Times New Roman" w:eastAsiaTheme="minorEastAsia" w:hAnsi="Times New Roman" w:hint="eastAsia"/>
          <w:bCs w:val="0"/>
          <w:color w:val="000000" w:themeColor="text1"/>
          <w:kern w:val="0"/>
          <w:sz w:val="21"/>
          <w:szCs w:val="21"/>
        </w:rPr>
        <w:t>期末按公允价值占基金资产净值比例大小排序的所有股票投资明细</w:t>
      </w:r>
      <w:bookmarkEnd w:id="135"/>
      <w:bookmarkEnd w:id="136"/>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37" w:name="_Toc361324882"/>
      <w:bookmarkStart w:id="138" w:name="_Toc35966144"/>
      <w:r w:rsidRPr="001C20F0">
        <w:rPr>
          <w:rFonts w:ascii="Times New Roman" w:eastAsiaTheme="minorEastAsia" w:hAnsi="Times New Roman"/>
          <w:bCs w:val="0"/>
          <w:color w:val="000000" w:themeColor="text1"/>
          <w:kern w:val="0"/>
          <w:sz w:val="21"/>
          <w:szCs w:val="21"/>
        </w:rPr>
        <w:t>8.4</w:t>
      </w:r>
      <w:bookmarkStart w:id="139" w:name="_Toc234814103"/>
      <w:r w:rsidRPr="001C20F0">
        <w:rPr>
          <w:rFonts w:ascii="Times New Roman" w:eastAsiaTheme="minorEastAsia" w:hAnsi="Times New Roman" w:hint="eastAsia"/>
          <w:bCs w:val="0"/>
          <w:color w:val="000000" w:themeColor="text1"/>
          <w:kern w:val="0"/>
          <w:sz w:val="21"/>
          <w:szCs w:val="21"/>
        </w:rPr>
        <w:t>报告期内股票投资组合的重大变动</w:t>
      </w:r>
      <w:bookmarkEnd w:id="137"/>
      <w:bookmarkEnd w:id="138"/>
      <w:bookmarkEnd w:id="139"/>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40" w:name="_Toc234814104"/>
      <w:bookmarkStart w:id="141" w:name="_Toc361324883"/>
      <w:bookmarkStart w:id="142" w:name="_Toc35966145"/>
      <w:r w:rsidRPr="001C20F0">
        <w:rPr>
          <w:rFonts w:ascii="Times New Roman" w:eastAsiaTheme="minorEastAsia" w:hAnsi="Times New Roman"/>
          <w:bCs w:val="0"/>
          <w:color w:val="000000" w:themeColor="text1"/>
          <w:kern w:val="0"/>
          <w:sz w:val="21"/>
          <w:szCs w:val="21"/>
        </w:rPr>
        <w:t>8.5</w:t>
      </w:r>
      <w:r w:rsidRPr="001C20F0">
        <w:rPr>
          <w:rFonts w:ascii="Times New Roman" w:eastAsiaTheme="minorEastAsia" w:hAnsi="Times New Roman" w:hint="eastAsia"/>
          <w:bCs w:val="0"/>
          <w:color w:val="000000" w:themeColor="text1"/>
          <w:kern w:val="0"/>
          <w:sz w:val="21"/>
          <w:szCs w:val="21"/>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35,478,860.00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85.38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35,478,860.00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85.38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176EFF">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35,478,860.00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85.38</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43" w:name="_Toc361324884"/>
      <w:bookmarkStart w:id="144" w:name="_Toc35966146"/>
      <w:r w:rsidRPr="001C20F0">
        <w:rPr>
          <w:rFonts w:ascii="Times New Roman" w:eastAsiaTheme="minorEastAsia" w:hAnsi="Times New Roman"/>
          <w:bCs w:val="0"/>
          <w:color w:val="000000" w:themeColor="text1"/>
          <w:kern w:val="0"/>
          <w:sz w:val="21"/>
          <w:szCs w:val="21"/>
        </w:rPr>
        <w:lastRenderedPageBreak/>
        <w:t>8.6</w:t>
      </w:r>
      <w:bookmarkStart w:id="145" w:name="_Toc234814105"/>
      <w:r w:rsidRPr="001C20F0">
        <w:rPr>
          <w:rFonts w:ascii="Times New Roman" w:eastAsiaTheme="minorEastAsia" w:hAnsi="Times New Roman" w:hint="eastAsia"/>
          <w:bCs w:val="0"/>
          <w:color w:val="000000" w:themeColor="text1"/>
          <w:kern w:val="0"/>
          <w:sz w:val="21"/>
          <w:szCs w:val="21"/>
        </w:rPr>
        <w:t>期末按公允价值占基金资产净值比例大小</w:t>
      </w:r>
      <w:r w:rsidR="0055511D" w:rsidRPr="001C20F0">
        <w:rPr>
          <w:rFonts w:ascii="Times New Roman" w:eastAsiaTheme="minorEastAsia" w:hAnsi="Times New Roman" w:hint="eastAsia"/>
          <w:bCs w:val="0"/>
          <w:color w:val="000000" w:themeColor="text1"/>
          <w:kern w:val="0"/>
          <w:sz w:val="21"/>
          <w:szCs w:val="21"/>
        </w:rPr>
        <w:t>排序</w:t>
      </w:r>
      <w:r w:rsidRPr="001C20F0">
        <w:rPr>
          <w:rFonts w:ascii="Times New Roman" w:eastAsiaTheme="minorEastAsia" w:hAnsi="Times New Roman" w:hint="eastAsia"/>
          <w:bCs w:val="0"/>
          <w:color w:val="000000" w:themeColor="text1"/>
          <w:kern w:val="0"/>
          <w:sz w:val="21"/>
          <w:szCs w:val="21"/>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0F397F">
        <w:trPr>
          <w:jc w:val="center"/>
        </w:trPr>
        <w:tc>
          <w:tcPr>
            <w:tcW w:w="788" w:type="dxa"/>
            <w:vAlign w:val="center"/>
          </w:tcPr>
          <w:p w:rsidR="000F397F" w:rsidRDefault="0015641A">
            <w:pPr>
              <w:jc w:val="center"/>
            </w:pPr>
            <w:r>
              <w:rPr>
                <w:color w:val="000000"/>
                <w:sz w:val="24"/>
              </w:rPr>
              <w:t>1</w:t>
            </w:r>
          </w:p>
        </w:tc>
        <w:tc>
          <w:tcPr>
            <w:tcW w:w="1774" w:type="dxa"/>
            <w:vAlign w:val="center"/>
          </w:tcPr>
          <w:p w:rsidR="000F397F" w:rsidRDefault="0015641A">
            <w:pPr>
              <w:jc w:val="center"/>
            </w:pPr>
            <w:r>
              <w:rPr>
                <w:color w:val="000000"/>
                <w:sz w:val="24"/>
              </w:rPr>
              <w:t>018008</w:t>
            </w:r>
          </w:p>
        </w:tc>
        <w:tc>
          <w:tcPr>
            <w:tcW w:w="1282" w:type="dxa"/>
            <w:vAlign w:val="center"/>
          </w:tcPr>
          <w:p w:rsidR="000F397F" w:rsidRDefault="0015641A">
            <w:pPr>
              <w:jc w:val="center"/>
            </w:pPr>
            <w:r>
              <w:rPr>
                <w:color w:val="000000"/>
                <w:sz w:val="24"/>
              </w:rPr>
              <w:t>国开</w:t>
            </w:r>
            <w:r>
              <w:rPr>
                <w:color w:val="000000"/>
                <w:sz w:val="24"/>
              </w:rPr>
              <w:t>1802</w:t>
            </w:r>
          </w:p>
        </w:tc>
        <w:tc>
          <w:tcPr>
            <w:tcW w:w="1763" w:type="dxa"/>
            <w:vAlign w:val="center"/>
          </w:tcPr>
          <w:p w:rsidR="000F397F" w:rsidRDefault="0015641A">
            <w:pPr>
              <w:jc w:val="right"/>
            </w:pPr>
            <w:r>
              <w:rPr>
                <w:color w:val="000000"/>
                <w:sz w:val="24"/>
              </w:rPr>
              <w:t>126,000</w:t>
            </w:r>
          </w:p>
        </w:tc>
        <w:tc>
          <w:tcPr>
            <w:tcW w:w="1843" w:type="dxa"/>
            <w:vAlign w:val="center"/>
          </w:tcPr>
          <w:p w:rsidR="000F397F" w:rsidRDefault="0015641A">
            <w:pPr>
              <w:jc w:val="right"/>
            </w:pPr>
            <w:r>
              <w:rPr>
                <w:color w:val="000000"/>
                <w:sz w:val="24"/>
              </w:rPr>
              <w:t>12,960,360.00</w:t>
            </w:r>
          </w:p>
        </w:tc>
        <w:tc>
          <w:tcPr>
            <w:tcW w:w="1493" w:type="dxa"/>
            <w:vAlign w:val="center"/>
          </w:tcPr>
          <w:p w:rsidR="000F397F" w:rsidRDefault="0015641A">
            <w:pPr>
              <w:jc w:val="right"/>
            </w:pPr>
            <w:r>
              <w:rPr>
                <w:color w:val="000000"/>
                <w:sz w:val="24"/>
              </w:rPr>
              <w:t>31.19</w:t>
            </w:r>
          </w:p>
        </w:tc>
      </w:tr>
      <w:tr w:rsidR="000F397F">
        <w:trPr>
          <w:jc w:val="center"/>
        </w:trPr>
        <w:tc>
          <w:tcPr>
            <w:tcW w:w="788" w:type="dxa"/>
            <w:vAlign w:val="center"/>
          </w:tcPr>
          <w:p w:rsidR="000F397F" w:rsidRDefault="0015641A">
            <w:pPr>
              <w:jc w:val="center"/>
            </w:pPr>
            <w:r>
              <w:rPr>
                <w:color w:val="000000"/>
                <w:sz w:val="24"/>
              </w:rPr>
              <w:t>2</w:t>
            </w:r>
          </w:p>
        </w:tc>
        <w:tc>
          <w:tcPr>
            <w:tcW w:w="1774" w:type="dxa"/>
            <w:vAlign w:val="center"/>
          </w:tcPr>
          <w:p w:rsidR="000F397F" w:rsidRDefault="0015641A">
            <w:pPr>
              <w:jc w:val="center"/>
            </w:pPr>
            <w:r>
              <w:rPr>
                <w:color w:val="000000"/>
                <w:sz w:val="24"/>
              </w:rPr>
              <w:t>180210</w:t>
            </w:r>
          </w:p>
        </w:tc>
        <w:tc>
          <w:tcPr>
            <w:tcW w:w="1282" w:type="dxa"/>
            <w:vAlign w:val="center"/>
          </w:tcPr>
          <w:p w:rsidR="000F397F" w:rsidRDefault="0015641A">
            <w:pPr>
              <w:jc w:val="center"/>
            </w:pPr>
            <w:r>
              <w:rPr>
                <w:color w:val="000000"/>
                <w:sz w:val="24"/>
              </w:rPr>
              <w:t>18</w:t>
            </w:r>
            <w:r>
              <w:rPr>
                <w:color w:val="000000"/>
                <w:sz w:val="24"/>
              </w:rPr>
              <w:t>国开</w:t>
            </w:r>
            <w:r>
              <w:rPr>
                <w:color w:val="000000"/>
                <w:sz w:val="24"/>
              </w:rPr>
              <w:t>10</w:t>
            </w:r>
          </w:p>
        </w:tc>
        <w:tc>
          <w:tcPr>
            <w:tcW w:w="1763" w:type="dxa"/>
            <w:vAlign w:val="center"/>
          </w:tcPr>
          <w:p w:rsidR="000F397F" w:rsidRDefault="0015641A">
            <w:pPr>
              <w:jc w:val="right"/>
            </w:pPr>
            <w:r>
              <w:rPr>
                <w:color w:val="000000"/>
                <w:sz w:val="24"/>
              </w:rPr>
              <w:t>100,000</w:t>
            </w:r>
          </w:p>
        </w:tc>
        <w:tc>
          <w:tcPr>
            <w:tcW w:w="1843" w:type="dxa"/>
            <w:vAlign w:val="center"/>
          </w:tcPr>
          <w:p w:rsidR="000F397F" w:rsidRDefault="0015641A">
            <w:pPr>
              <w:jc w:val="right"/>
            </w:pPr>
            <w:r>
              <w:rPr>
                <w:color w:val="000000"/>
                <w:sz w:val="24"/>
              </w:rPr>
              <w:t>10,257,000.00</w:t>
            </w:r>
          </w:p>
        </w:tc>
        <w:tc>
          <w:tcPr>
            <w:tcW w:w="1493" w:type="dxa"/>
            <w:vAlign w:val="center"/>
          </w:tcPr>
          <w:p w:rsidR="000F397F" w:rsidRDefault="0015641A">
            <w:pPr>
              <w:jc w:val="right"/>
            </w:pPr>
            <w:r>
              <w:rPr>
                <w:color w:val="000000"/>
                <w:sz w:val="24"/>
              </w:rPr>
              <w:t>24.68</w:t>
            </w:r>
          </w:p>
        </w:tc>
      </w:tr>
      <w:tr w:rsidR="000F397F">
        <w:trPr>
          <w:jc w:val="center"/>
        </w:trPr>
        <w:tc>
          <w:tcPr>
            <w:tcW w:w="788" w:type="dxa"/>
            <w:vAlign w:val="center"/>
          </w:tcPr>
          <w:p w:rsidR="000F397F" w:rsidRDefault="0015641A">
            <w:pPr>
              <w:jc w:val="center"/>
            </w:pPr>
            <w:r>
              <w:rPr>
                <w:color w:val="000000"/>
                <w:sz w:val="24"/>
              </w:rPr>
              <w:t>3</w:t>
            </w:r>
          </w:p>
        </w:tc>
        <w:tc>
          <w:tcPr>
            <w:tcW w:w="1774" w:type="dxa"/>
            <w:vAlign w:val="center"/>
          </w:tcPr>
          <w:p w:rsidR="000F397F" w:rsidRDefault="0015641A">
            <w:pPr>
              <w:jc w:val="center"/>
            </w:pPr>
            <w:r>
              <w:rPr>
                <w:color w:val="000000"/>
                <w:sz w:val="24"/>
              </w:rPr>
              <w:t>190401</w:t>
            </w:r>
          </w:p>
        </w:tc>
        <w:tc>
          <w:tcPr>
            <w:tcW w:w="1282" w:type="dxa"/>
            <w:vAlign w:val="center"/>
          </w:tcPr>
          <w:p w:rsidR="000F397F" w:rsidRDefault="0015641A">
            <w:pPr>
              <w:jc w:val="center"/>
            </w:pPr>
            <w:r>
              <w:rPr>
                <w:color w:val="000000"/>
                <w:sz w:val="24"/>
              </w:rPr>
              <w:t>19</w:t>
            </w:r>
            <w:r>
              <w:rPr>
                <w:color w:val="000000"/>
                <w:sz w:val="24"/>
              </w:rPr>
              <w:t>农发</w:t>
            </w:r>
            <w:r>
              <w:rPr>
                <w:color w:val="000000"/>
                <w:sz w:val="24"/>
              </w:rPr>
              <w:t>01</w:t>
            </w:r>
          </w:p>
        </w:tc>
        <w:tc>
          <w:tcPr>
            <w:tcW w:w="1763" w:type="dxa"/>
            <w:vAlign w:val="center"/>
          </w:tcPr>
          <w:p w:rsidR="000F397F" w:rsidRDefault="0015641A">
            <w:pPr>
              <w:jc w:val="right"/>
            </w:pPr>
            <w:r>
              <w:rPr>
                <w:color w:val="000000"/>
                <w:sz w:val="24"/>
              </w:rPr>
              <w:t>100,000</w:t>
            </w:r>
          </w:p>
        </w:tc>
        <w:tc>
          <w:tcPr>
            <w:tcW w:w="1843" w:type="dxa"/>
            <w:vAlign w:val="center"/>
          </w:tcPr>
          <w:p w:rsidR="000F397F" w:rsidRDefault="0015641A">
            <w:pPr>
              <w:jc w:val="right"/>
            </w:pPr>
            <w:r>
              <w:rPr>
                <w:color w:val="000000"/>
                <w:sz w:val="24"/>
              </w:rPr>
              <w:t>10,045,000.00</w:t>
            </w:r>
          </w:p>
        </w:tc>
        <w:tc>
          <w:tcPr>
            <w:tcW w:w="1493" w:type="dxa"/>
            <w:vAlign w:val="center"/>
          </w:tcPr>
          <w:p w:rsidR="000F397F" w:rsidRDefault="0015641A">
            <w:pPr>
              <w:jc w:val="right"/>
            </w:pPr>
            <w:r>
              <w:rPr>
                <w:color w:val="000000"/>
                <w:sz w:val="24"/>
              </w:rPr>
              <w:t>24.17</w:t>
            </w:r>
          </w:p>
        </w:tc>
      </w:tr>
      <w:tr w:rsidR="000F397F">
        <w:trPr>
          <w:jc w:val="center"/>
        </w:trPr>
        <w:tc>
          <w:tcPr>
            <w:tcW w:w="788" w:type="dxa"/>
            <w:vAlign w:val="center"/>
          </w:tcPr>
          <w:p w:rsidR="000F397F" w:rsidRDefault="0015641A">
            <w:pPr>
              <w:jc w:val="center"/>
            </w:pPr>
            <w:r>
              <w:rPr>
                <w:color w:val="000000"/>
                <w:sz w:val="24"/>
              </w:rPr>
              <w:t>4</w:t>
            </w:r>
          </w:p>
        </w:tc>
        <w:tc>
          <w:tcPr>
            <w:tcW w:w="1774" w:type="dxa"/>
            <w:vAlign w:val="center"/>
          </w:tcPr>
          <w:p w:rsidR="000F397F" w:rsidRDefault="0015641A">
            <w:pPr>
              <w:jc w:val="center"/>
            </w:pPr>
            <w:r>
              <w:rPr>
                <w:color w:val="000000"/>
                <w:sz w:val="24"/>
              </w:rPr>
              <w:t>018007</w:t>
            </w:r>
          </w:p>
        </w:tc>
        <w:tc>
          <w:tcPr>
            <w:tcW w:w="1282" w:type="dxa"/>
            <w:vAlign w:val="center"/>
          </w:tcPr>
          <w:p w:rsidR="000F397F" w:rsidRDefault="0015641A">
            <w:pPr>
              <w:jc w:val="center"/>
            </w:pPr>
            <w:r>
              <w:rPr>
                <w:color w:val="000000"/>
                <w:sz w:val="24"/>
              </w:rPr>
              <w:t>国开</w:t>
            </w:r>
            <w:r>
              <w:rPr>
                <w:color w:val="000000"/>
                <w:sz w:val="24"/>
              </w:rPr>
              <w:t>1801</w:t>
            </w:r>
          </w:p>
        </w:tc>
        <w:tc>
          <w:tcPr>
            <w:tcW w:w="1763" w:type="dxa"/>
            <w:vAlign w:val="center"/>
          </w:tcPr>
          <w:p w:rsidR="000F397F" w:rsidRDefault="0015641A">
            <w:pPr>
              <w:jc w:val="right"/>
            </w:pPr>
            <w:r>
              <w:rPr>
                <w:color w:val="000000"/>
                <w:sz w:val="24"/>
              </w:rPr>
              <w:t>22,000</w:t>
            </w:r>
          </w:p>
        </w:tc>
        <w:tc>
          <w:tcPr>
            <w:tcW w:w="1843" w:type="dxa"/>
            <w:vAlign w:val="center"/>
          </w:tcPr>
          <w:p w:rsidR="000F397F" w:rsidRDefault="0015641A">
            <w:pPr>
              <w:jc w:val="right"/>
            </w:pPr>
            <w:r>
              <w:rPr>
                <w:color w:val="000000"/>
                <w:sz w:val="24"/>
              </w:rPr>
              <w:t>2,216,500.00</w:t>
            </w:r>
          </w:p>
        </w:tc>
        <w:tc>
          <w:tcPr>
            <w:tcW w:w="1493" w:type="dxa"/>
            <w:vAlign w:val="center"/>
          </w:tcPr>
          <w:p w:rsidR="000F397F" w:rsidRDefault="0015641A">
            <w:pPr>
              <w:jc w:val="right"/>
            </w:pPr>
            <w:r>
              <w:rPr>
                <w:color w:val="000000"/>
                <w:sz w:val="24"/>
              </w:rPr>
              <w:t>5.33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46" w:name="_Toc361324885"/>
      <w:bookmarkStart w:id="147" w:name="_Toc35966147"/>
      <w:r w:rsidRPr="001C20F0">
        <w:rPr>
          <w:rFonts w:ascii="Times New Roman" w:eastAsiaTheme="minorEastAsia" w:hAnsi="Times New Roman"/>
          <w:bCs w:val="0"/>
          <w:color w:val="000000" w:themeColor="text1"/>
          <w:kern w:val="0"/>
          <w:sz w:val="21"/>
          <w:szCs w:val="21"/>
        </w:rPr>
        <w:t>8.7</w:t>
      </w:r>
      <w:r w:rsidRPr="001C20F0">
        <w:rPr>
          <w:rFonts w:ascii="Times New Roman" w:eastAsiaTheme="minorEastAsia" w:hAnsi="Times New Roman" w:hint="eastAsia"/>
          <w:bCs w:val="0"/>
          <w:color w:val="000000" w:themeColor="text1"/>
          <w:kern w:val="0"/>
          <w:sz w:val="21"/>
          <w:szCs w:val="21"/>
        </w:rPr>
        <w:t>期末按公允价值占基金资产净值比例大小</w:t>
      </w:r>
      <w:r w:rsidR="009819C9" w:rsidRPr="001C20F0">
        <w:rPr>
          <w:rFonts w:ascii="Times New Roman" w:eastAsiaTheme="minorEastAsia" w:hAnsi="Times New Roman" w:hint="eastAsia"/>
          <w:bCs w:val="0"/>
          <w:color w:val="000000" w:themeColor="text1"/>
          <w:kern w:val="0"/>
          <w:sz w:val="21"/>
          <w:szCs w:val="21"/>
        </w:rPr>
        <w:t>排序</w:t>
      </w:r>
      <w:r w:rsidRPr="001C20F0">
        <w:rPr>
          <w:rFonts w:ascii="Times New Roman" w:eastAsiaTheme="minorEastAsia" w:hAnsi="Times New Roman" w:hint="eastAsia"/>
          <w:bCs w:val="0"/>
          <w:color w:val="000000" w:themeColor="text1"/>
          <w:kern w:val="0"/>
          <w:sz w:val="21"/>
          <w:szCs w:val="21"/>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1C20F0" w:rsidRDefault="001B3C1C" w:rsidP="001C20F0">
      <w:pPr>
        <w:pStyle w:val="20"/>
        <w:spacing w:before="0" w:after="0"/>
        <w:rPr>
          <w:rFonts w:ascii="Times New Roman" w:eastAsiaTheme="minorEastAsia" w:hAnsi="Times New Roman"/>
          <w:bCs w:val="0"/>
          <w:color w:val="000000" w:themeColor="text1"/>
          <w:kern w:val="0"/>
          <w:sz w:val="21"/>
          <w:szCs w:val="21"/>
        </w:rPr>
      </w:pPr>
      <w:bookmarkStart w:id="148" w:name="_Toc35966148"/>
      <w:r w:rsidRPr="001C20F0">
        <w:rPr>
          <w:rFonts w:ascii="Times New Roman" w:eastAsiaTheme="minorEastAsia" w:hAnsi="Times New Roman"/>
          <w:bCs w:val="0"/>
          <w:color w:val="000000" w:themeColor="text1"/>
          <w:kern w:val="0"/>
          <w:sz w:val="21"/>
          <w:szCs w:val="21"/>
        </w:rPr>
        <w:t>8.8</w:t>
      </w:r>
      <w:r w:rsidRPr="001C20F0">
        <w:rPr>
          <w:rFonts w:ascii="Times New Roman" w:eastAsiaTheme="minorEastAsia" w:hAnsi="Times New Roman" w:hint="eastAsia"/>
          <w:bCs w:val="0"/>
          <w:color w:val="000000" w:themeColor="text1"/>
          <w:kern w:val="0"/>
          <w:sz w:val="21"/>
          <w:szCs w:val="21"/>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49" w:name="_Toc361324886"/>
      <w:bookmarkStart w:id="150" w:name="_Toc35966149"/>
      <w:r w:rsidRPr="001C20F0">
        <w:rPr>
          <w:rFonts w:ascii="Times New Roman" w:eastAsiaTheme="minorEastAsia" w:hAnsi="Times New Roman"/>
          <w:bCs w:val="0"/>
          <w:color w:val="000000" w:themeColor="text1"/>
          <w:kern w:val="0"/>
          <w:sz w:val="21"/>
          <w:szCs w:val="21"/>
        </w:rPr>
        <w:t>8.9</w:t>
      </w:r>
      <w:r w:rsidRPr="001C20F0">
        <w:rPr>
          <w:rFonts w:ascii="Times New Roman" w:eastAsiaTheme="minorEastAsia" w:hAnsi="Times New Roman" w:hint="eastAsia"/>
          <w:bCs w:val="0"/>
          <w:color w:val="000000" w:themeColor="text1"/>
          <w:kern w:val="0"/>
          <w:sz w:val="21"/>
          <w:szCs w:val="21"/>
        </w:rPr>
        <w:t>期末按公允价值占基金资产净值比例大小排</w:t>
      </w:r>
      <w:r w:rsidR="00A63E24" w:rsidRPr="001C20F0">
        <w:rPr>
          <w:rFonts w:ascii="Times New Roman" w:eastAsiaTheme="minorEastAsia" w:hAnsi="Times New Roman" w:hint="eastAsia"/>
          <w:bCs w:val="0"/>
          <w:color w:val="000000" w:themeColor="text1"/>
          <w:kern w:val="0"/>
          <w:sz w:val="21"/>
          <w:szCs w:val="21"/>
        </w:rPr>
        <w:t>序</w:t>
      </w:r>
      <w:r w:rsidRPr="001C20F0">
        <w:rPr>
          <w:rFonts w:ascii="Times New Roman" w:eastAsiaTheme="minorEastAsia" w:hAnsi="Times New Roman" w:hint="eastAsia"/>
          <w:bCs w:val="0"/>
          <w:color w:val="000000" w:themeColor="text1"/>
          <w:kern w:val="0"/>
          <w:sz w:val="21"/>
          <w:szCs w:val="21"/>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1C20F0" w:rsidRDefault="005D072B" w:rsidP="001C20F0">
      <w:pPr>
        <w:pStyle w:val="20"/>
        <w:spacing w:before="0" w:after="0"/>
        <w:rPr>
          <w:rFonts w:ascii="Times New Roman" w:eastAsiaTheme="minorEastAsia" w:hAnsi="Times New Roman"/>
          <w:bCs w:val="0"/>
          <w:color w:val="000000" w:themeColor="text1"/>
          <w:kern w:val="0"/>
          <w:sz w:val="21"/>
          <w:szCs w:val="21"/>
        </w:rPr>
      </w:pPr>
      <w:bookmarkStart w:id="151" w:name="_Toc35966150"/>
      <w:r w:rsidRPr="001C20F0">
        <w:rPr>
          <w:rFonts w:ascii="Times New Roman" w:eastAsiaTheme="minorEastAsia" w:hAnsi="Times New Roman" w:hint="eastAsia"/>
          <w:bCs w:val="0"/>
          <w:color w:val="000000" w:themeColor="text1"/>
          <w:kern w:val="0"/>
          <w:sz w:val="21"/>
          <w:szCs w:val="21"/>
        </w:rPr>
        <w:t xml:space="preserve">8.10 </w:t>
      </w:r>
      <w:r w:rsidRPr="001C20F0">
        <w:rPr>
          <w:rFonts w:ascii="Times New Roman" w:eastAsiaTheme="minorEastAsia" w:hAnsi="Times New Roman" w:hint="eastAsia"/>
          <w:bCs w:val="0"/>
          <w:color w:val="000000" w:themeColor="text1"/>
          <w:kern w:val="0"/>
          <w:sz w:val="21"/>
          <w:szCs w:val="21"/>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1C20F0" w:rsidRDefault="00FF26CE" w:rsidP="001C20F0">
      <w:pPr>
        <w:pStyle w:val="20"/>
        <w:spacing w:before="0" w:after="0"/>
        <w:rPr>
          <w:rFonts w:ascii="Times New Roman" w:eastAsiaTheme="minorEastAsia" w:hAnsi="Times New Roman"/>
          <w:bCs w:val="0"/>
          <w:color w:val="000000" w:themeColor="text1"/>
          <w:kern w:val="0"/>
          <w:sz w:val="21"/>
          <w:szCs w:val="21"/>
        </w:rPr>
      </w:pPr>
      <w:bookmarkStart w:id="152" w:name="_Toc35966151"/>
      <w:r w:rsidRPr="001C20F0">
        <w:rPr>
          <w:rFonts w:ascii="Times New Roman" w:eastAsiaTheme="minorEastAsia" w:hAnsi="Times New Roman" w:hint="eastAsia"/>
          <w:bCs w:val="0"/>
          <w:color w:val="000000" w:themeColor="text1"/>
          <w:kern w:val="0"/>
          <w:sz w:val="21"/>
          <w:szCs w:val="21"/>
        </w:rPr>
        <w:t>8.11</w:t>
      </w:r>
      <w:r w:rsidRPr="001C20F0">
        <w:rPr>
          <w:rFonts w:ascii="Times New Roman" w:eastAsiaTheme="minorEastAsia" w:hAnsi="Times New Roman" w:hint="eastAsia"/>
          <w:bCs w:val="0"/>
          <w:color w:val="000000" w:themeColor="text1"/>
          <w:kern w:val="0"/>
          <w:sz w:val="21"/>
          <w:szCs w:val="21"/>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53" w:name="_Toc361324887"/>
      <w:bookmarkStart w:id="154" w:name="_Toc35966152"/>
      <w:r w:rsidRPr="001C20F0">
        <w:rPr>
          <w:rFonts w:ascii="Times New Roman" w:eastAsiaTheme="minorEastAsia" w:hAnsi="Times New Roman"/>
          <w:bCs w:val="0"/>
          <w:color w:val="000000" w:themeColor="text1"/>
          <w:kern w:val="0"/>
          <w:sz w:val="21"/>
          <w:szCs w:val="21"/>
        </w:rPr>
        <w:t xml:space="preserve">8.12 </w:t>
      </w:r>
      <w:r w:rsidRPr="001C20F0">
        <w:rPr>
          <w:rFonts w:ascii="Times New Roman" w:eastAsiaTheme="minorEastAsia" w:hAnsi="Times New Roman" w:hint="eastAsia"/>
          <w:bCs w:val="0"/>
          <w:color w:val="000000" w:themeColor="text1"/>
          <w:kern w:val="0"/>
          <w:sz w:val="21"/>
          <w:szCs w:val="21"/>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785,814.91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109.99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785,924.90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615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58" w:name="_Toc225500051"/>
      <w:bookmarkStart w:id="159" w:name="_Toc361324889"/>
      <w:bookmarkStart w:id="160" w:name="_Toc35966154"/>
      <w:r w:rsidRPr="001C20F0">
        <w:rPr>
          <w:rFonts w:ascii="Times New Roman" w:eastAsiaTheme="minorEastAsia" w:hAnsi="Times New Roman"/>
          <w:bCs w:val="0"/>
          <w:color w:val="000000" w:themeColor="text1"/>
          <w:kern w:val="0"/>
          <w:sz w:val="21"/>
          <w:szCs w:val="21"/>
        </w:rPr>
        <w:t xml:space="preserve">9.1 </w:t>
      </w:r>
      <w:r w:rsidRPr="001C20F0">
        <w:rPr>
          <w:rFonts w:ascii="Times New Roman" w:eastAsiaTheme="minorEastAsia" w:hAnsi="Times New Roman" w:hint="eastAsia"/>
          <w:bCs w:val="0"/>
          <w:color w:val="000000" w:themeColor="text1"/>
          <w:kern w:val="0"/>
          <w:sz w:val="21"/>
          <w:szCs w:val="21"/>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交银境尚收益债券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81,637.80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33,961,323.92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交银境尚收益债券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124,007.65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4,786,979.42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91.91%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421,342.01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8.09%</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458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85,523.24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4,786,979.42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12.22%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34,382,665.93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87.78%</w:t>
            </w:r>
          </w:p>
        </w:tc>
      </w:tr>
    </w:tbl>
    <w:p w:rsidR="001A59F9" w:rsidRPr="001C20F0" w:rsidRDefault="001A59F9" w:rsidP="001C20F0">
      <w:pPr>
        <w:widowControl/>
        <w:autoSpaceDE w:val="0"/>
        <w:autoSpaceDN w:val="0"/>
        <w:spacing w:before="29" w:line="288" w:lineRule="auto"/>
        <w:ind w:right="-15"/>
        <w:jc w:val="center"/>
        <w:textAlignment w:val="bottom"/>
        <w:rPr>
          <w:rFonts w:eastAsiaTheme="minorEastAsia"/>
          <w:bCs/>
          <w:color w:val="000000" w:themeColor="text1"/>
          <w:kern w:val="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61" w:name="_Toc361324891"/>
      <w:bookmarkStart w:id="162" w:name="_Toc35966155"/>
      <w:r w:rsidRPr="001C20F0">
        <w:rPr>
          <w:rFonts w:ascii="Times New Roman" w:eastAsiaTheme="minorEastAsia" w:hAnsi="Times New Roman"/>
          <w:bCs w:val="0"/>
          <w:color w:val="000000" w:themeColor="text1"/>
          <w:kern w:val="0"/>
          <w:sz w:val="21"/>
          <w:szCs w:val="21"/>
        </w:rPr>
        <w:lastRenderedPageBreak/>
        <w:t>9.2</w:t>
      </w:r>
      <w:r w:rsidRPr="001C20F0">
        <w:rPr>
          <w:rFonts w:ascii="Times New Roman" w:eastAsiaTheme="minorEastAsia" w:hAnsi="Times New Roman" w:hint="eastAsia"/>
          <w:bCs w:val="0"/>
          <w:color w:val="000000" w:themeColor="text1"/>
          <w:kern w:val="0"/>
          <w:sz w:val="21"/>
          <w:szCs w:val="21"/>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19.80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29.80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1C20F0" w:rsidRDefault="001C1C7F" w:rsidP="001C20F0">
      <w:pPr>
        <w:pStyle w:val="20"/>
        <w:spacing w:before="0" w:after="0"/>
        <w:rPr>
          <w:rFonts w:ascii="Times New Roman" w:eastAsiaTheme="minorEastAsia" w:hAnsi="Times New Roman"/>
          <w:bCs w:val="0"/>
          <w:color w:val="000000" w:themeColor="text1"/>
          <w:kern w:val="0"/>
          <w:sz w:val="21"/>
          <w:szCs w:val="21"/>
        </w:rPr>
      </w:pPr>
      <w:bookmarkStart w:id="163" w:name="_Toc35966156"/>
      <w:r w:rsidRPr="001C20F0">
        <w:rPr>
          <w:rFonts w:ascii="Times New Roman" w:eastAsiaTheme="minorEastAsia" w:hAnsi="Times New Roman"/>
          <w:bCs w:val="0"/>
          <w:color w:val="000000" w:themeColor="text1"/>
          <w:kern w:val="0"/>
          <w:sz w:val="21"/>
          <w:szCs w:val="21"/>
        </w:rPr>
        <w:t>9.3</w:t>
      </w:r>
      <w:r w:rsidRPr="001C20F0">
        <w:rPr>
          <w:rFonts w:ascii="Times New Roman" w:eastAsiaTheme="minorEastAsia" w:hAnsi="Times New Roman" w:hint="eastAsia"/>
          <w:bCs w:val="0"/>
          <w:color w:val="000000" w:themeColor="text1"/>
          <w:kern w:val="0"/>
          <w:sz w:val="21"/>
          <w:szCs w:val="21"/>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615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交银境尚收益债券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交银境尚收益债券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2017</w:t>
            </w:r>
            <w:r w:rsidR="00146153" w:rsidRPr="00133414">
              <w:rPr>
                <w:sz w:val="24"/>
              </w:rPr>
              <w:t>年</w:t>
            </w:r>
            <w:r w:rsidR="00146153" w:rsidRPr="00133414">
              <w:rPr>
                <w:sz w:val="24"/>
              </w:rPr>
              <w:t>3</w:t>
            </w:r>
            <w:r w:rsidR="00146153" w:rsidRPr="00133414">
              <w:rPr>
                <w:sz w:val="24"/>
              </w:rPr>
              <w:t>月</w:t>
            </w:r>
            <w:r w:rsidR="00146153" w:rsidRPr="00133414">
              <w:rPr>
                <w:sz w:val="24"/>
              </w:rPr>
              <w:t>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867,171,268.37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19,591,475.38</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867,171,268.37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19,591,475.38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9,398,547.24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5,402,481.35</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842,608,491.69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19,785,635.30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33,961,323.92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5,208,321.43</w:t>
            </w:r>
          </w:p>
        </w:tc>
      </w:tr>
    </w:tbl>
    <w:p w:rsidR="000F397F" w:rsidRDefault="0015641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6158"/>
      <w:r w:rsidRPr="00E87573">
        <w:rPr>
          <w:rFonts w:hint="eastAsia"/>
          <w:b/>
          <w:bCs/>
          <w:szCs w:val="24"/>
          <w:lang w:val="en-US"/>
        </w:rPr>
        <w:lastRenderedPageBreak/>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70" w:name="_Toc361324894"/>
      <w:bookmarkStart w:id="171" w:name="_Toc35966159"/>
      <w:r w:rsidRPr="001C20F0">
        <w:rPr>
          <w:rFonts w:ascii="Times New Roman" w:eastAsiaTheme="minorEastAsia" w:hAnsi="Times New Roman"/>
          <w:bCs w:val="0"/>
          <w:color w:val="000000" w:themeColor="text1"/>
          <w:kern w:val="0"/>
          <w:sz w:val="21"/>
          <w:szCs w:val="21"/>
        </w:rPr>
        <w:t>11.1</w:t>
      </w:r>
      <w:r w:rsidRPr="001C20F0">
        <w:rPr>
          <w:rFonts w:ascii="Times New Roman" w:eastAsiaTheme="minorEastAsia" w:hAnsi="Times New Roman" w:hint="eastAsia"/>
          <w:bCs w:val="0"/>
          <w:color w:val="000000" w:themeColor="text1"/>
          <w:kern w:val="0"/>
          <w:sz w:val="21"/>
          <w:szCs w:val="21"/>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72" w:name="_Toc361324895"/>
      <w:bookmarkStart w:id="173" w:name="_Toc35966160"/>
      <w:r w:rsidRPr="001C20F0">
        <w:rPr>
          <w:rFonts w:ascii="Times New Roman" w:eastAsiaTheme="minorEastAsia" w:hAnsi="Times New Roman"/>
          <w:bCs w:val="0"/>
          <w:color w:val="000000" w:themeColor="text1"/>
          <w:kern w:val="0"/>
          <w:sz w:val="21"/>
          <w:szCs w:val="21"/>
        </w:rPr>
        <w:t xml:space="preserve">11.2 </w:t>
      </w:r>
      <w:r w:rsidRPr="001C20F0">
        <w:rPr>
          <w:rFonts w:ascii="Times New Roman" w:eastAsiaTheme="minorEastAsia" w:hAnsi="Times New Roman" w:hint="eastAsia"/>
          <w:bCs w:val="0"/>
          <w:color w:val="000000" w:themeColor="text1"/>
          <w:kern w:val="0"/>
          <w:sz w:val="21"/>
          <w:szCs w:val="21"/>
        </w:rPr>
        <w:t>基金管理人、基金托管人的专门基金托管部门的重大人事变动</w:t>
      </w:r>
      <w:bookmarkEnd w:id="172"/>
      <w:bookmarkEnd w:id="173"/>
    </w:p>
    <w:p w:rsidR="000F397F" w:rsidRDefault="0015641A">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、基金托管人的基金托管部门的重大人事变动：自</w:t>
      </w:r>
      <w:r w:rsidRPr="00E87573">
        <w:rPr>
          <w:kern w:val="0"/>
          <w:sz w:val="24"/>
        </w:rPr>
        <w:t>2019</w:t>
      </w:r>
      <w:r w:rsidRPr="00E87573">
        <w:rPr>
          <w:kern w:val="0"/>
          <w:sz w:val="24"/>
        </w:rPr>
        <w:t>年</w:t>
      </w:r>
      <w:r w:rsidRPr="00E87573">
        <w:rPr>
          <w:kern w:val="0"/>
          <w:sz w:val="24"/>
        </w:rPr>
        <w:t>12</w:t>
      </w:r>
      <w:r w:rsidRPr="00E87573">
        <w:rPr>
          <w:kern w:val="0"/>
          <w:sz w:val="24"/>
        </w:rPr>
        <w:t>月</w:t>
      </w:r>
      <w:r w:rsidRPr="00E87573">
        <w:rPr>
          <w:kern w:val="0"/>
          <w:sz w:val="24"/>
        </w:rPr>
        <w:t>18</w:t>
      </w:r>
      <w:r w:rsidRPr="00E87573">
        <w:rPr>
          <w:kern w:val="0"/>
          <w:sz w:val="24"/>
        </w:rPr>
        <w:t>日起，姜然女士不再担任招商银行股份有限公司总行资产托管部总经理职务。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74" w:name="_Toc361324896"/>
      <w:bookmarkStart w:id="175" w:name="_Toc35966161"/>
      <w:r w:rsidRPr="001C20F0">
        <w:rPr>
          <w:rFonts w:ascii="Times New Roman" w:eastAsiaTheme="minorEastAsia" w:hAnsi="Times New Roman"/>
          <w:bCs w:val="0"/>
          <w:color w:val="000000" w:themeColor="text1"/>
          <w:kern w:val="0"/>
          <w:sz w:val="21"/>
          <w:szCs w:val="21"/>
        </w:rPr>
        <w:t xml:space="preserve">11.3 </w:t>
      </w:r>
      <w:r w:rsidRPr="001C20F0">
        <w:rPr>
          <w:rFonts w:ascii="Times New Roman" w:eastAsiaTheme="minorEastAsia" w:hAnsi="Times New Roman" w:hint="eastAsia"/>
          <w:bCs w:val="0"/>
          <w:color w:val="000000" w:themeColor="text1"/>
          <w:kern w:val="0"/>
          <w:sz w:val="21"/>
          <w:szCs w:val="21"/>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76" w:name="_Toc361324897"/>
      <w:bookmarkStart w:id="177" w:name="_Toc35966162"/>
      <w:r w:rsidRPr="001C20F0">
        <w:rPr>
          <w:rFonts w:ascii="Times New Roman" w:eastAsiaTheme="minorEastAsia" w:hAnsi="Times New Roman"/>
          <w:bCs w:val="0"/>
          <w:color w:val="000000" w:themeColor="text1"/>
          <w:kern w:val="0"/>
          <w:sz w:val="21"/>
          <w:szCs w:val="21"/>
        </w:rPr>
        <w:t xml:space="preserve">11.4 </w:t>
      </w:r>
      <w:r w:rsidRPr="001C20F0">
        <w:rPr>
          <w:rFonts w:ascii="Times New Roman" w:eastAsiaTheme="minorEastAsia" w:hAnsi="Times New Roman" w:hint="eastAsia"/>
          <w:bCs w:val="0"/>
          <w:color w:val="000000" w:themeColor="text1"/>
          <w:kern w:val="0"/>
          <w:sz w:val="21"/>
          <w:szCs w:val="21"/>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交银施罗德境尚收益债券型证券投资基金的封闭期自</w:t>
      </w:r>
      <w:r w:rsidRPr="00E87573">
        <w:rPr>
          <w:kern w:val="0"/>
          <w:sz w:val="24"/>
        </w:rPr>
        <w:t>2017</w:t>
      </w:r>
      <w:r w:rsidRPr="00E87573">
        <w:rPr>
          <w:kern w:val="0"/>
          <w:sz w:val="24"/>
        </w:rPr>
        <w:t>年</w:t>
      </w:r>
      <w:r w:rsidRPr="00E87573">
        <w:rPr>
          <w:kern w:val="0"/>
          <w:sz w:val="24"/>
        </w:rPr>
        <w:t>3</w:t>
      </w:r>
      <w:r w:rsidRPr="00E87573">
        <w:rPr>
          <w:kern w:val="0"/>
          <w:sz w:val="24"/>
        </w:rPr>
        <w:t>月</w:t>
      </w:r>
      <w:r w:rsidRPr="00E87573">
        <w:rPr>
          <w:kern w:val="0"/>
          <w:sz w:val="24"/>
        </w:rPr>
        <w:t>3</w:t>
      </w:r>
      <w:r w:rsidRPr="00E87573">
        <w:rPr>
          <w:kern w:val="0"/>
          <w:sz w:val="24"/>
        </w:rPr>
        <w:t>日开始至</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4</w:t>
      </w:r>
      <w:r w:rsidRPr="00E87573">
        <w:rPr>
          <w:kern w:val="0"/>
          <w:sz w:val="24"/>
        </w:rPr>
        <w:t>日止，自</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5</w:t>
      </w:r>
      <w:r w:rsidRPr="00E87573">
        <w:rPr>
          <w:kern w:val="0"/>
          <w:sz w:val="24"/>
        </w:rPr>
        <w:t>日起转为开放式运作，并自该日起适用《交银施罗德境尚收益债券型证券投资基金基金合同》中关于</w:t>
      </w:r>
      <w:r w:rsidRPr="00E87573">
        <w:rPr>
          <w:kern w:val="0"/>
          <w:sz w:val="24"/>
        </w:rPr>
        <w:t>“</w:t>
      </w:r>
      <w:r w:rsidRPr="00E87573">
        <w:rPr>
          <w:kern w:val="0"/>
          <w:sz w:val="24"/>
        </w:rPr>
        <w:t>转为开放式运作后的投资</w:t>
      </w:r>
      <w:r w:rsidRPr="00E87573">
        <w:rPr>
          <w:kern w:val="0"/>
          <w:sz w:val="24"/>
        </w:rPr>
        <w:t>”</w:t>
      </w:r>
      <w:r w:rsidRPr="00E87573">
        <w:rPr>
          <w:kern w:val="0"/>
          <w:sz w:val="24"/>
        </w:rPr>
        <w:t>的相关规定进行运作。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1C20F0" w:rsidRDefault="00C0329C" w:rsidP="00C0329C">
      <w:pPr>
        <w:pStyle w:val="20"/>
        <w:spacing w:before="0" w:after="0"/>
        <w:rPr>
          <w:rFonts w:ascii="Times New Roman" w:eastAsiaTheme="minorEastAsia" w:hAnsi="Times New Roman"/>
          <w:bCs w:val="0"/>
          <w:color w:val="000000" w:themeColor="text1"/>
          <w:kern w:val="0"/>
          <w:sz w:val="21"/>
          <w:szCs w:val="21"/>
        </w:rPr>
      </w:pPr>
      <w:bookmarkStart w:id="178" w:name="_Toc361324898"/>
      <w:bookmarkStart w:id="179" w:name="_Toc409100466"/>
      <w:bookmarkStart w:id="180" w:name="_Toc409100103"/>
      <w:bookmarkStart w:id="181" w:name="_Toc35966163"/>
      <w:r w:rsidRPr="001C20F0">
        <w:rPr>
          <w:rFonts w:ascii="Times New Roman" w:eastAsiaTheme="minorEastAsia" w:hAnsi="Times New Roman"/>
          <w:bCs w:val="0"/>
          <w:color w:val="000000" w:themeColor="text1"/>
          <w:kern w:val="0"/>
          <w:sz w:val="21"/>
          <w:szCs w:val="21"/>
        </w:rPr>
        <w:t>11.</w:t>
      </w:r>
      <w:bookmarkEnd w:id="178"/>
      <w:r w:rsidR="008825BF" w:rsidRPr="001C20F0">
        <w:rPr>
          <w:rFonts w:ascii="Times New Roman" w:eastAsiaTheme="minorEastAsia" w:hAnsi="Times New Roman"/>
          <w:bCs w:val="0"/>
          <w:color w:val="000000" w:themeColor="text1"/>
          <w:kern w:val="0"/>
          <w:sz w:val="21"/>
          <w:szCs w:val="21"/>
        </w:rPr>
        <w:t>5</w:t>
      </w:r>
      <w:r w:rsidRPr="001C20F0">
        <w:rPr>
          <w:rFonts w:ascii="Times New Roman" w:eastAsiaTheme="minorEastAsia" w:hAnsi="Times New Roman"/>
          <w:bCs w:val="0"/>
          <w:color w:val="000000" w:themeColor="text1"/>
          <w:kern w:val="0"/>
          <w:sz w:val="21"/>
          <w:szCs w:val="21"/>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FC1ADA">
        <w:rPr>
          <w:rFonts w:eastAsiaTheme="minorEastAsia"/>
          <w:color w:val="000000" w:themeColor="text1"/>
          <w:sz w:val="24"/>
        </w:rPr>
        <w:t>6</w:t>
      </w:r>
      <w:r w:rsidR="00FC1ADA" w:rsidRPr="00256071">
        <w:rPr>
          <w:rFonts w:eastAsiaTheme="minorEastAsia"/>
          <w:color w:val="000000" w:themeColor="text1"/>
          <w:sz w:val="24"/>
        </w:rPr>
        <w:t>0</w:t>
      </w:r>
      <w:r w:rsidRPr="00256071">
        <w:rPr>
          <w:rFonts w:eastAsiaTheme="minorEastAsia"/>
          <w:color w:val="000000" w:themeColor="text1"/>
          <w:sz w:val="24"/>
        </w:rPr>
        <w:t>,000</w:t>
      </w:r>
      <w:r w:rsidRPr="00256071">
        <w:rPr>
          <w:rFonts w:eastAsiaTheme="minorEastAsia"/>
          <w:color w:val="000000" w:themeColor="text1"/>
          <w:sz w:val="24"/>
        </w:rPr>
        <w:t>元。自本基金基金合同生效以来，本基金未改聘为其审计的会计师事务所。</w:t>
      </w:r>
    </w:p>
    <w:p w:rsidR="00C0329C" w:rsidRPr="001C20F0" w:rsidRDefault="00C0329C" w:rsidP="00C0329C">
      <w:pPr>
        <w:pStyle w:val="20"/>
        <w:spacing w:before="0" w:after="0"/>
        <w:rPr>
          <w:rFonts w:ascii="Times New Roman" w:eastAsiaTheme="minorEastAsia" w:hAnsi="Times New Roman"/>
          <w:bCs w:val="0"/>
          <w:color w:val="000000" w:themeColor="text1"/>
          <w:kern w:val="0"/>
          <w:sz w:val="21"/>
          <w:szCs w:val="21"/>
        </w:rPr>
      </w:pPr>
      <w:bookmarkStart w:id="183" w:name="_Toc409100104"/>
      <w:bookmarkStart w:id="184" w:name="_Toc409100467"/>
      <w:bookmarkStart w:id="185" w:name="_Toc361324899"/>
      <w:bookmarkStart w:id="186" w:name="_Toc35966164"/>
      <w:bookmarkEnd w:id="182"/>
      <w:r w:rsidRPr="001C20F0">
        <w:rPr>
          <w:rFonts w:ascii="Times New Roman" w:eastAsiaTheme="minorEastAsia" w:hAnsi="Times New Roman"/>
          <w:bCs w:val="0"/>
          <w:color w:val="000000" w:themeColor="text1"/>
          <w:kern w:val="0"/>
          <w:sz w:val="21"/>
          <w:szCs w:val="21"/>
        </w:rPr>
        <w:t>11.</w:t>
      </w:r>
      <w:r w:rsidR="008825BF" w:rsidRPr="001C20F0">
        <w:rPr>
          <w:rFonts w:ascii="Times New Roman" w:eastAsiaTheme="minorEastAsia" w:hAnsi="Times New Roman"/>
          <w:bCs w:val="0"/>
          <w:color w:val="000000" w:themeColor="text1"/>
          <w:kern w:val="0"/>
          <w:sz w:val="21"/>
          <w:szCs w:val="21"/>
        </w:rPr>
        <w:t>6</w:t>
      </w:r>
      <w:r w:rsidRPr="001C20F0">
        <w:rPr>
          <w:rFonts w:ascii="Times New Roman" w:eastAsiaTheme="minorEastAsia" w:hAnsi="Times New Roman"/>
          <w:bCs w:val="0"/>
          <w:color w:val="000000" w:themeColor="text1"/>
          <w:kern w:val="0"/>
          <w:sz w:val="21"/>
          <w:szCs w:val="21"/>
        </w:rPr>
        <w:t xml:space="preserve"> </w:t>
      </w:r>
      <w:r w:rsidRPr="001C20F0">
        <w:rPr>
          <w:rFonts w:ascii="Times New Roman" w:eastAsiaTheme="minorEastAsia" w:hAnsi="Times New Roman"/>
          <w:bCs w:val="0"/>
          <w:color w:val="000000" w:themeColor="text1"/>
          <w:kern w:val="0"/>
          <w:sz w:val="21"/>
          <w:szCs w:val="21"/>
        </w:rPr>
        <w:t>管理人、托管人及其高级管理人员受稽查或处罚等情况</w:t>
      </w:r>
      <w:bookmarkEnd w:id="183"/>
      <w:bookmarkEnd w:id="184"/>
      <w:bookmarkEnd w:id="185"/>
      <w:bookmarkEnd w:id="186"/>
    </w:p>
    <w:p w:rsidR="000F397F" w:rsidRDefault="0015641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F397F" w:rsidRDefault="0015641A">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0F397F" w:rsidRDefault="0015641A">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0F397F" w:rsidRDefault="0015641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lastRenderedPageBreak/>
        <w:t>基金托管人及其高级管理人员本报告期内未受监管部门稽查或处罚。</w:t>
      </w:r>
    </w:p>
    <w:p w:rsidR="00C0329C" w:rsidRPr="001C20F0" w:rsidRDefault="00C0329C" w:rsidP="00C0329C">
      <w:pPr>
        <w:pStyle w:val="20"/>
        <w:spacing w:before="0" w:after="0"/>
        <w:rPr>
          <w:rFonts w:ascii="Times New Roman" w:eastAsiaTheme="minorEastAsia" w:hAnsi="Times New Roman"/>
          <w:bCs w:val="0"/>
          <w:color w:val="000000" w:themeColor="text1"/>
          <w:kern w:val="0"/>
          <w:sz w:val="21"/>
          <w:szCs w:val="21"/>
        </w:rPr>
      </w:pPr>
      <w:bookmarkStart w:id="187" w:name="_Toc361324900"/>
      <w:bookmarkStart w:id="188" w:name="_Toc409100468"/>
      <w:bookmarkStart w:id="189" w:name="_Toc409100105"/>
      <w:bookmarkStart w:id="190" w:name="_Toc35966165"/>
      <w:r w:rsidRPr="001C20F0">
        <w:rPr>
          <w:rFonts w:ascii="Times New Roman" w:eastAsiaTheme="minorEastAsia" w:hAnsi="Times New Roman"/>
          <w:bCs w:val="0"/>
          <w:color w:val="000000" w:themeColor="text1"/>
          <w:kern w:val="0"/>
          <w:sz w:val="21"/>
          <w:szCs w:val="21"/>
        </w:rPr>
        <w:t>11.</w:t>
      </w:r>
      <w:r w:rsidR="008825BF" w:rsidRPr="001C20F0">
        <w:rPr>
          <w:rFonts w:ascii="Times New Roman" w:eastAsiaTheme="minorEastAsia" w:hAnsi="Times New Roman"/>
          <w:bCs w:val="0"/>
          <w:color w:val="000000" w:themeColor="text1"/>
          <w:kern w:val="0"/>
          <w:sz w:val="21"/>
          <w:szCs w:val="21"/>
        </w:rPr>
        <w:t>7</w:t>
      </w:r>
      <w:r w:rsidRPr="001C20F0">
        <w:rPr>
          <w:rFonts w:ascii="Times New Roman" w:eastAsiaTheme="minorEastAsia" w:hAnsi="Times New Roman"/>
          <w:bCs w:val="0"/>
          <w:color w:val="000000" w:themeColor="text1"/>
          <w:kern w:val="0"/>
          <w:sz w:val="21"/>
          <w:szCs w:val="21"/>
        </w:rPr>
        <w:t xml:space="preserve"> </w:t>
      </w:r>
      <w:r w:rsidRPr="001C20F0">
        <w:rPr>
          <w:rFonts w:ascii="Times New Roman" w:eastAsiaTheme="minorEastAsia" w:hAnsi="Times New Roman"/>
          <w:bCs w:val="0"/>
          <w:color w:val="000000" w:themeColor="text1"/>
          <w:kern w:val="0"/>
          <w:sz w:val="21"/>
          <w:szCs w:val="21"/>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176EFF">
        <w:tc>
          <w:tcPr>
            <w:tcW w:w="1560" w:type="dxa"/>
            <w:vMerge w:val="restart"/>
            <w:vAlign w:val="center"/>
          </w:tcPr>
          <w:p w:rsidR="00C0329C" w:rsidRPr="00256071" w:rsidRDefault="00C0329C" w:rsidP="00176EFF">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176EF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176EFF">
        <w:tc>
          <w:tcPr>
            <w:tcW w:w="1560" w:type="dxa"/>
            <w:vMerge/>
            <w:vAlign w:val="center"/>
          </w:tcPr>
          <w:p w:rsidR="00C0329C" w:rsidRPr="00256071" w:rsidRDefault="00C0329C" w:rsidP="00176EFF">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176EFF">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176EF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176EFF">
            <w:pPr>
              <w:widowControl/>
              <w:spacing w:line="276" w:lineRule="auto"/>
              <w:jc w:val="left"/>
              <w:rPr>
                <w:rFonts w:eastAsiaTheme="minorEastAsia"/>
                <w:color w:val="000000" w:themeColor="text1"/>
                <w:kern w:val="0"/>
                <w:sz w:val="24"/>
              </w:rPr>
            </w:pPr>
          </w:p>
        </w:tc>
      </w:tr>
      <w:tr w:rsidR="000F397F">
        <w:tc>
          <w:tcPr>
            <w:tcW w:w="1560" w:type="dxa"/>
            <w:vAlign w:val="center"/>
          </w:tcPr>
          <w:p w:rsidR="000F397F" w:rsidRDefault="0015641A">
            <w:pPr>
              <w:jc w:val="left"/>
            </w:pPr>
            <w:r>
              <w:rPr>
                <w:rFonts w:eastAsiaTheme="minorEastAsia"/>
                <w:color w:val="000000" w:themeColor="text1"/>
                <w:sz w:val="24"/>
              </w:rPr>
              <w:t>海通证券股份有限公司</w:t>
            </w:r>
          </w:p>
        </w:tc>
        <w:tc>
          <w:tcPr>
            <w:tcW w:w="780" w:type="dxa"/>
            <w:vAlign w:val="center"/>
          </w:tcPr>
          <w:p w:rsidR="000F397F" w:rsidRDefault="0015641A">
            <w:pPr>
              <w:jc w:val="right"/>
            </w:pPr>
            <w:r>
              <w:rPr>
                <w:rFonts w:eastAsiaTheme="minorEastAsia"/>
                <w:color w:val="000000" w:themeColor="text1"/>
                <w:sz w:val="24"/>
              </w:rPr>
              <w:t>1</w:t>
            </w:r>
          </w:p>
        </w:tc>
        <w:tc>
          <w:tcPr>
            <w:tcW w:w="180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62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left"/>
            </w:pPr>
            <w:r>
              <w:rPr>
                <w:rFonts w:eastAsiaTheme="minorEastAsia"/>
                <w:color w:val="000000" w:themeColor="text1"/>
                <w:sz w:val="24"/>
              </w:rPr>
              <w:t>-</w:t>
            </w:r>
          </w:p>
        </w:tc>
      </w:tr>
      <w:tr w:rsidR="000F397F">
        <w:tc>
          <w:tcPr>
            <w:tcW w:w="1560" w:type="dxa"/>
            <w:vAlign w:val="center"/>
          </w:tcPr>
          <w:p w:rsidR="000F397F" w:rsidRDefault="0015641A">
            <w:pPr>
              <w:jc w:val="left"/>
            </w:pPr>
            <w:r>
              <w:rPr>
                <w:rFonts w:eastAsiaTheme="minorEastAsia"/>
                <w:color w:val="000000" w:themeColor="text1"/>
                <w:sz w:val="24"/>
              </w:rPr>
              <w:t>中信证券股份有限公司</w:t>
            </w:r>
          </w:p>
        </w:tc>
        <w:tc>
          <w:tcPr>
            <w:tcW w:w="780" w:type="dxa"/>
            <w:vAlign w:val="center"/>
          </w:tcPr>
          <w:p w:rsidR="000F397F" w:rsidRDefault="0015641A">
            <w:pPr>
              <w:jc w:val="right"/>
            </w:pPr>
            <w:r>
              <w:rPr>
                <w:rFonts w:eastAsiaTheme="minorEastAsia"/>
                <w:color w:val="000000" w:themeColor="text1"/>
                <w:sz w:val="24"/>
              </w:rPr>
              <w:t>1</w:t>
            </w:r>
          </w:p>
        </w:tc>
        <w:tc>
          <w:tcPr>
            <w:tcW w:w="180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62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left"/>
            </w:pPr>
            <w:r>
              <w:rPr>
                <w:rFonts w:eastAsiaTheme="minorEastAsia"/>
                <w:color w:val="000000" w:themeColor="text1"/>
                <w:sz w:val="24"/>
              </w:rPr>
              <w:t>-</w:t>
            </w:r>
          </w:p>
        </w:tc>
      </w:tr>
      <w:tr w:rsidR="000F397F">
        <w:tc>
          <w:tcPr>
            <w:tcW w:w="1560" w:type="dxa"/>
            <w:vAlign w:val="center"/>
          </w:tcPr>
          <w:p w:rsidR="000F397F" w:rsidRDefault="0015641A">
            <w:pPr>
              <w:jc w:val="left"/>
            </w:pPr>
            <w:r>
              <w:rPr>
                <w:rFonts w:eastAsiaTheme="minorEastAsia"/>
                <w:color w:val="000000" w:themeColor="text1"/>
                <w:sz w:val="24"/>
              </w:rPr>
              <w:t>国盛证券有限责任公司</w:t>
            </w:r>
          </w:p>
        </w:tc>
        <w:tc>
          <w:tcPr>
            <w:tcW w:w="780" w:type="dxa"/>
            <w:vAlign w:val="center"/>
          </w:tcPr>
          <w:p w:rsidR="000F397F" w:rsidRDefault="0015641A">
            <w:pPr>
              <w:jc w:val="right"/>
            </w:pPr>
            <w:r>
              <w:rPr>
                <w:rFonts w:eastAsiaTheme="minorEastAsia"/>
                <w:color w:val="000000" w:themeColor="text1"/>
                <w:sz w:val="24"/>
              </w:rPr>
              <w:t>1</w:t>
            </w:r>
          </w:p>
        </w:tc>
        <w:tc>
          <w:tcPr>
            <w:tcW w:w="180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62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left"/>
            </w:pPr>
            <w:r>
              <w:rPr>
                <w:rFonts w:eastAsiaTheme="minorEastAsia"/>
                <w:color w:val="000000" w:themeColor="text1"/>
                <w:sz w:val="24"/>
              </w:rPr>
              <w:t>-</w:t>
            </w:r>
          </w:p>
        </w:tc>
      </w:tr>
      <w:tr w:rsidR="000F397F">
        <w:tc>
          <w:tcPr>
            <w:tcW w:w="1560" w:type="dxa"/>
            <w:vAlign w:val="center"/>
          </w:tcPr>
          <w:p w:rsidR="000F397F" w:rsidRDefault="0015641A">
            <w:pPr>
              <w:jc w:val="left"/>
            </w:pPr>
            <w:r>
              <w:rPr>
                <w:rFonts w:eastAsiaTheme="minorEastAsia"/>
                <w:color w:val="000000" w:themeColor="text1"/>
                <w:sz w:val="24"/>
              </w:rPr>
              <w:t>中泰证券股份有限公司</w:t>
            </w:r>
          </w:p>
        </w:tc>
        <w:tc>
          <w:tcPr>
            <w:tcW w:w="780" w:type="dxa"/>
            <w:vAlign w:val="center"/>
          </w:tcPr>
          <w:p w:rsidR="000F397F" w:rsidRDefault="0015641A">
            <w:pPr>
              <w:jc w:val="right"/>
            </w:pPr>
            <w:r>
              <w:rPr>
                <w:rFonts w:eastAsiaTheme="minorEastAsia"/>
                <w:color w:val="000000" w:themeColor="text1"/>
                <w:sz w:val="24"/>
              </w:rPr>
              <w:t>1</w:t>
            </w:r>
          </w:p>
        </w:tc>
        <w:tc>
          <w:tcPr>
            <w:tcW w:w="180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62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left"/>
            </w:pPr>
            <w:r>
              <w:rPr>
                <w:rFonts w:eastAsiaTheme="minorEastAsia"/>
                <w:color w:val="000000" w:themeColor="text1"/>
                <w:sz w:val="24"/>
              </w:rPr>
              <w:t>-</w:t>
            </w:r>
          </w:p>
        </w:tc>
      </w:tr>
      <w:tr w:rsidR="000F397F">
        <w:tc>
          <w:tcPr>
            <w:tcW w:w="1560" w:type="dxa"/>
            <w:vAlign w:val="center"/>
          </w:tcPr>
          <w:p w:rsidR="000F397F" w:rsidRDefault="0015641A">
            <w:pPr>
              <w:jc w:val="left"/>
            </w:pPr>
            <w:r>
              <w:rPr>
                <w:rFonts w:eastAsiaTheme="minorEastAsia"/>
                <w:color w:val="000000" w:themeColor="text1"/>
                <w:sz w:val="24"/>
              </w:rPr>
              <w:t>太平洋证券股份有限公司</w:t>
            </w:r>
          </w:p>
        </w:tc>
        <w:tc>
          <w:tcPr>
            <w:tcW w:w="780" w:type="dxa"/>
            <w:vAlign w:val="center"/>
          </w:tcPr>
          <w:p w:rsidR="000F397F" w:rsidRDefault="0015641A">
            <w:pPr>
              <w:jc w:val="right"/>
            </w:pPr>
            <w:r>
              <w:rPr>
                <w:rFonts w:eastAsiaTheme="minorEastAsia"/>
                <w:color w:val="000000" w:themeColor="text1"/>
                <w:sz w:val="24"/>
              </w:rPr>
              <w:t>1</w:t>
            </w:r>
          </w:p>
        </w:tc>
        <w:tc>
          <w:tcPr>
            <w:tcW w:w="180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62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right"/>
            </w:pPr>
            <w:r>
              <w:rPr>
                <w:rFonts w:eastAsiaTheme="minorEastAsia"/>
                <w:color w:val="000000" w:themeColor="text1"/>
                <w:sz w:val="24"/>
              </w:rPr>
              <w:t>-</w:t>
            </w:r>
          </w:p>
        </w:tc>
        <w:tc>
          <w:tcPr>
            <w:tcW w:w="1080" w:type="dxa"/>
            <w:vAlign w:val="center"/>
          </w:tcPr>
          <w:p w:rsidR="000F397F" w:rsidRDefault="0015641A">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176EFF">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176EFF">
        <w:tc>
          <w:tcPr>
            <w:tcW w:w="1560" w:type="dxa"/>
            <w:vMerge/>
            <w:vAlign w:val="center"/>
          </w:tcPr>
          <w:p w:rsidR="00C0329C" w:rsidRPr="00256071" w:rsidRDefault="00C0329C" w:rsidP="00176EFF">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176EFF">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F397F">
        <w:tc>
          <w:tcPr>
            <w:tcW w:w="1560" w:type="dxa"/>
            <w:vAlign w:val="center"/>
          </w:tcPr>
          <w:p w:rsidR="000F397F" w:rsidRDefault="0015641A">
            <w:pPr>
              <w:jc w:val="center"/>
            </w:pPr>
            <w:r>
              <w:rPr>
                <w:rFonts w:eastAsiaTheme="minorEastAsia"/>
                <w:color w:val="000000" w:themeColor="text1"/>
                <w:sz w:val="24"/>
              </w:rPr>
              <w:t>海通证券股份有限公司</w:t>
            </w:r>
          </w:p>
        </w:tc>
        <w:tc>
          <w:tcPr>
            <w:tcW w:w="1320" w:type="dxa"/>
            <w:vAlign w:val="center"/>
          </w:tcPr>
          <w:p w:rsidR="000F397F" w:rsidRDefault="0015641A">
            <w:pPr>
              <w:jc w:val="right"/>
            </w:pPr>
            <w:r>
              <w:rPr>
                <w:rFonts w:eastAsiaTheme="minorEastAsia"/>
                <w:color w:val="000000" w:themeColor="text1"/>
                <w:sz w:val="24"/>
              </w:rPr>
              <w:t>80,415,730.14</w:t>
            </w:r>
          </w:p>
        </w:tc>
        <w:tc>
          <w:tcPr>
            <w:tcW w:w="1080" w:type="dxa"/>
            <w:vAlign w:val="center"/>
          </w:tcPr>
          <w:p w:rsidR="000F397F" w:rsidRDefault="0015641A">
            <w:pPr>
              <w:jc w:val="right"/>
            </w:pPr>
            <w:r>
              <w:rPr>
                <w:rFonts w:eastAsiaTheme="minorEastAsia"/>
                <w:color w:val="000000" w:themeColor="text1"/>
                <w:sz w:val="24"/>
              </w:rPr>
              <w:t>9.79%</w:t>
            </w:r>
          </w:p>
        </w:tc>
        <w:tc>
          <w:tcPr>
            <w:tcW w:w="1143" w:type="dxa"/>
            <w:vAlign w:val="center"/>
          </w:tcPr>
          <w:p w:rsidR="000F397F" w:rsidRDefault="0015641A">
            <w:pPr>
              <w:jc w:val="right"/>
            </w:pPr>
            <w:r>
              <w:rPr>
                <w:rFonts w:eastAsiaTheme="minorEastAsia"/>
                <w:color w:val="000000" w:themeColor="text1"/>
                <w:sz w:val="24"/>
              </w:rPr>
              <w:t>-</w:t>
            </w:r>
          </w:p>
        </w:tc>
        <w:tc>
          <w:tcPr>
            <w:tcW w:w="1197" w:type="dxa"/>
            <w:vAlign w:val="center"/>
          </w:tcPr>
          <w:p w:rsidR="000F397F" w:rsidRDefault="0015641A">
            <w:pPr>
              <w:jc w:val="right"/>
            </w:pPr>
            <w:r>
              <w:rPr>
                <w:rFonts w:eastAsiaTheme="minorEastAsia"/>
                <w:color w:val="000000" w:themeColor="text1"/>
                <w:sz w:val="24"/>
              </w:rPr>
              <w:t>-</w:t>
            </w:r>
          </w:p>
        </w:tc>
        <w:tc>
          <w:tcPr>
            <w:tcW w:w="1497" w:type="dxa"/>
            <w:vAlign w:val="center"/>
          </w:tcPr>
          <w:p w:rsidR="000F397F" w:rsidRDefault="0015641A">
            <w:pPr>
              <w:jc w:val="right"/>
            </w:pPr>
            <w:r>
              <w:rPr>
                <w:rFonts w:eastAsiaTheme="minorEastAsia"/>
                <w:color w:val="000000" w:themeColor="text1"/>
                <w:sz w:val="24"/>
              </w:rPr>
              <w:t>-</w:t>
            </w:r>
          </w:p>
        </w:tc>
        <w:tc>
          <w:tcPr>
            <w:tcW w:w="1203" w:type="dxa"/>
            <w:vAlign w:val="center"/>
          </w:tcPr>
          <w:p w:rsidR="000F397F" w:rsidRDefault="0015641A">
            <w:pPr>
              <w:jc w:val="right"/>
            </w:pPr>
            <w:r>
              <w:rPr>
                <w:rFonts w:eastAsiaTheme="minorEastAsia"/>
                <w:color w:val="000000" w:themeColor="text1"/>
                <w:sz w:val="24"/>
              </w:rPr>
              <w:t>-</w:t>
            </w:r>
          </w:p>
        </w:tc>
      </w:tr>
      <w:tr w:rsidR="000F397F">
        <w:tc>
          <w:tcPr>
            <w:tcW w:w="1560" w:type="dxa"/>
            <w:vAlign w:val="center"/>
          </w:tcPr>
          <w:p w:rsidR="000F397F" w:rsidRDefault="0015641A">
            <w:pPr>
              <w:jc w:val="center"/>
            </w:pPr>
            <w:r>
              <w:rPr>
                <w:rFonts w:eastAsiaTheme="minorEastAsia"/>
                <w:color w:val="000000" w:themeColor="text1"/>
                <w:sz w:val="24"/>
              </w:rPr>
              <w:t>中信证券股份有限公司</w:t>
            </w:r>
          </w:p>
        </w:tc>
        <w:tc>
          <w:tcPr>
            <w:tcW w:w="1320" w:type="dxa"/>
            <w:vAlign w:val="center"/>
          </w:tcPr>
          <w:p w:rsidR="000F397F" w:rsidRDefault="0015641A">
            <w:pPr>
              <w:jc w:val="right"/>
            </w:pPr>
            <w:r>
              <w:rPr>
                <w:rFonts w:eastAsiaTheme="minorEastAsia"/>
                <w:color w:val="000000" w:themeColor="text1"/>
                <w:sz w:val="24"/>
              </w:rPr>
              <w:t>740,605,949.05</w:t>
            </w:r>
          </w:p>
        </w:tc>
        <w:tc>
          <w:tcPr>
            <w:tcW w:w="1080" w:type="dxa"/>
            <w:vAlign w:val="center"/>
          </w:tcPr>
          <w:p w:rsidR="000F397F" w:rsidRDefault="0015641A">
            <w:pPr>
              <w:jc w:val="right"/>
            </w:pPr>
            <w:r>
              <w:rPr>
                <w:rFonts w:eastAsiaTheme="minorEastAsia"/>
                <w:color w:val="000000" w:themeColor="text1"/>
                <w:sz w:val="24"/>
              </w:rPr>
              <w:t>90.21%</w:t>
            </w:r>
          </w:p>
        </w:tc>
        <w:tc>
          <w:tcPr>
            <w:tcW w:w="1143" w:type="dxa"/>
            <w:vAlign w:val="center"/>
          </w:tcPr>
          <w:p w:rsidR="000F397F" w:rsidRDefault="0015641A">
            <w:pPr>
              <w:jc w:val="right"/>
            </w:pPr>
            <w:r>
              <w:rPr>
                <w:rFonts w:eastAsiaTheme="minorEastAsia"/>
                <w:color w:val="000000" w:themeColor="text1"/>
                <w:sz w:val="24"/>
              </w:rPr>
              <w:t>12,642,400,000.00</w:t>
            </w:r>
          </w:p>
        </w:tc>
        <w:tc>
          <w:tcPr>
            <w:tcW w:w="1197" w:type="dxa"/>
            <w:vAlign w:val="center"/>
          </w:tcPr>
          <w:p w:rsidR="000F397F" w:rsidRDefault="0015641A">
            <w:pPr>
              <w:jc w:val="right"/>
            </w:pPr>
            <w:r>
              <w:rPr>
                <w:rFonts w:eastAsiaTheme="minorEastAsia"/>
                <w:color w:val="000000" w:themeColor="text1"/>
                <w:sz w:val="24"/>
              </w:rPr>
              <w:t>100.00%</w:t>
            </w:r>
          </w:p>
        </w:tc>
        <w:tc>
          <w:tcPr>
            <w:tcW w:w="1497" w:type="dxa"/>
            <w:vAlign w:val="center"/>
          </w:tcPr>
          <w:p w:rsidR="000F397F" w:rsidRDefault="0015641A">
            <w:pPr>
              <w:jc w:val="right"/>
            </w:pPr>
            <w:r>
              <w:rPr>
                <w:rFonts w:eastAsiaTheme="minorEastAsia"/>
                <w:color w:val="000000" w:themeColor="text1"/>
                <w:sz w:val="24"/>
              </w:rPr>
              <w:t>-</w:t>
            </w:r>
          </w:p>
        </w:tc>
        <w:tc>
          <w:tcPr>
            <w:tcW w:w="1203" w:type="dxa"/>
            <w:vAlign w:val="center"/>
          </w:tcPr>
          <w:p w:rsidR="000F397F" w:rsidRDefault="0015641A">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0F397F" w:rsidRDefault="001564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、报告期内，本基金新增加交易单元为中泰证券股份有限公司和太平洋证券股份有限公司，其它交易单元未发生变化；</w:t>
      </w:r>
    </w:p>
    <w:p w:rsidR="000F397F" w:rsidRDefault="001564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w:t>
      </w:r>
      <w:r>
        <w:rPr>
          <w:rFonts w:eastAsiaTheme="minorEastAsia"/>
          <w:color w:val="000000" w:themeColor="text1"/>
          <w:sz w:val="24"/>
        </w:rPr>
        <w:lastRenderedPageBreak/>
        <w:t>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194" w:name="_Toc361324901"/>
      <w:bookmarkStart w:id="195" w:name="_Toc35966166"/>
      <w:r w:rsidRPr="001C20F0">
        <w:rPr>
          <w:rFonts w:ascii="Times New Roman" w:eastAsiaTheme="minorEastAsia" w:hAnsi="Times New Roman"/>
          <w:bCs w:val="0"/>
          <w:color w:val="000000" w:themeColor="text1"/>
          <w:kern w:val="0"/>
          <w:sz w:val="21"/>
          <w:szCs w:val="21"/>
        </w:rPr>
        <w:t>11.8</w:t>
      </w:r>
      <w:r w:rsidRPr="001C20F0">
        <w:rPr>
          <w:rFonts w:ascii="Times New Roman" w:eastAsiaTheme="minorEastAsia" w:hAnsi="Times New Roman" w:hint="eastAsia"/>
          <w:bCs w:val="0"/>
          <w:color w:val="000000" w:themeColor="text1"/>
          <w:kern w:val="0"/>
          <w:sz w:val="21"/>
          <w:szCs w:val="21"/>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F397F">
        <w:tc>
          <w:tcPr>
            <w:tcW w:w="720" w:type="dxa"/>
            <w:vAlign w:val="center"/>
          </w:tcPr>
          <w:p w:rsidR="000F397F" w:rsidRDefault="0015641A">
            <w:pPr>
              <w:jc w:val="center"/>
            </w:pPr>
            <w:r>
              <w:rPr>
                <w:color w:val="000000"/>
                <w:sz w:val="24"/>
              </w:rPr>
              <w:t>1</w:t>
            </w:r>
          </w:p>
        </w:tc>
        <w:tc>
          <w:tcPr>
            <w:tcW w:w="4320" w:type="dxa"/>
            <w:vAlign w:val="center"/>
          </w:tcPr>
          <w:p w:rsidR="000F397F" w:rsidRDefault="0015641A">
            <w:pPr>
              <w:jc w:val="left"/>
            </w:pPr>
            <w:r>
              <w:rPr>
                <w:color w:val="000000"/>
                <w:sz w:val="24"/>
              </w:rPr>
              <w:t>交银施罗德基金管理有限公司关于交银施罗德境尚收益债券型证券投资基金分红的公告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2019-01-10</w:t>
            </w:r>
          </w:p>
        </w:tc>
      </w:tr>
      <w:tr w:rsidR="000F397F">
        <w:tc>
          <w:tcPr>
            <w:tcW w:w="720" w:type="dxa"/>
            <w:vAlign w:val="center"/>
          </w:tcPr>
          <w:p w:rsidR="000F397F" w:rsidRDefault="0015641A">
            <w:pPr>
              <w:jc w:val="center"/>
            </w:pPr>
            <w:r>
              <w:rPr>
                <w:color w:val="000000"/>
                <w:sz w:val="24"/>
              </w:rPr>
              <w:t>2</w:t>
            </w:r>
          </w:p>
        </w:tc>
        <w:tc>
          <w:tcPr>
            <w:tcW w:w="4320" w:type="dxa"/>
            <w:vAlign w:val="center"/>
          </w:tcPr>
          <w:p w:rsidR="000F397F" w:rsidRDefault="0015641A">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2019-01-15</w:t>
            </w:r>
          </w:p>
        </w:tc>
      </w:tr>
      <w:tr w:rsidR="000F397F">
        <w:tc>
          <w:tcPr>
            <w:tcW w:w="720" w:type="dxa"/>
            <w:vAlign w:val="center"/>
          </w:tcPr>
          <w:p w:rsidR="000F397F" w:rsidRDefault="0015641A">
            <w:pPr>
              <w:jc w:val="center"/>
            </w:pPr>
            <w:r>
              <w:rPr>
                <w:color w:val="000000"/>
                <w:sz w:val="24"/>
              </w:rPr>
              <w:t>3</w:t>
            </w:r>
          </w:p>
        </w:tc>
        <w:tc>
          <w:tcPr>
            <w:tcW w:w="4320" w:type="dxa"/>
            <w:vAlign w:val="center"/>
          </w:tcPr>
          <w:p w:rsidR="000F397F" w:rsidRDefault="0015641A">
            <w:pPr>
              <w:jc w:val="left"/>
            </w:pPr>
            <w:r>
              <w:rPr>
                <w:color w:val="000000"/>
                <w:sz w:val="24"/>
              </w:rPr>
              <w:t>交银施罗德境尚收益债券型证券投资基金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2019-01-21</w:t>
            </w:r>
          </w:p>
        </w:tc>
      </w:tr>
      <w:tr w:rsidR="000F397F">
        <w:tc>
          <w:tcPr>
            <w:tcW w:w="720" w:type="dxa"/>
            <w:vAlign w:val="center"/>
          </w:tcPr>
          <w:p w:rsidR="000F397F" w:rsidRDefault="0015641A">
            <w:pPr>
              <w:jc w:val="center"/>
            </w:pPr>
            <w:r>
              <w:rPr>
                <w:color w:val="000000"/>
                <w:sz w:val="24"/>
              </w:rPr>
              <w:t>4</w:t>
            </w:r>
          </w:p>
        </w:tc>
        <w:tc>
          <w:tcPr>
            <w:tcW w:w="4320" w:type="dxa"/>
            <w:vAlign w:val="center"/>
          </w:tcPr>
          <w:p w:rsidR="000F397F" w:rsidRDefault="0015641A">
            <w:pPr>
              <w:jc w:val="left"/>
            </w:pPr>
            <w:r>
              <w:rPr>
                <w:color w:val="000000"/>
                <w:sz w:val="24"/>
              </w:rPr>
              <w:t>交银施罗德基金管理有限公司关于开展网上直销交易平台交易费率优惠活动的公告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2019-01-28</w:t>
            </w:r>
          </w:p>
        </w:tc>
      </w:tr>
      <w:tr w:rsidR="000F397F">
        <w:tc>
          <w:tcPr>
            <w:tcW w:w="720" w:type="dxa"/>
            <w:vAlign w:val="center"/>
          </w:tcPr>
          <w:p w:rsidR="000F397F" w:rsidRDefault="0015641A">
            <w:pPr>
              <w:jc w:val="center"/>
            </w:pPr>
            <w:r>
              <w:rPr>
                <w:color w:val="000000"/>
                <w:sz w:val="24"/>
              </w:rPr>
              <w:t>5</w:t>
            </w:r>
          </w:p>
        </w:tc>
        <w:tc>
          <w:tcPr>
            <w:tcW w:w="4320" w:type="dxa"/>
            <w:vAlign w:val="center"/>
          </w:tcPr>
          <w:p w:rsidR="000F397F" w:rsidRDefault="0015641A">
            <w:pPr>
              <w:jc w:val="left"/>
            </w:pPr>
            <w:r>
              <w:rPr>
                <w:color w:val="000000"/>
                <w:sz w:val="24"/>
              </w:rPr>
              <w:t>交银施罗德基金管理有限公司关于交银施罗德境尚收益债券型证券投资基金封闭期结束转为开放式运作的提示性公告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2019-02-27</w:t>
            </w:r>
          </w:p>
        </w:tc>
      </w:tr>
      <w:tr w:rsidR="000F397F">
        <w:tc>
          <w:tcPr>
            <w:tcW w:w="720" w:type="dxa"/>
            <w:vAlign w:val="center"/>
          </w:tcPr>
          <w:p w:rsidR="000F397F" w:rsidRDefault="0015641A">
            <w:pPr>
              <w:jc w:val="center"/>
            </w:pPr>
            <w:r>
              <w:rPr>
                <w:color w:val="000000"/>
                <w:sz w:val="24"/>
              </w:rPr>
              <w:t>6</w:t>
            </w:r>
          </w:p>
        </w:tc>
        <w:tc>
          <w:tcPr>
            <w:tcW w:w="4320" w:type="dxa"/>
            <w:vAlign w:val="center"/>
          </w:tcPr>
          <w:p w:rsidR="000F397F" w:rsidRDefault="0015641A">
            <w:pPr>
              <w:jc w:val="left"/>
            </w:pPr>
            <w:r>
              <w:rPr>
                <w:color w:val="000000"/>
                <w:sz w:val="24"/>
              </w:rPr>
              <w:t>交银施罗德基金管理有限公司关于总经理变更的公告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2019-02-28</w:t>
            </w:r>
          </w:p>
        </w:tc>
      </w:tr>
      <w:tr w:rsidR="000F397F">
        <w:tc>
          <w:tcPr>
            <w:tcW w:w="720" w:type="dxa"/>
            <w:vAlign w:val="center"/>
          </w:tcPr>
          <w:p w:rsidR="000F397F" w:rsidRDefault="0015641A">
            <w:pPr>
              <w:jc w:val="center"/>
            </w:pPr>
            <w:r>
              <w:rPr>
                <w:color w:val="000000"/>
                <w:sz w:val="24"/>
              </w:rPr>
              <w:t>7</w:t>
            </w:r>
          </w:p>
        </w:tc>
        <w:tc>
          <w:tcPr>
            <w:tcW w:w="4320" w:type="dxa"/>
            <w:vAlign w:val="center"/>
          </w:tcPr>
          <w:p w:rsidR="000F397F" w:rsidRDefault="0015641A">
            <w:pPr>
              <w:jc w:val="left"/>
            </w:pPr>
            <w:r>
              <w:rPr>
                <w:color w:val="000000"/>
                <w:sz w:val="24"/>
              </w:rPr>
              <w:t>交银施罗德基金管理有限公司关于交银施罗德境尚收益债券型证券投资基金封闭期结束转为开放式运作暨开放基金日常申购、赎回、定期定额投资业务并参与部分销售机构申购费率优惠活动的公告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2019-02-28</w:t>
            </w:r>
          </w:p>
        </w:tc>
      </w:tr>
      <w:tr w:rsidR="000F397F">
        <w:tc>
          <w:tcPr>
            <w:tcW w:w="720" w:type="dxa"/>
            <w:vAlign w:val="center"/>
          </w:tcPr>
          <w:p w:rsidR="000F397F" w:rsidRDefault="0015641A">
            <w:pPr>
              <w:jc w:val="center"/>
            </w:pPr>
            <w:r>
              <w:rPr>
                <w:color w:val="000000"/>
                <w:sz w:val="24"/>
              </w:rPr>
              <w:t>8</w:t>
            </w:r>
          </w:p>
        </w:tc>
        <w:tc>
          <w:tcPr>
            <w:tcW w:w="4320" w:type="dxa"/>
            <w:vAlign w:val="center"/>
          </w:tcPr>
          <w:p w:rsidR="000F397F" w:rsidRDefault="0015641A">
            <w:pPr>
              <w:jc w:val="left"/>
            </w:pPr>
            <w:r>
              <w:rPr>
                <w:color w:val="000000"/>
                <w:sz w:val="24"/>
              </w:rPr>
              <w:t>交银施罗德基金管理有限公司关于交银施罗德境尚收益债券型证券投资基金开放日常转换业务的公告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2019-02-28</w:t>
            </w:r>
          </w:p>
        </w:tc>
      </w:tr>
      <w:tr w:rsidR="000F397F">
        <w:tc>
          <w:tcPr>
            <w:tcW w:w="720" w:type="dxa"/>
            <w:vAlign w:val="center"/>
          </w:tcPr>
          <w:p w:rsidR="000F397F" w:rsidRDefault="0015641A">
            <w:pPr>
              <w:jc w:val="center"/>
            </w:pPr>
            <w:r>
              <w:rPr>
                <w:color w:val="000000"/>
                <w:sz w:val="24"/>
              </w:rPr>
              <w:t>9</w:t>
            </w:r>
          </w:p>
        </w:tc>
        <w:tc>
          <w:tcPr>
            <w:tcW w:w="4320" w:type="dxa"/>
            <w:vAlign w:val="center"/>
          </w:tcPr>
          <w:p w:rsidR="000F397F" w:rsidRDefault="0015641A">
            <w:pPr>
              <w:jc w:val="left"/>
            </w:pPr>
            <w:r>
              <w:rPr>
                <w:color w:val="000000"/>
                <w:sz w:val="24"/>
              </w:rPr>
              <w:t>交银施罗德境尚收益债券型证券投资基金</w:t>
            </w:r>
            <w:r>
              <w:rPr>
                <w:color w:val="000000"/>
                <w:sz w:val="24"/>
              </w:rPr>
              <w:t>2018</w:t>
            </w:r>
            <w:r>
              <w:rPr>
                <w:color w:val="000000"/>
                <w:sz w:val="24"/>
              </w:rPr>
              <w:t>年年度报告摘要</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2019-03-27</w:t>
            </w:r>
          </w:p>
        </w:tc>
      </w:tr>
      <w:tr w:rsidR="000F397F">
        <w:tc>
          <w:tcPr>
            <w:tcW w:w="720" w:type="dxa"/>
            <w:vAlign w:val="center"/>
          </w:tcPr>
          <w:p w:rsidR="000F397F" w:rsidRDefault="0015641A">
            <w:pPr>
              <w:jc w:val="center"/>
            </w:pPr>
            <w:r>
              <w:rPr>
                <w:color w:val="000000"/>
                <w:sz w:val="24"/>
              </w:rPr>
              <w:t>10</w:t>
            </w:r>
          </w:p>
        </w:tc>
        <w:tc>
          <w:tcPr>
            <w:tcW w:w="4320" w:type="dxa"/>
            <w:vAlign w:val="center"/>
          </w:tcPr>
          <w:p w:rsidR="000F397F" w:rsidRDefault="0015641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2019-04-01</w:t>
            </w:r>
          </w:p>
        </w:tc>
      </w:tr>
      <w:tr w:rsidR="000F397F">
        <w:tc>
          <w:tcPr>
            <w:tcW w:w="720" w:type="dxa"/>
            <w:vAlign w:val="center"/>
          </w:tcPr>
          <w:p w:rsidR="000F397F" w:rsidRDefault="0015641A">
            <w:pPr>
              <w:jc w:val="center"/>
            </w:pPr>
            <w:r>
              <w:rPr>
                <w:color w:val="000000"/>
                <w:sz w:val="24"/>
              </w:rPr>
              <w:t>11</w:t>
            </w:r>
          </w:p>
        </w:tc>
        <w:tc>
          <w:tcPr>
            <w:tcW w:w="4320" w:type="dxa"/>
            <w:vAlign w:val="center"/>
          </w:tcPr>
          <w:p w:rsidR="000F397F" w:rsidRDefault="0015641A">
            <w:pPr>
              <w:jc w:val="left"/>
            </w:pPr>
            <w:r>
              <w:rPr>
                <w:color w:val="000000"/>
                <w:sz w:val="24"/>
              </w:rPr>
              <w:t>交银施罗德基金管理有限公司关于取消纸质对账单寄送的公告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2019-04-12</w:t>
            </w:r>
          </w:p>
        </w:tc>
      </w:tr>
      <w:tr w:rsidR="000F397F">
        <w:tc>
          <w:tcPr>
            <w:tcW w:w="720" w:type="dxa"/>
            <w:vAlign w:val="center"/>
          </w:tcPr>
          <w:p w:rsidR="000F397F" w:rsidRDefault="0015641A">
            <w:pPr>
              <w:jc w:val="center"/>
            </w:pPr>
            <w:r>
              <w:rPr>
                <w:color w:val="000000"/>
                <w:sz w:val="24"/>
              </w:rPr>
              <w:t>12</w:t>
            </w:r>
          </w:p>
        </w:tc>
        <w:tc>
          <w:tcPr>
            <w:tcW w:w="4320" w:type="dxa"/>
            <w:vAlign w:val="center"/>
          </w:tcPr>
          <w:p w:rsidR="000F397F" w:rsidRDefault="0015641A">
            <w:pPr>
              <w:jc w:val="left"/>
            </w:pPr>
            <w:r>
              <w:rPr>
                <w:color w:val="000000"/>
                <w:sz w:val="24"/>
              </w:rPr>
              <w:t>交银施罗德境尚收益债券型证券投资基</w:t>
            </w:r>
            <w:r>
              <w:rPr>
                <w:color w:val="000000"/>
                <w:sz w:val="24"/>
              </w:rPr>
              <w:lastRenderedPageBreak/>
              <w:t>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0F397F" w:rsidRDefault="0015641A">
            <w:pPr>
              <w:jc w:val="center"/>
            </w:pPr>
            <w:r>
              <w:rPr>
                <w:color w:val="000000"/>
                <w:sz w:val="24"/>
              </w:rPr>
              <w:lastRenderedPageBreak/>
              <w:t>上海证券报</w:t>
            </w:r>
          </w:p>
        </w:tc>
        <w:tc>
          <w:tcPr>
            <w:tcW w:w="1629" w:type="dxa"/>
            <w:vAlign w:val="center"/>
          </w:tcPr>
          <w:p w:rsidR="000F397F" w:rsidRDefault="0015641A">
            <w:pPr>
              <w:jc w:val="center"/>
            </w:pPr>
            <w:r>
              <w:rPr>
                <w:color w:val="000000"/>
                <w:sz w:val="24"/>
              </w:rPr>
              <w:t>2019-04-17</w:t>
            </w:r>
          </w:p>
        </w:tc>
      </w:tr>
      <w:tr w:rsidR="000F397F">
        <w:tc>
          <w:tcPr>
            <w:tcW w:w="720" w:type="dxa"/>
            <w:vAlign w:val="center"/>
          </w:tcPr>
          <w:p w:rsidR="000F397F" w:rsidRDefault="0015641A">
            <w:pPr>
              <w:jc w:val="center"/>
            </w:pPr>
            <w:r>
              <w:rPr>
                <w:color w:val="000000"/>
                <w:sz w:val="24"/>
              </w:rPr>
              <w:t>13</w:t>
            </w:r>
          </w:p>
        </w:tc>
        <w:tc>
          <w:tcPr>
            <w:tcW w:w="4320" w:type="dxa"/>
            <w:vAlign w:val="center"/>
          </w:tcPr>
          <w:p w:rsidR="000F397F" w:rsidRDefault="0015641A">
            <w:pPr>
              <w:jc w:val="left"/>
            </w:pPr>
            <w:r>
              <w:rPr>
                <w:color w:val="000000"/>
                <w:sz w:val="24"/>
              </w:rPr>
              <w:t>交银施罗德境尚收益债券型证券投资基金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2019-04-20</w:t>
            </w:r>
          </w:p>
        </w:tc>
      </w:tr>
      <w:tr w:rsidR="000F397F">
        <w:tc>
          <w:tcPr>
            <w:tcW w:w="720" w:type="dxa"/>
            <w:vAlign w:val="center"/>
          </w:tcPr>
          <w:p w:rsidR="000F397F" w:rsidRDefault="0015641A">
            <w:pPr>
              <w:jc w:val="center"/>
            </w:pPr>
            <w:r>
              <w:rPr>
                <w:color w:val="000000"/>
                <w:sz w:val="24"/>
              </w:rPr>
              <w:t>14</w:t>
            </w:r>
          </w:p>
        </w:tc>
        <w:tc>
          <w:tcPr>
            <w:tcW w:w="4320" w:type="dxa"/>
            <w:vAlign w:val="center"/>
          </w:tcPr>
          <w:p w:rsidR="000F397F" w:rsidRDefault="0015641A">
            <w:pPr>
              <w:jc w:val="left"/>
            </w:pPr>
            <w:r>
              <w:rPr>
                <w:color w:val="000000"/>
                <w:sz w:val="24"/>
              </w:rPr>
              <w:t>交银施罗德境尚收益债券型证券投资基金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2019-07-17</w:t>
            </w:r>
          </w:p>
        </w:tc>
      </w:tr>
      <w:tr w:rsidR="000F397F">
        <w:tc>
          <w:tcPr>
            <w:tcW w:w="720" w:type="dxa"/>
            <w:vAlign w:val="center"/>
          </w:tcPr>
          <w:p w:rsidR="000F397F" w:rsidRDefault="0015641A">
            <w:pPr>
              <w:jc w:val="center"/>
            </w:pPr>
            <w:r>
              <w:rPr>
                <w:color w:val="000000"/>
                <w:sz w:val="24"/>
              </w:rPr>
              <w:t>15</w:t>
            </w:r>
          </w:p>
        </w:tc>
        <w:tc>
          <w:tcPr>
            <w:tcW w:w="4320" w:type="dxa"/>
            <w:vAlign w:val="center"/>
          </w:tcPr>
          <w:p w:rsidR="000F397F" w:rsidRDefault="0015641A">
            <w:pPr>
              <w:jc w:val="left"/>
            </w:pPr>
            <w:r>
              <w:rPr>
                <w:color w:val="000000"/>
                <w:sz w:val="24"/>
              </w:rPr>
              <w:t>交银施罗德境尚收益债券型证券投资基金</w:t>
            </w:r>
            <w:r>
              <w:rPr>
                <w:color w:val="000000"/>
                <w:sz w:val="24"/>
              </w:rPr>
              <w:t>2019</w:t>
            </w:r>
            <w:r>
              <w:rPr>
                <w:color w:val="000000"/>
                <w:sz w:val="24"/>
              </w:rPr>
              <w:t>年半年度报告摘要</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2019-08-29</w:t>
            </w:r>
          </w:p>
        </w:tc>
      </w:tr>
      <w:tr w:rsidR="000F397F">
        <w:tc>
          <w:tcPr>
            <w:tcW w:w="720" w:type="dxa"/>
            <w:vAlign w:val="center"/>
          </w:tcPr>
          <w:p w:rsidR="000F397F" w:rsidRDefault="0015641A">
            <w:pPr>
              <w:jc w:val="center"/>
            </w:pPr>
            <w:r>
              <w:rPr>
                <w:color w:val="000000"/>
                <w:sz w:val="24"/>
              </w:rPr>
              <w:t>16</w:t>
            </w:r>
          </w:p>
        </w:tc>
        <w:tc>
          <w:tcPr>
            <w:tcW w:w="4320" w:type="dxa"/>
            <w:vAlign w:val="center"/>
          </w:tcPr>
          <w:p w:rsidR="000F397F" w:rsidRDefault="0015641A">
            <w:pPr>
              <w:jc w:val="left"/>
            </w:pPr>
            <w:r>
              <w:rPr>
                <w:color w:val="000000"/>
                <w:sz w:val="24"/>
              </w:rPr>
              <w:t>交银施罗德基金管理有限公司关于首席信息官任职的公告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2019-09-21</w:t>
            </w:r>
          </w:p>
        </w:tc>
      </w:tr>
      <w:tr w:rsidR="000F397F">
        <w:tc>
          <w:tcPr>
            <w:tcW w:w="720" w:type="dxa"/>
            <w:vAlign w:val="center"/>
          </w:tcPr>
          <w:p w:rsidR="000F397F" w:rsidRDefault="0015641A">
            <w:pPr>
              <w:jc w:val="center"/>
            </w:pPr>
            <w:r>
              <w:rPr>
                <w:color w:val="000000"/>
                <w:sz w:val="24"/>
              </w:rPr>
              <w:t>17</w:t>
            </w:r>
          </w:p>
        </w:tc>
        <w:tc>
          <w:tcPr>
            <w:tcW w:w="4320" w:type="dxa"/>
            <w:vAlign w:val="center"/>
          </w:tcPr>
          <w:p w:rsidR="000F397F" w:rsidRDefault="0015641A">
            <w:pPr>
              <w:jc w:val="left"/>
            </w:pPr>
            <w:r>
              <w:rPr>
                <w:color w:val="000000"/>
                <w:sz w:val="24"/>
              </w:rPr>
              <w:t>交银施罗德基金管理有限公司关于交银施罗德境尚收益债券型证券投资基金基金经理变更的公告</w:t>
            </w:r>
          </w:p>
        </w:tc>
        <w:tc>
          <w:tcPr>
            <w:tcW w:w="2331" w:type="dxa"/>
            <w:vAlign w:val="center"/>
          </w:tcPr>
          <w:p w:rsidR="000F397F" w:rsidRDefault="0015641A">
            <w:pPr>
              <w:jc w:val="center"/>
            </w:pPr>
            <w:r>
              <w:rPr>
                <w:color w:val="000000"/>
                <w:sz w:val="24"/>
              </w:rPr>
              <w:t>上海证券报</w:t>
            </w:r>
          </w:p>
        </w:tc>
        <w:tc>
          <w:tcPr>
            <w:tcW w:w="1629" w:type="dxa"/>
            <w:vAlign w:val="center"/>
          </w:tcPr>
          <w:p w:rsidR="000F397F" w:rsidRDefault="0015641A">
            <w:pPr>
              <w:jc w:val="center"/>
            </w:pPr>
            <w:r>
              <w:rPr>
                <w:color w:val="000000"/>
                <w:sz w:val="24"/>
              </w:rPr>
              <w:t>2019-09-30</w:t>
            </w:r>
          </w:p>
        </w:tc>
      </w:tr>
      <w:tr w:rsidR="000F397F">
        <w:tc>
          <w:tcPr>
            <w:tcW w:w="720" w:type="dxa"/>
            <w:vAlign w:val="center"/>
          </w:tcPr>
          <w:p w:rsidR="000F397F" w:rsidRDefault="0015641A">
            <w:pPr>
              <w:jc w:val="center"/>
            </w:pPr>
            <w:r>
              <w:rPr>
                <w:color w:val="000000"/>
                <w:sz w:val="24"/>
              </w:rPr>
              <w:t>18</w:t>
            </w:r>
          </w:p>
        </w:tc>
        <w:tc>
          <w:tcPr>
            <w:tcW w:w="4320" w:type="dxa"/>
            <w:vAlign w:val="center"/>
          </w:tcPr>
          <w:p w:rsidR="000F397F" w:rsidRDefault="0015641A">
            <w:pPr>
              <w:jc w:val="left"/>
            </w:pPr>
            <w:r>
              <w:rPr>
                <w:color w:val="000000"/>
                <w:sz w:val="24"/>
              </w:rPr>
              <w:t>交银施罗德境尚收益债券型证券投资基金（更新）招募说明书摘要（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2019-09-30</w:t>
            </w:r>
          </w:p>
        </w:tc>
      </w:tr>
      <w:tr w:rsidR="000F397F">
        <w:tc>
          <w:tcPr>
            <w:tcW w:w="720" w:type="dxa"/>
            <w:vAlign w:val="center"/>
          </w:tcPr>
          <w:p w:rsidR="000F397F" w:rsidRDefault="0015641A">
            <w:pPr>
              <w:jc w:val="center"/>
            </w:pPr>
            <w:r>
              <w:rPr>
                <w:color w:val="000000"/>
                <w:sz w:val="24"/>
              </w:rPr>
              <w:t>19</w:t>
            </w:r>
          </w:p>
        </w:tc>
        <w:tc>
          <w:tcPr>
            <w:tcW w:w="4320" w:type="dxa"/>
            <w:vAlign w:val="center"/>
          </w:tcPr>
          <w:p w:rsidR="000F397F" w:rsidRDefault="0015641A">
            <w:pPr>
              <w:jc w:val="left"/>
            </w:pPr>
            <w:r>
              <w:rPr>
                <w:color w:val="000000"/>
                <w:sz w:val="24"/>
              </w:rPr>
              <w:t>交银施罗德境尚收益债券型证券投资基金（更新）招募说明书（</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2019-09-30</w:t>
            </w:r>
          </w:p>
        </w:tc>
      </w:tr>
      <w:tr w:rsidR="000F397F">
        <w:tc>
          <w:tcPr>
            <w:tcW w:w="720" w:type="dxa"/>
            <w:vAlign w:val="center"/>
          </w:tcPr>
          <w:p w:rsidR="000F397F" w:rsidRDefault="0015641A">
            <w:pPr>
              <w:jc w:val="center"/>
            </w:pPr>
            <w:r>
              <w:rPr>
                <w:color w:val="000000"/>
                <w:sz w:val="24"/>
              </w:rPr>
              <w:t>20</w:t>
            </w:r>
          </w:p>
        </w:tc>
        <w:tc>
          <w:tcPr>
            <w:tcW w:w="4320" w:type="dxa"/>
            <w:vAlign w:val="center"/>
          </w:tcPr>
          <w:p w:rsidR="000F397F" w:rsidRDefault="0015641A">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2019-10-22</w:t>
            </w:r>
          </w:p>
        </w:tc>
      </w:tr>
      <w:tr w:rsidR="000F397F">
        <w:tc>
          <w:tcPr>
            <w:tcW w:w="720" w:type="dxa"/>
            <w:vAlign w:val="center"/>
          </w:tcPr>
          <w:p w:rsidR="000F397F" w:rsidRDefault="0015641A">
            <w:pPr>
              <w:jc w:val="center"/>
            </w:pPr>
            <w:r>
              <w:rPr>
                <w:color w:val="000000"/>
                <w:sz w:val="24"/>
              </w:rPr>
              <w:t>21</w:t>
            </w:r>
          </w:p>
        </w:tc>
        <w:tc>
          <w:tcPr>
            <w:tcW w:w="4320" w:type="dxa"/>
            <w:vAlign w:val="center"/>
          </w:tcPr>
          <w:p w:rsidR="000F397F" w:rsidRDefault="0015641A">
            <w:pPr>
              <w:jc w:val="left"/>
            </w:pPr>
            <w:r>
              <w:rPr>
                <w:color w:val="000000"/>
                <w:sz w:val="24"/>
              </w:rPr>
              <w:t>交银施罗德境尚收益债券型证券投资基金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2019-10-22</w:t>
            </w:r>
          </w:p>
        </w:tc>
      </w:tr>
      <w:tr w:rsidR="000F397F">
        <w:tc>
          <w:tcPr>
            <w:tcW w:w="720" w:type="dxa"/>
            <w:vAlign w:val="center"/>
          </w:tcPr>
          <w:p w:rsidR="000F397F" w:rsidRDefault="0015641A">
            <w:pPr>
              <w:jc w:val="center"/>
            </w:pPr>
            <w:r>
              <w:rPr>
                <w:color w:val="000000"/>
                <w:sz w:val="24"/>
              </w:rPr>
              <w:t>22</w:t>
            </w:r>
          </w:p>
        </w:tc>
        <w:tc>
          <w:tcPr>
            <w:tcW w:w="4320" w:type="dxa"/>
            <w:vAlign w:val="center"/>
          </w:tcPr>
          <w:p w:rsidR="000F397F" w:rsidRDefault="0015641A">
            <w:pPr>
              <w:jc w:val="left"/>
            </w:pPr>
            <w:r>
              <w:rPr>
                <w:color w:val="000000"/>
                <w:sz w:val="24"/>
              </w:rPr>
              <w:t>交银施罗德基金管理有限公司关于提醒投资者及时提供或更新身份信息资料的公告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2019-10-28</w:t>
            </w:r>
          </w:p>
        </w:tc>
      </w:tr>
      <w:tr w:rsidR="000F397F">
        <w:tc>
          <w:tcPr>
            <w:tcW w:w="720" w:type="dxa"/>
            <w:vAlign w:val="center"/>
          </w:tcPr>
          <w:p w:rsidR="000F397F" w:rsidRDefault="0015641A">
            <w:pPr>
              <w:jc w:val="center"/>
            </w:pPr>
            <w:r>
              <w:rPr>
                <w:color w:val="000000"/>
                <w:sz w:val="24"/>
              </w:rPr>
              <w:t>23</w:t>
            </w:r>
          </w:p>
        </w:tc>
        <w:tc>
          <w:tcPr>
            <w:tcW w:w="4320" w:type="dxa"/>
            <w:vAlign w:val="center"/>
          </w:tcPr>
          <w:p w:rsidR="000F397F" w:rsidRDefault="0015641A">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0F397F" w:rsidRDefault="0015641A">
            <w:pPr>
              <w:jc w:val="center"/>
            </w:pPr>
            <w:r>
              <w:rPr>
                <w:color w:val="000000"/>
                <w:sz w:val="24"/>
              </w:rPr>
              <w:t>中国证券报、上海证券报、证券时报</w:t>
            </w:r>
          </w:p>
        </w:tc>
        <w:tc>
          <w:tcPr>
            <w:tcW w:w="1629" w:type="dxa"/>
            <w:vAlign w:val="center"/>
          </w:tcPr>
          <w:p w:rsidR="000F397F" w:rsidRDefault="0015641A">
            <w:pPr>
              <w:jc w:val="center"/>
            </w:pPr>
            <w:r>
              <w:rPr>
                <w:color w:val="000000"/>
                <w:sz w:val="24"/>
              </w:rPr>
              <w:t>2019-11-06</w:t>
            </w:r>
          </w:p>
        </w:tc>
      </w:tr>
      <w:tr w:rsidR="000F397F">
        <w:tc>
          <w:tcPr>
            <w:tcW w:w="720" w:type="dxa"/>
            <w:vAlign w:val="center"/>
          </w:tcPr>
          <w:p w:rsidR="000F397F" w:rsidRDefault="0015641A">
            <w:pPr>
              <w:jc w:val="center"/>
            </w:pPr>
            <w:r>
              <w:rPr>
                <w:color w:val="000000"/>
                <w:sz w:val="24"/>
              </w:rPr>
              <w:t>24</w:t>
            </w:r>
          </w:p>
        </w:tc>
        <w:tc>
          <w:tcPr>
            <w:tcW w:w="4320" w:type="dxa"/>
            <w:vAlign w:val="center"/>
          </w:tcPr>
          <w:p w:rsidR="000F397F" w:rsidRDefault="0015641A">
            <w:pPr>
              <w:jc w:val="left"/>
            </w:pPr>
            <w:r>
              <w:rPr>
                <w:color w:val="000000"/>
                <w:sz w:val="24"/>
              </w:rPr>
              <w:t>交银施罗德境尚收益债券型证券投资基金基金合同</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2019-11-06</w:t>
            </w:r>
          </w:p>
        </w:tc>
      </w:tr>
      <w:tr w:rsidR="000F397F">
        <w:tc>
          <w:tcPr>
            <w:tcW w:w="720" w:type="dxa"/>
            <w:vAlign w:val="center"/>
          </w:tcPr>
          <w:p w:rsidR="000F397F" w:rsidRDefault="0015641A">
            <w:pPr>
              <w:jc w:val="center"/>
            </w:pPr>
            <w:r>
              <w:rPr>
                <w:color w:val="000000"/>
                <w:sz w:val="24"/>
              </w:rPr>
              <w:t>25</w:t>
            </w:r>
          </w:p>
        </w:tc>
        <w:tc>
          <w:tcPr>
            <w:tcW w:w="4320" w:type="dxa"/>
            <w:vAlign w:val="center"/>
          </w:tcPr>
          <w:p w:rsidR="000F397F" w:rsidRDefault="0015641A">
            <w:pPr>
              <w:jc w:val="left"/>
            </w:pPr>
            <w:r>
              <w:rPr>
                <w:color w:val="000000"/>
                <w:sz w:val="24"/>
              </w:rPr>
              <w:t>交银施罗德境尚收益债券型证券投资基金托管协议</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2019-11-06</w:t>
            </w:r>
          </w:p>
        </w:tc>
      </w:tr>
      <w:tr w:rsidR="000F397F">
        <w:tc>
          <w:tcPr>
            <w:tcW w:w="720" w:type="dxa"/>
            <w:vAlign w:val="center"/>
          </w:tcPr>
          <w:p w:rsidR="000F397F" w:rsidRDefault="0015641A">
            <w:pPr>
              <w:jc w:val="center"/>
            </w:pPr>
            <w:r>
              <w:rPr>
                <w:color w:val="000000"/>
                <w:sz w:val="24"/>
              </w:rPr>
              <w:t>26</w:t>
            </w:r>
          </w:p>
        </w:tc>
        <w:tc>
          <w:tcPr>
            <w:tcW w:w="4320" w:type="dxa"/>
            <w:vAlign w:val="center"/>
          </w:tcPr>
          <w:p w:rsidR="000F397F" w:rsidRDefault="0015641A">
            <w:pPr>
              <w:jc w:val="left"/>
            </w:pPr>
            <w:r>
              <w:rPr>
                <w:color w:val="000000"/>
                <w:sz w:val="24"/>
              </w:rPr>
              <w:t>交银施罗德境尚收益债券型证券投资基金招募说明书</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2019-11-06</w:t>
            </w:r>
          </w:p>
        </w:tc>
      </w:tr>
      <w:tr w:rsidR="000F397F">
        <w:tc>
          <w:tcPr>
            <w:tcW w:w="720" w:type="dxa"/>
            <w:vAlign w:val="center"/>
          </w:tcPr>
          <w:p w:rsidR="000F397F" w:rsidRDefault="0015641A">
            <w:pPr>
              <w:jc w:val="center"/>
            </w:pPr>
            <w:r>
              <w:rPr>
                <w:color w:val="000000"/>
                <w:sz w:val="24"/>
              </w:rPr>
              <w:t>27</w:t>
            </w:r>
          </w:p>
        </w:tc>
        <w:tc>
          <w:tcPr>
            <w:tcW w:w="4320" w:type="dxa"/>
            <w:vAlign w:val="center"/>
          </w:tcPr>
          <w:p w:rsidR="000F397F" w:rsidRDefault="0015641A">
            <w:pPr>
              <w:jc w:val="left"/>
            </w:pPr>
            <w:r>
              <w:rPr>
                <w:color w:val="000000"/>
                <w:sz w:val="24"/>
              </w:rPr>
              <w:t>交银施罗德境尚收益债券型证券投资基金招募说明书摘要</w:t>
            </w:r>
          </w:p>
        </w:tc>
        <w:tc>
          <w:tcPr>
            <w:tcW w:w="2331" w:type="dxa"/>
            <w:vAlign w:val="center"/>
          </w:tcPr>
          <w:p w:rsidR="000F397F" w:rsidRDefault="0015641A">
            <w:pPr>
              <w:jc w:val="center"/>
            </w:pPr>
            <w:r>
              <w:rPr>
                <w:color w:val="000000"/>
                <w:sz w:val="24"/>
              </w:rPr>
              <w:t>公司网站</w:t>
            </w:r>
          </w:p>
        </w:tc>
        <w:tc>
          <w:tcPr>
            <w:tcW w:w="1629" w:type="dxa"/>
            <w:vAlign w:val="center"/>
          </w:tcPr>
          <w:p w:rsidR="000F397F" w:rsidRDefault="0015641A">
            <w:pPr>
              <w:jc w:val="center"/>
            </w:pPr>
            <w:r>
              <w:rPr>
                <w:color w:val="000000"/>
                <w:sz w:val="24"/>
              </w:rPr>
              <w:t>2019-11-06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66167"/>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1C20F0" w:rsidRDefault="00BC645C" w:rsidP="001C20F0">
      <w:pPr>
        <w:pStyle w:val="20"/>
        <w:spacing w:before="0" w:after="0"/>
        <w:rPr>
          <w:rFonts w:ascii="Times New Roman" w:eastAsiaTheme="minorEastAsia" w:hAnsi="Times New Roman"/>
          <w:bCs w:val="0"/>
          <w:color w:val="000000" w:themeColor="text1"/>
          <w:kern w:val="0"/>
          <w:sz w:val="21"/>
          <w:szCs w:val="21"/>
        </w:rPr>
      </w:pPr>
      <w:bookmarkStart w:id="198" w:name="_Toc35966168"/>
      <w:r w:rsidRPr="001C20F0">
        <w:rPr>
          <w:rFonts w:ascii="Times New Roman" w:eastAsiaTheme="minorEastAsia" w:hAnsi="Times New Roman" w:hint="eastAsia"/>
          <w:bCs w:val="0"/>
          <w:color w:val="000000" w:themeColor="text1"/>
          <w:kern w:val="0"/>
          <w:sz w:val="21"/>
          <w:szCs w:val="21"/>
        </w:rPr>
        <w:t xml:space="preserve">12.1 </w:t>
      </w:r>
      <w:r w:rsidRPr="001C20F0">
        <w:rPr>
          <w:rFonts w:ascii="Times New Roman" w:eastAsiaTheme="minorEastAsia" w:hAnsi="Times New Roman" w:hint="eastAsia"/>
          <w:bCs w:val="0"/>
          <w:color w:val="000000" w:themeColor="text1"/>
          <w:kern w:val="0"/>
          <w:sz w:val="21"/>
          <w:szCs w:val="21"/>
        </w:rPr>
        <w:t>影响投资者决策的其他重要信息</w:t>
      </w:r>
      <w:bookmarkEnd w:id="198"/>
    </w:p>
    <w:p w:rsidR="000F397F" w:rsidRDefault="0015641A">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w:t>
      </w:r>
      <w:r>
        <w:rPr>
          <w:rFonts w:ascii="宋体" w:hAnsi="宋体"/>
          <w:color w:val="000000"/>
          <w:szCs w:val="21"/>
        </w:rPr>
        <w:lastRenderedPageBreak/>
        <w:t>管人协商一致并报监管机构备案，基金管理人对本基金基金合同等法律文件中信息披露相关规定作相应修改，欲知详情请查阅本基金管理人发布的最新法律文件。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本基金基金合同的规定，本基金在基金合同生效之日起两年（含两年）的期间内封闭式运作，封闭期结束后转为开放式运作。封闭期在本基金的基金合同中如无特别指明即为自基金合同生效之日起至两个公历年后对应日止，若两年后对应日为非工作日的，相应顺延。本基金的封闭期自2017年3月3日开始至2019年3月4日止，自2019年3月5日起转为开放式运作。本基金在转为开放式运作后，自2019年3月5日开始办理日常申购、赎回、定期定额投资等业务，并适用基金合同中关于转为开放式运作后的有关规定。详情请查阅本基金管理人于2019年2月26日发布的《交银施罗德基金管理有限公司关于交银施罗德境尚收益债券型证券投资基金封闭期结束转为开放式运作的提示性公告》以及2019年2月28日发布的《交银施罗德基金管理有限公司关于交银施罗德境尚收益债券型证券投资基金封闭期结束转为开放式运作暨开放基金日常申购、赎回、定期定额投资业务并参与部分销售机构申购费率优惠活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6616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202" w:name="_Toc361324904"/>
      <w:bookmarkStart w:id="203" w:name="_Toc35966170"/>
      <w:r w:rsidRPr="001C20F0">
        <w:rPr>
          <w:rFonts w:ascii="Times New Roman" w:eastAsiaTheme="minorEastAsia" w:hAnsi="Times New Roman"/>
          <w:bCs w:val="0"/>
          <w:color w:val="000000" w:themeColor="text1"/>
          <w:kern w:val="0"/>
          <w:sz w:val="21"/>
          <w:szCs w:val="21"/>
        </w:rPr>
        <w:t xml:space="preserve">13.1 </w:t>
      </w:r>
      <w:r w:rsidRPr="001C20F0">
        <w:rPr>
          <w:rFonts w:ascii="Times New Roman" w:eastAsiaTheme="minorEastAsia" w:hAnsi="Times New Roman" w:hint="eastAsia"/>
          <w:bCs w:val="0"/>
          <w:color w:val="000000" w:themeColor="text1"/>
          <w:kern w:val="0"/>
          <w:sz w:val="21"/>
          <w:szCs w:val="21"/>
        </w:rPr>
        <w:t>备查文件目录</w:t>
      </w:r>
      <w:bookmarkEnd w:id="202"/>
      <w:bookmarkEnd w:id="203"/>
    </w:p>
    <w:p w:rsidR="000F397F" w:rsidRDefault="0015641A">
      <w:pPr>
        <w:spacing w:before="29" w:line="288" w:lineRule="auto"/>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rsidR="000F397F" w:rsidRDefault="0015641A">
      <w:pPr>
        <w:spacing w:before="29" w:line="288" w:lineRule="auto"/>
        <w:rPr>
          <w:kern w:val="0"/>
          <w:sz w:val="24"/>
        </w:rPr>
      </w:pPr>
      <w:r>
        <w:rPr>
          <w:kern w:val="0"/>
          <w:sz w:val="24"/>
        </w:rPr>
        <w:t>2</w:t>
      </w:r>
      <w:r>
        <w:rPr>
          <w:kern w:val="0"/>
          <w:sz w:val="24"/>
        </w:rPr>
        <w:t>、《交银施罗德境尚收益债券型证券投资基金基金合同》；</w:t>
      </w:r>
      <w:r>
        <w:rPr>
          <w:kern w:val="0"/>
          <w:sz w:val="24"/>
        </w:rPr>
        <w:t xml:space="preserve"> </w:t>
      </w:r>
    </w:p>
    <w:p w:rsidR="000F397F" w:rsidRDefault="0015641A">
      <w:pPr>
        <w:spacing w:before="29" w:line="288" w:lineRule="auto"/>
        <w:rPr>
          <w:kern w:val="0"/>
          <w:sz w:val="24"/>
        </w:rPr>
      </w:pPr>
      <w:r>
        <w:rPr>
          <w:kern w:val="0"/>
          <w:sz w:val="24"/>
        </w:rPr>
        <w:t>3</w:t>
      </w:r>
      <w:r>
        <w:rPr>
          <w:kern w:val="0"/>
          <w:sz w:val="24"/>
        </w:rPr>
        <w:t>、《交银施罗德境尚收益债券型证券投资基金招募说明书》；</w:t>
      </w:r>
      <w:r>
        <w:rPr>
          <w:kern w:val="0"/>
          <w:sz w:val="24"/>
        </w:rPr>
        <w:t xml:space="preserve"> </w:t>
      </w:r>
    </w:p>
    <w:p w:rsidR="000F397F" w:rsidRDefault="0015641A">
      <w:pPr>
        <w:spacing w:before="29" w:line="288" w:lineRule="auto"/>
        <w:rPr>
          <w:kern w:val="0"/>
          <w:sz w:val="24"/>
        </w:rPr>
      </w:pPr>
      <w:r>
        <w:rPr>
          <w:kern w:val="0"/>
          <w:sz w:val="24"/>
        </w:rPr>
        <w:t>4</w:t>
      </w:r>
      <w:r>
        <w:rPr>
          <w:kern w:val="0"/>
          <w:sz w:val="24"/>
        </w:rPr>
        <w:t>、《交银施罗德境尚收益债券型证券投资基金托管协议》；</w:t>
      </w:r>
      <w:r>
        <w:rPr>
          <w:kern w:val="0"/>
          <w:sz w:val="24"/>
        </w:rPr>
        <w:t xml:space="preserve"> </w:t>
      </w:r>
    </w:p>
    <w:p w:rsidR="000F397F" w:rsidRDefault="0015641A">
      <w:pPr>
        <w:spacing w:before="29" w:line="288" w:lineRule="auto"/>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rsidR="000F397F" w:rsidRDefault="0015641A">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F397F" w:rsidRDefault="0015641A">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、报告期内交银施罗德境尚收益债券型证券投资基金在指定报刊上各项公告的原稿。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204" w:name="_Toc361324905"/>
      <w:bookmarkStart w:id="205" w:name="_Toc35966171"/>
      <w:r w:rsidRPr="001C20F0">
        <w:rPr>
          <w:rFonts w:ascii="Times New Roman" w:eastAsiaTheme="minorEastAsia" w:hAnsi="Times New Roman"/>
          <w:bCs w:val="0"/>
          <w:color w:val="000000" w:themeColor="text1"/>
          <w:kern w:val="0"/>
          <w:sz w:val="21"/>
          <w:szCs w:val="21"/>
        </w:rPr>
        <w:t>13.2</w:t>
      </w:r>
      <w:r w:rsidRPr="001C20F0">
        <w:rPr>
          <w:rFonts w:ascii="Times New Roman" w:eastAsiaTheme="minorEastAsia" w:hAnsi="Times New Roman" w:hint="eastAsia"/>
          <w:bCs w:val="0"/>
          <w:color w:val="000000" w:themeColor="text1"/>
          <w:kern w:val="0"/>
          <w:sz w:val="21"/>
          <w:szCs w:val="21"/>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1C20F0" w:rsidRDefault="001A59F9" w:rsidP="001C20F0">
      <w:pPr>
        <w:pStyle w:val="20"/>
        <w:spacing w:before="0" w:after="0"/>
        <w:rPr>
          <w:rFonts w:ascii="Times New Roman" w:eastAsiaTheme="minorEastAsia" w:hAnsi="Times New Roman"/>
          <w:bCs w:val="0"/>
          <w:color w:val="000000" w:themeColor="text1"/>
          <w:kern w:val="0"/>
          <w:sz w:val="21"/>
          <w:szCs w:val="21"/>
        </w:rPr>
      </w:pPr>
      <w:bookmarkStart w:id="206" w:name="_Toc361324906"/>
      <w:bookmarkStart w:id="207" w:name="_Toc35966172"/>
      <w:r w:rsidRPr="001C20F0">
        <w:rPr>
          <w:rFonts w:ascii="Times New Roman" w:eastAsiaTheme="minorEastAsia" w:hAnsi="Times New Roman"/>
          <w:bCs w:val="0"/>
          <w:color w:val="000000" w:themeColor="text1"/>
          <w:kern w:val="0"/>
          <w:sz w:val="21"/>
          <w:szCs w:val="21"/>
        </w:rPr>
        <w:t>13.3</w:t>
      </w:r>
      <w:r w:rsidRPr="001C20F0">
        <w:rPr>
          <w:rFonts w:ascii="Times New Roman" w:eastAsiaTheme="minorEastAsia" w:hAnsi="Times New Roman" w:hint="eastAsia"/>
          <w:bCs w:val="0"/>
          <w:color w:val="000000" w:themeColor="text1"/>
          <w:kern w:val="0"/>
          <w:sz w:val="21"/>
          <w:szCs w:val="21"/>
        </w:rPr>
        <w:t>查阅方式</w:t>
      </w:r>
      <w:bookmarkEnd w:id="206"/>
      <w:bookmarkEnd w:id="207"/>
    </w:p>
    <w:p w:rsidR="000F397F" w:rsidRDefault="0015641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w:t>
      </w:r>
      <w:r>
        <w:rPr>
          <w:kern w:val="0"/>
          <w:sz w:val="24"/>
        </w:rPr>
        <w:lastRenderedPageBreak/>
        <w:t>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41" w:rsidRDefault="00EC7A41">
      <w:r>
        <w:separator/>
      </w:r>
    </w:p>
  </w:endnote>
  <w:endnote w:type="continuationSeparator" w:id="0">
    <w:p w:rsidR="00EC7A41" w:rsidRDefault="00EC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330FE" w:rsidRDefault="00C330F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20F0">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20F0">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41" w:rsidRDefault="00EC7A41">
      <w:r>
        <w:separator/>
      </w:r>
    </w:p>
  </w:footnote>
  <w:footnote w:type="continuationSeparator" w:id="0">
    <w:p w:rsidR="00EC7A41" w:rsidRDefault="00EC7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Pr="00F87B7B" w:rsidRDefault="00C330FE" w:rsidP="00F87B7B">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FE" w:rsidRDefault="00C330F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0D9"/>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97F"/>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641A"/>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6EFF"/>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0F0"/>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1776B"/>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733"/>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0D97"/>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6EBD"/>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0FE"/>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C7A41"/>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ADA"/>
    <w:rsid w:val="00FC1CA5"/>
    <w:rsid w:val="00FC1D8E"/>
    <w:rsid w:val="00FC2625"/>
    <w:rsid w:val="00FC2733"/>
    <w:rsid w:val="00FC2979"/>
    <w:rsid w:val="00FC42DE"/>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176E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B8CD-5FEE-4D7E-908E-8D6836AF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57</Pages>
  <Words>7173</Words>
  <Characters>40891</Characters>
  <Application>Microsoft Office Word</Application>
  <DocSecurity>0</DocSecurity>
  <Lines>340</Lines>
  <Paragraphs>95</Paragraphs>
  <ScaleCrop>false</ScaleCrop>
  <Company/>
  <LinksUpToDate>false</LinksUpToDate>
  <CharactersWithSpaces>47969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1352</cp:revision>
  <cp:lastPrinted>2007-07-19T00:46:00Z</cp:lastPrinted>
  <dcterms:created xsi:type="dcterms:W3CDTF">2013-08-19T02:39:00Z</dcterms:created>
  <dcterms:modified xsi:type="dcterms:W3CDTF">2020-03-24T10:14:00Z</dcterms:modified>
</cp:coreProperties>
</file>