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交银施罗德活期通货币市场基金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基金托管人：中信建投证券股份有限公司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二〇二〇年三月三十日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35962115"/>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35962116"/>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651D53" w:rsidRDefault="00702C7E">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651D53" w:rsidRDefault="00702C7E">
      <w:pPr>
        <w:spacing w:before="29" w:line="288" w:lineRule="auto"/>
        <w:ind w:firstLineChars="200" w:firstLine="480"/>
        <w:rPr>
          <w:sz w:val="24"/>
        </w:rPr>
      </w:pPr>
      <w:r>
        <w:rPr>
          <w:rFonts w:hint="eastAsia"/>
          <w:sz w:val="24"/>
        </w:rPr>
        <w:t>基金托管人中信建投证券股份有限公司根据本基金合同规定，于</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651D53" w:rsidRDefault="00702C7E">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651D53" w:rsidRDefault="00702C7E">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2019</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bookmarkStart w:id="2" w:name="_GoBack"/>
    <w:p w:rsidR="000D38FD"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35962115" w:history="1">
        <w:r w:rsidR="000D38FD" w:rsidRPr="00063F0E">
          <w:rPr>
            <w:rStyle w:val="a8"/>
            <w:b/>
            <w:bCs/>
            <w:noProof/>
          </w:rPr>
          <w:t xml:space="preserve">§1  </w:t>
        </w:r>
        <w:r w:rsidR="000D38FD" w:rsidRPr="00063F0E">
          <w:rPr>
            <w:rStyle w:val="a8"/>
            <w:rFonts w:hint="eastAsia"/>
            <w:b/>
            <w:bCs/>
            <w:noProof/>
          </w:rPr>
          <w:t>重要提示及目录</w:t>
        </w:r>
        <w:r w:rsidR="000D38FD">
          <w:rPr>
            <w:noProof/>
            <w:webHidden/>
          </w:rPr>
          <w:tab/>
        </w:r>
        <w:r w:rsidR="000D38FD">
          <w:rPr>
            <w:noProof/>
            <w:webHidden/>
          </w:rPr>
          <w:fldChar w:fldCharType="begin"/>
        </w:r>
        <w:r w:rsidR="000D38FD">
          <w:rPr>
            <w:noProof/>
            <w:webHidden/>
          </w:rPr>
          <w:instrText xml:space="preserve"> PAGEREF _Toc35962115 \h </w:instrText>
        </w:r>
        <w:r w:rsidR="000D38FD">
          <w:rPr>
            <w:noProof/>
            <w:webHidden/>
          </w:rPr>
        </w:r>
        <w:r w:rsidR="000D38FD">
          <w:rPr>
            <w:noProof/>
            <w:webHidden/>
          </w:rPr>
          <w:fldChar w:fldCharType="separate"/>
        </w:r>
        <w:r w:rsidR="000D38FD">
          <w:rPr>
            <w:noProof/>
            <w:webHidden/>
          </w:rPr>
          <w:t>2</w:t>
        </w:r>
        <w:r w:rsidR="000D38FD">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16" w:history="1">
        <w:r w:rsidRPr="00063F0E">
          <w:rPr>
            <w:rStyle w:val="a8"/>
            <w:noProof/>
          </w:rPr>
          <w:t xml:space="preserve">1.1 </w:t>
        </w:r>
        <w:r w:rsidRPr="00063F0E">
          <w:rPr>
            <w:rStyle w:val="a8"/>
            <w:rFonts w:hint="eastAsia"/>
            <w:noProof/>
          </w:rPr>
          <w:t>重要提示</w:t>
        </w:r>
        <w:r>
          <w:rPr>
            <w:noProof/>
            <w:webHidden/>
          </w:rPr>
          <w:tab/>
        </w:r>
        <w:r>
          <w:rPr>
            <w:noProof/>
            <w:webHidden/>
          </w:rPr>
          <w:fldChar w:fldCharType="begin"/>
        </w:r>
        <w:r>
          <w:rPr>
            <w:noProof/>
            <w:webHidden/>
          </w:rPr>
          <w:instrText xml:space="preserve"> PAGEREF _Toc35962116 \h </w:instrText>
        </w:r>
        <w:r>
          <w:rPr>
            <w:noProof/>
            <w:webHidden/>
          </w:rPr>
        </w:r>
        <w:r>
          <w:rPr>
            <w:noProof/>
            <w:webHidden/>
          </w:rPr>
          <w:fldChar w:fldCharType="separate"/>
        </w:r>
        <w:r>
          <w:rPr>
            <w:noProof/>
            <w:webHidden/>
          </w:rPr>
          <w:t>2</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17" w:history="1">
        <w:r w:rsidRPr="00063F0E">
          <w:rPr>
            <w:rStyle w:val="a8"/>
            <w:b/>
            <w:bCs/>
            <w:noProof/>
          </w:rPr>
          <w:t xml:space="preserve">§2  </w:t>
        </w:r>
        <w:r w:rsidRPr="00063F0E">
          <w:rPr>
            <w:rStyle w:val="a8"/>
            <w:rFonts w:hint="eastAsia"/>
            <w:b/>
            <w:bCs/>
            <w:noProof/>
          </w:rPr>
          <w:t>基金简介</w:t>
        </w:r>
        <w:r>
          <w:rPr>
            <w:noProof/>
            <w:webHidden/>
          </w:rPr>
          <w:tab/>
        </w:r>
        <w:r>
          <w:rPr>
            <w:noProof/>
            <w:webHidden/>
          </w:rPr>
          <w:fldChar w:fldCharType="begin"/>
        </w:r>
        <w:r>
          <w:rPr>
            <w:noProof/>
            <w:webHidden/>
          </w:rPr>
          <w:instrText xml:space="preserve"> PAGEREF _Toc35962117 \h </w:instrText>
        </w:r>
        <w:r>
          <w:rPr>
            <w:noProof/>
            <w:webHidden/>
          </w:rPr>
        </w:r>
        <w:r>
          <w:rPr>
            <w:noProof/>
            <w:webHidden/>
          </w:rPr>
          <w:fldChar w:fldCharType="separate"/>
        </w:r>
        <w:r>
          <w:rPr>
            <w:noProof/>
            <w:webHidden/>
          </w:rPr>
          <w:t>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18" w:history="1">
        <w:r w:rsidRPr="00063F0E">
          <w:rPr>
            <w:rStyle w:val="a8"/>
            <w:noProof/>
          </w:rPr>
          <w:t xml:space="preserve">2.1 </w:t>
        </w:r>
        <w:r w:rsidRPr="00063F0E">
          <w:rPr>
            <w:rStyle w:val="a8"/>
            <w:rFonts w:hint="eastAsia"/>
            <w:noProof/>
          </w:rPr>
          <w:t>基金基本情况</w:t>
        </w:r>
        <w:r>
          <w:rPr>
            <w:noProof/>
            <w:webHidden/>
          </w:rPr>
          <w:tab/>
        </w:r>
        <w:r>
          <w:rPr>
            <w:noProof/>
            <w:webHidden/>
          </w:rPr>
          <w:fldChar w:fldCharType="begin"/>
        </w:r>
        <w:r>
          <w:rPr>
            <w:noProof/>
            <w:webHidden/>
          </w:rPr>
          <w:instrText xml:space="preserve"> PAGEREF _Toc35962118 \h </w:instrText>
        </w:r>
        <w:r>
          <w:rPr>
            <w:noProof/>
            <w:webHidden/>
          </w:rPr>
        </w:r>
        <w:r>
          <w:rPr>
            <w:noProof/>
            <w:webHidden/>
          </w:rPr>
          <w:fldChar w:fldCharType="separate"/>
        </w:r>
        <w:r>
          <w:rPr>
            <w:noProof/>
            <w:webHidden/>
          </w:rPr>
          <w:t>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19" w:history="1">
        <w:r w:rsidRPr="00063F0E">
          <w:rPr>
            <w:rStyle w:val="a8"/>
            <w:noProof/>
          </w:rPr>
          <w:t xml:space="preserve">2.2 </w:t>
        </w:r>
        <w:r w:rsidRPr="00063F0E">
          <w:rPr>
            <w:rStyle w:val="a8"/>
            <w:rFonts w:hint="eastAsia"/>
            <w:noProof/>
          </w:rPr>
          <w:t>基金产品说明</w:t>
        </w:r>
        <w:r>
          <w:rPr>
            <w:noProof/>
            <w:webHidden/>
          </w:rPr>
          <w:tab/>
        </w:r>
        <w:r>
          <w:rPr>
            <w:noProof/>
            <w:webHidden/>
          </w:rPr>
          <w:fldChar w:fldCharType="begin"/>
        </w:r>
        <w:r>
          <w:rPr>
            <w:noProof/>
            <w:webHidden/>
          </w:rPr>
          <w:instrText xml:space="preserve"> PAGEREF _Toc35962119 \h </w:instrText>
        </w:r>
        <w:r>
          <w:rPr>
            <w:noProof/>
            <w:webHidden/>
          </w:rPr>
        </w:r>
        <w:r>
          <w:rPr>
            <w:noProof/>
            <w:webHidden/>
          </w:rPr>
          <w:fldChar w:fldCharType="separate"/>
        </w:r>
        <w:r>
          <w:rPr>
            <w:noProof/>
            <w:webHidden/>
          </w:rPr>
          <w:t>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20" w:history="1">
        <w:r w:rsidRPr="00063F0E">
          <w:rPr>
            <w:rStyle w:val="a8"/>
            <w:noProof/>
          </w:rPr>
          <w:t xml:space="preserve">2.3 </w:t>
        </w:r>
        <w:r w:rsidRPr="00063F0E">
          <w:rPr>
            <w:rStyle w:val="a8"/>
            <w:rFonts w:hint="eastAsia"/>
            <w:noProof/>
          </w:rPr>
          <w:t>基金管理人和基金托管人</w:t>
        </w:r>
        <w:r>
          <w:rPr>
            <w:noProof/>
            <w:webHidden/>
          </w:rPr>
          <w:tab/>
        </w:r>
        <w:r>
          <w:rPr>
            <w:noProof/>
            <w:webHidden/>
          </w:rPr>
          <w:fldChar w:fldCharType="begin"/>
        </w:r>
        <w:r>
          <w:rPr>
            <w:noProof/>
            <w:webHidden/>
          </w:rPr>
          <w:instrText xml:space="preserve"> PAGEREF _Toc35962120 \h </w:instrText>
        </w:r>
        <w:r>
          <w:rPr>
            <w:noProof/>
            <w:webHidden/>
          </w:rPr>
        </w:r>
        <w:r>
          <w:rPr>
            <w:noProof/>
            <w:webHidden/>
          </w:rPr>
          <w:fldChar w:fldCharType="separate"/>
        </w:r>
        <w:r>
          <w:rPr>
            <w:noProof/>
            <w:webHidden/>
          </w:rPr>
          <w:t>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21" w:history="1">
        <w:r w:rsidRPr="00063F0E">
          <w:rPr>
            <w:rStyle w:val="a8"/>
            <w:noProof/>
          </w:rPr>
          <w:t xml:space="preserve">2.4 </w:t>
        </w:r>
        <w:r w:rsidRPr="00063F0E">
          <w:rPr>
            <w:rStyle w:val="a8"/>
            <w:rFonts w:hint="eastAsia"/>
            <w:noProof/>
          </w:rPr>
          <w:t>信息披露方式</w:t>
        </w:r>
        <w:r>
          <w:rPr>
            <w:noProof/>
            <w:webHidden/>
          </w:rPr>
          <w:tab/>
        </w:r>
        <w:r>
          <w:rPr>
            <w:noProof/>
            <w:webHidden/>
          </w:rPr>
          <w:fldChar w:fldCharType="begin"/>
        </w:r>
        <w:r>
          <w:rPr>
            <w:noProof/>
            <w:webHidden/>
          </w:rPr>
          <w:instrText xml:space="preserve"> PAGEREF _Toc35962121 \h </w:instrText>
        </w:r>
        <w:r>
          <w:rPr>
            <w:noProof/>
            <w:webHidden/>
          </w:rPr>
        </w:r>
        <w:r>
          <w:rPr>
            <w:noProof/>
            <w:webHidden/>
          </w:rPr>
          <w:fldChar w:fldCharType="separate"/>
        </w:r>
        <w:r>
          <w:rPr>
            <w:noProof/>
            <w:webHidden/>
          </w:rPr>
          <w:t>6</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22" w:history="1">
        <w:r w:rsidRPr="00063F0E">
          <w:rPr>
            <w:rStyle w:val="a8"/>
            <w:noProof/>
          </w:rPr>
          <w:t xml:space="preserve">2.5 </w:t>
        </w:r>
        <w:r w:rsidRPr="00063F0E">
          <w:rPr>
            <w:rStyle w:val="a8"/>
            <w:rFonts w:hint="eastAsia"/>
            <w:noProof/>
          </w:rPr>
          <w:t>其他相关资料</w:t>
        </w:r>
        <w:r>
          <w:rPr>
            <w:noProof/>
            <w:webHidden/>
          </w:rPr>
          <w:tab/>
        </w:r>
        <w:r>
          <w:rPr>
            <w:noProof/>
            <w:webHidden/>
          </w:rPr>
          <w:fldChar w:fldCharType="begin"/>
        </w:r>
        <w:r>
          <w:rPr>
            <w:noProof/>
            <w:webHidden/>
          </w:rPr>
          <w:instrText xml:space="preserve"> PAGEREF _Toc35962122 \h </w:instrText>
        </w:r>
        <w:r>
          <w:rPr>
            <w:noProof/>
            <w:webHidden/>
          </w:rPr>
        </w:r>
        <w:r>
          <w:rPr>
            <w:noProof/>
            <w:webHidden/>
          </w:rPr>
          <w:fldChar w:fldCharType="separate"/>
        </w:r>
        <w:r>
          <w:rPr>
            <w:noProof/>
            <w:webHidden/>
          </w:rPr>
          <w:t>6</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23" w:history="1">
        <w:r w:rsidRPr="00063F0E">
          <w:rPr>
            <w:rStyle w:val="a8"/>
            <w:b/>
            <w:bCs/>
            <w:noProof/>
          </w:rPr>
          <w:t xml:space="preserve">§3  </w:t>
        </w:r>
        <w:r w:rsidRPr="00063F0E">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_Toc35962123 \h </w:instrText>
        </w:r>
        <w:r>
          <w:rPr>
            <w:noProof/>
            <w:webHidden/>
          </w:rPr>
        </w:r>
        <w:r>
          <w:rPr>
            <w:noProof/>
            <w:webHidden/>
          </w:rPr>
          <w:fldChar w:fldCharType="separate"/>
        </w:r>
        <w:r>
          <w:rPr>
            <w:noProof/>
            <w:webHidden/>
          </w:rPr>
          <w:t>6</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24" w:history="1">
        <w:r w:rsidRPr="00063F0E">
          <w:rPr>
            <w:rStyle w:val="a8"/>
            <w:noProof/>
          </w:rPr>
          <w:t xml:space="preserve">3.1 </w:t>
        </w:r>
        <w:r w:rsidRPr="00063F0E">
          <w:rPr>
            <w:rStyle w:val="a8"/>
            <w:rFonts w:hint="eastAsia"/>
            <w:noProof/>
          </w:rPr>
          <w:t>主要会计数据和财务指标</w:t>
        </w:r>
        <w:r>
          <w:rPr>
            <w:noProof/>
            <w:webHidden/>
          </w:rPr>
          <w:tab/>
        </w:r>
        <w:r>
          <w:rPr>
            <w:noProof/>
            <w:webHidden/>
          </w:rPr>
          <w:fldChar w:fldCharType="begin"/>
        </w:r>
        <w:r>
          <w:rPr>
            <w:noProof/>
            <w:webHidden/>
          </w:rPr>
          <w:instrText xml:space="preserve"> PAGEREF _Toc35962124 \h </w:instrText>
        </w:r>
        <w:r>
          <w:rPr>
            <w:noProof/>
            <w:webHidden/>
          </w:rPr>
        </w:r>
        <w:r>
          <w:rPr>
            <w:noProof/>
            <w:webHidden/>
          </w:rPr>
          <w:fldChar w:fldCharType="separate"/>
        </w:r>
        <w:r>
          <w:rPr>
            <w:noProof/>
            <w:webHidden/>
          </w:rPr>
          <w:t>6</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25" w:history="1">
        <w:r w:rsidRPr="00063F0E">
          <w:rPr>
            <w:rStyle w:val="a8"/>
            <w:noProof/>
          </w:rPr>
          <w:t xml:space="preserve">3.2 </w:t>
        </w:r>
        <w:r w:rsidRPr="00063F0E">
          <w:rPr>
            <w:rStyle w:val="a8"/>
            <w:rFonts w:hint="eastAsia"/>
            <w:noProof/>
          </w:rPr>
          <w:t>基金净值表现</w:t>
        </w:r>
        <w:r>
          <w:rPr>
            <w:noProof/>
            <w:webHidden/>
          </w:rPr>
          <w:tab/>
        </w:r>
        <w:r>
          <w:rPr>
            <w:noProof/>
            <w:webHidden/>
          </w:rPr>
          <w:fldChar w:fldCharType="begin"/>
        </w:r>
        <w:r>
          <w:rPr>
            <w:noProof/>
            <w:webHidden/>
          </w:rPr>
          <w:instrText xml:space="preserve"> PAGEREF _Toc35962125 \h </w:instrText>
        </w:r>
        <w:r>
          <w:rPr>
            <w:noProof/>
            <w:webHidden/>
          </w:rPr>
        </w:r>
        <w:r>
          <w:rPr>
            <w:noProof/>
            <w:webHidden/>
          </w:rPr>
          <w:fldChar w:fldCharType="separate"/>
        </w:r>
        <w:r>
          <w:rPr>
            <w:noProof/>
            <w:webHidden/>
          </w:rPr>
          <w:t>7</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26" w:history="1">
        <w:r w:rsidRPr="00063F0E">
          <w:rPr>
            <w:rStyle w:val="a8"/>
            <w:noProof/>
          </w:rPr>
          <w:t>3.3</w:t>
        </w:r>
        <w:r w:rsidRPr="00063F0E">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_Toc35962126 \h </w:instrText>
        </w:r>
        <w:r>
          <w:rPr>
            <w:noProof/>
            <w:webHidden/>
          </w:rPr>
        </w:r>
        <w:r>
          <w:rPr>
            <w:noProof/>
            <w:webHidden/>
          </w:rPr>
          <w:fldChar w:fldCharType="separate"/>
        </w:r>
        <w:r>
          <w:rPr>
            <w:noProof/>
            <w:webHidden/>
          </w:rPr>
          <w:t>11</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27" w:history="1">
        <w:r w:rsidRPr="00063F0E">
          <w:rPr>
            <w:rStyle w:val="a8"/>
            <w:b/>
            <w:bCs/>
            <w:noProof/>
          </w:rPr>
          <w:t xml:space="preserve">§4  </w:t>
        </w:r>
        <w:r w:rsidRPr="00063F0E">
          <w:rPr>
            <w:rStyle w:val="a8"/>
            <w:rFonts w:hint="eastAsia"/>
            <w:b/>
            <w:bCs/>
            <w:noProof/>
          </w:rPr>
          <w:t>管理人报告</w:t>
        </w:r>
        <w:r>
          <w:rPr>
            <w:noProof/>
            <w:webHidden/>
          </w:rPr>
          <w:tab/>
        </w:r>
        <w:r>
          <w:rPr>
            <w:noProof/>
            <w:webHidden/>
          </w:rPr>
          <w:fldChar w:fldCharType="begin"/>
        </w:r>
        <w:r>
          <w:rPr>
            <w:noProof/>
            <w:webHidden/>
          </w:rPr>
          <w:instrText xml:space="preserve"> PAGEREF _Toc35962127 \h </w:instrText>
        </w:r>
        <w:r>
          <w:rPr>
            <w:noProof/>
            <w:webHidden/>
          </w:rPr>
        </w:r>
        <w:r>
          <w:rPr>
            <w:noProof/>
            <w:webHidden/>
          </w:rPr>
          <w:fldChar w:fldCharType="separate"/>
        </w:r>
        <w:r>
          <w:rPr>
            <w:noProof/>
            <w:webHidden/>
          </w:rPr>
          <w:t>11</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28" w:history="1">
        <w:r w:rsidRPr="00063F0E">
          <w:rPr>
            <w:rStyle w:val="a8"/>
            <w:noProof/>
          </w:rPr>
          <w:t xml:space="preserve">4.1 </w:t>
        </w:r>
        <w:r w:rsidRPr="00063F0E">
          <w:rPr>
            <w:rStyle w:val="a8"/>
            <w:rFonts w:hint="eastAsia"/>
            <w:noProof/>
          </w:rPr>
          <w:t>基金管理人及基金经理情况</w:t>
        </w:r>
        <w:r>
          <w:rPr>
            <w:noProof/>
            <w:webHidden/>
          </w:rPr>
          <w:tab/>
        </w:r>
        <w:r>
          <w:rPr>
            <w:noProof/>
            <w:webHidden/>
          </w:rPr>
          <w:fldChar w:fldCharType="begin"/>
        </w:r>
        <w:r>
          <w:rPr>
            <w:noProof/>
            <w:webHidden/>
          </w:rPr>
          <w:instrText xml:space="preserve"> PAGEREF _Toc35962128 \h </w:instrText>
        </w:r>
        <w:r>
          <w:rPr>
            <w:noProof/>
            <w:webHidden/>
          </w:rPr>
        </w:r>
        <w:r>
          <w:rPr>
            <w:noProof/>
            <w:webHidden/>
          </w:rPr>
          <w:fldChar w:fldCharType="separate"/>
        </w:r>
        <w:r>
          <w:rPr>
            <w:noProof/>
            <w:webHidden/>
          </w:rPr>
          <w:t>11</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29" w:history="1">
        <w:r w:rsidRPr="00063F0E">
          <w:rPr>
            <w:rStyle w:val="a8"/>
            <w:noProof/>
          </w:rPr>
          <w:t xml:space="preserve">4.2 </w:t>
        </w:r>
        <w:r w:rsidRPr="00063F0E">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_Toc35962129 \h </w:instrText>
        </w:r>
        <w:r>
          <w:rPr>
            <w:noProof/>
            <w:webHidden/>
          </w:rPr>
        </w:r>
        <w:r>
          <w:rPr>
            <w:noProof/>
            <w:webHidden/>
          </w:rPr>
          <w:fldChar w:fldCharType="separate"/>
        </w:r>
        <w:r>
          <w:rPr>
            <w:noProof/>
            <w:webHidden/>
          </w:rPr>
          <w:t>13</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30" w:history="1">
        <w:r w:rsidRPr="00063F0E">
          <w:rPr>
            <w:rStyle w:val="a8"/>
            <w:noProof/>
          </w:rPr>
          <w:t xml:space="preserve">4.3 </w:t>
        </w:r>
        <w:r w:rsidRPr="00063F0E">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_Toc35962130 \h </w:instrText>
        </w:r>
        <w:r>
          <w:rPr>
            <w:noProof/>
            <w:webHidden/>
          </w:rPr>
        </w:r>
        <w:r>
          <w:rPr>
            <w:noProof/>
            <w:webHidden/>
          </w:rPr>
          <w:fldChar w:fldCharType="separate"/>
        </w:r>
        <w:r>
          <w:rPr>
            <w:noProof/>
            <w:webHidden/>
          </w:rPr>
          <w:t>13</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31" w:history="1">
        <w:r w:rsidRPr="00063F0E">
          <w:rPr>
            <w:rStyle w:val="a8"/>
            <w:noProof/>
          </w:rPr>
          <w:t xml:space="preserve">4.4 </w:t>
        </w:r>
        <w:r w:rsidRPr="00063F0E">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_Toc35962131 \h </w:instrText>
        </w:r>
        <w:r>
          <w:rPr>
            <w:noProof/>
            <w:webHidden/>
          </w:rPr>
        </w:r>
        <w:r>
          <w:rPr>
            <w:noProof/>
            <w:webHidden/>
          </w:rPr>
          <w:fldChar w:fldCharType="separate"/>
        </w:r>
        <w:r>
          <w:rPr>
            <w:noProof/>
            <w:webHidden/>
          </w:rPr>
          <w:t>15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32" w:history="1">
        <w:r w:rsidRPr="00063F0E">
          <w:rPr>
            <w:rStyle w:val="a8"/>
            <w:noProof/>
          </w:rPr>
          <w:t xml:space="preserve">4.5 </w:t>
        </w:r>
        <w:r w:rsidRPr="00063F0E">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_Toc35962132 \h </w:instrText>
        </w:r>
        <w:r>
          <w:rPr>
            <w:noProof/>
            <w:webHidden/>
          </w:rPr>
        </w:r>
        <w:r>
          <w:rPr>
            <w:noProof/>
            <w:webHidden/>
          </w:rPr>
          <w:fldChar w:fldCharType="separate"/>
        </w:r>
        <w:r>
          <w:rPr>
            <w:noProof/>
            <w:webHidden/>
          </w:rPr>
          <w:t>16</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33" w:history="1">
        <w:r w:rsidRPr="00063F0E">
          <w:rPr>
            <w:rStyle w:val="a8"/>
            <w:noProof/>
          </w:rPr>
          <w:t xml:space="preserve">4.6 </w:t>
        </w:r>
        <w:r w:rsidRPr="00063F0E">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_Toc35962133 \h </w:instrText>
        </w:r>
        <w:r>
          <w:rPr>
            <w:noProof/>
            <w:webHidden/>
          </w:rPr>
        </w:r>
        <w:r>
          <w:rPr>
            <w:noProof/>
            <w:webHidden/>
          </w:rPr>
          <w:fldChar w:fldCharType="separate"/>
        </w:r>
        <w:r>
          <w:rPr>
            <w:noProof/>
            <w:webHidden/>
          </w:rPr>
          <w:t>16</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34" w:history="1">
        <w:r w:rsidRPr="00063F0E">
          <w:rPr>
            <w:rStyle w:val="a8"/>
            <w:noProof/>
          </w:rPr>
          <w:t xml:space="preserve">4.7 </w:t>
        </w:r>
        <w:r w:rsidRPr="00063F0E">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_Toc35962134 \h </w:instrText>
        </w:r>
        <w:r>
          <w:rPr>
            <w:noProof/>
            <w:webHidden/>
          </w:rPr>
        </w:r>
        <w:r>
          <w:rPr>
            <w:noProof/>
            <w:webHidden/>
          </w:rPr>
          <w:fldChar w:fldCharType="separate"/>
        </w:r>
        <w:r>
          <w:rPr>
            <w:noProof/>
            <w:webHidden/>
          </w:rPr>
          <w:t>17</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35" w:history="1">
        <w:r w:rsidRPr="00063F0E">
          <w:rPr>
            <w:rStyle w:val="a8"/>
            <w:noProof/>
          </w:rPr>
          <w:t xml:space="preserve">4.8 </w:t>
        </w:r>
        <w:r w:rsidRPr="00063F0E">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_Toc35962135 \h </w:instrText>
        </w:r>
        <w:r>
          <w:rPr>
            <w:noProof/>
            <w:webHidden/>
          </w:rPr>
        </w:r>
        <w:r>
          <w:rPr>
            <w:noProof/>
            <w:webHidden/>
          </w:rPr>
          <w:fldChar w:fldCharType="separate"/>
        </w:r>
        <w:r>
          <w:rPr>
            <w:noProof/>
            <w:webHidden/>
          </w:rPr>
          <w:t>18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36" w:history="1">
        <w:r w:rsidRPr="00063F0E">
          <w:rPr>
            <w:rStyle w:val="a8"/>
            <w:noProof/>
          </w:rPr>
          <w:t xml:space="preserve">4.9 </w:t>
        </w:r>
        <w:r w:rsidRPr="00063F0E">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_Toc35962136 \h </w:instrText>
        </w:r>
        <w:r>
          <w:rPr>
            <w:noProof/>
            <w:webHidden/>
          </w:rPr>
        </w:r>
        <w:r>
          <w:rPr>
            <w:noProof/>
            <w:webHidden/>
          </w:rPr>
          <w:fldChar w:fldCharType="separate"/>
        </w:r>
        <w:r>
          <w:rPr>
            <w:noProof/>
            <w:webHidden/>
          </w:rPr>
          <w:t>18</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37" w:history="1">
        <w:r w:rsidRPr="00063F0E">
          <w:rPr>
            <w:rStyle w:val="a8"/>
            <w:b/>
            <w:bCs/>
            <w:noProof/>
          </w:rPr>
          <w:t xml:space="preserve">§5  </w:t>
        </w:r>
        <w:r w:rsidRPr="00063F0E">
          <w:rPr>
            <w:rStyle w:val="a8"/>
            <w:rFonts w:hint="eastAsia"/>
            <w:b/>
            <w:bCs/>
            <w:noProof/>
          </w:rPr>
          <w:t>托管人报告</w:t>
        </w:r>
        <w:r>
          <w:rPr>
            <w:noProof/>
            <w:webHidden/>
          </w:rPr>
          <w:tab/>
        </w:r>
        <w:r>
          <w:rPr>
            <w:noProof/>
            <w:webHidden/>
          </w:rPr>
          <w:fldChar w:fldCharType="begin"/>
        </w:r>
        <w:r>
          <w:rPr>
            <w:noProof/>
            <w:webHidden/>
          </w:rPr>
          <w:instrText xml:space="preserve"> PAGEREF _Toc35962137 \h </w:instrText>
        </w:r>
        <w:r>
          <w:rPr>
            <w:noProof/>
            <w:webHidden/>
          </w:rPr>
        </w:r>
        <w:r>
          <w:rPr>
            <w:noProof/>
            <w:webHidden/>
          </w:rPr>
          <w:fldChar w:fldCharType="separate"/>
        </w:r>
        <w:r>
          <w:rPr>
            <w:noProof/>
            <w:webHidden/>
          </w:rPr>
          <w:t>18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38" w:history="1">
        <w:r w:rsidRPr="00063F0E">
          <w:rPr>
            <w:rStyle w:val="a8"/>
            <w:noProof/>
          </w:rPr>
          <w:t xml:space="preserve">5.1 </w:t>
        </w:r>
        <w:r w:rsidRPr="00063F0E">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_Toc35962138 \h </w:instrText>
        </w:r>
        <w:r>
          <w:rPr>
            <w:noProof/>
            <w:webHidden/>
          </w:rPr>
        </w:r>
        <w:r>
          <w:rPr>
            <w:noProof/>
            <w:webHidden/>
          </w:rPr>
          <w:fldChar w:fldCharType="separate"/>
        </w:r>
        <w:r>
          <w:rPr>
            <w:noProof/>
            <w:webHidden/>
          </w:rPr>
          <w:t>18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39" w:history="1">
        <w:r w:rsidRPr="00063F0E">
          <w:rPr>
            <w:rStyle w:val="a8"/>
            <w:noProof/>
          </w:rPr>
          <w:t xml:space="preserve">5.2 </w:t>
        </w:r>
        <w:r w:rsidRPr="00063F0E">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_Toc35962139 \h </w:instrText>
        </w:r>
        <w:r>
          <w:rPr>
            <w:noProof/>
            <w:webHidden/>
          </w:rPr>
        </w:r>
        <w:r>
          <w:rPr>
            <w:noProof/>
            <w:webHidden/>
          </w:rPr>
          <w:fldChar w:fldCharType="separate"/>
        </w:r>
        <w:r>
          <w:rPr>
            <w:noProof/>
            <w:webHidden/>
          </w:rPr>
          <w:t>18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40" w:history="1">
        <w:r w:rsidRPr="00063F0E">
          <w:rPr>
            <w:rStyle w:val="a8"/>
            <w:noProof/>
          </w:rPr>
          <w:t xml:space="preserve">5.3 </w:t>
        </w:r>
        <w:r w:rsidRPr="00063F0E">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_Toc35962140 \h </w:instrText>
        </w:r>
        <w:r>
          <w:rPr>
            <w:noProof/>
            <w:webHidden/>
          </w:rPr>
        </w:r>
        <w:r>
          <w:rPr>
            <w:noProof/>
            <w:webHidden/>
          </w:rPr>
          <w:fldChar w:fldCharType="separate"/>
        </w:r>
        <w:r>
          <w:rPr>
            <w:noProof/>
            <w:webHidden/>
          </w:rPr>
          <w:t>18</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41" w:history="1">
        <w:r w:rsidRPr="00063F0E">
          <w:rPr>
            <w:rStyle w:val="a8"/>
            <w:b/>
            <w:bCs/>
            <w:noProof/>
          </w:rPr>
          <w:t xml:space="preserve">§6  </w:t>
        </w:r>
        <w:r w:rsidRPr="00063F0E">
          <w:rPr>
            <w:rStyle w:val="a8"/>
            <w:rFonts w:hint="eastAsia"/>
            <w:b/>
            <w:bCs/>
            <w:noProof/>
          </w:rPr>
          <w:t>审计报告</w:t>
        </w:r>
        <w:r>
          <w:rPr>
            <w:noProof/>
            <w:webHidden/>
          </w:rPr>
          <w:tab/>
        </w:r>
        <w:r>
          <w:rPr>
            <w:noProof/>
            <w:webHidden/>
          </w:rPr>
          <w:fldChar w:fldCharType="begin"/>
        </w:r>
        <w:r>
          <w:rPr>
            <w:noProof/>
            <w:webHidden/>
          </w:rPr>
          <w:instrText xml:space="preserve"> PAGEREF _Toc35962141 \h </w:instrText>
        </w:r>
        <w:r>
          <w:rPr>
            <w:noProof/>
            <w:webHidden/>
          </w:rPr>
        </w:r>
        <w:r>
          <w:rPr>
            <w:noProof/>
            <w:webHidden/>
          </w:rPr>
          <w:fldChar w:fldCharType="separate"/>
        </w:r>
        <w:r>
          <w:rPr>
            <w:noProof/>
            <w:webHidden/>
          </w:rPr>
          <w:t>18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42" w:history="1">
        <w:r w:rsidRPr="00063F0E">
          <w:rPr>
            <w:rStyle w:val="a8"/>
            <w:noProof/>
          </w:rPr>
          <w:t xml:space="preserve">6.1 </w:t>
        </w:r>
        <w:r w:rsidRPr="00063F0E">
          <w:rPr>
            <w:rStyle w:val="a8"/>
            <w:rFonts w:hint="eastAsia"/>
            <w:noProof/>
          </w:rPr>
          <w:t>审计意见</w:t>
        </w:r>
        <w:r>
          <w:rPr>
            <w:noProof/>
            <w:webHidden/>
          </w:rPr>
          <w:tab/>
        </w:r>
        <w:r>
          <w:rPr>
            <w:noProof/>
            <w:webHidden/>
          </w:rPr>
          <w:fldChar w:fldCharType="begin"/>
        </w:r>
        <w:r>
          <w:rPr>
            <w:noProof/>
            <w:webHidden/>
          </w:rPr>
          <w:instrText xml:space="preserve"> PAGEREF _Toc35962142 \h </w:instrText>
        </w:r>
        <w:r>
          <w:rPr>
            <w:noProof/>
            <w:webHidden/>
          </w:rPr>
        </w:r>
        <w:r>
          <w:rPr>
            <w:noProof/>
            <w:webHidden/>
          </w:rPr>
          <w:fldChar w:fldCharType="separate"/>
        </w:r>
        <w:r>
          <w:rPr>
            <w:noProof/>
            <w:webHidden/>
          </w:rPr>
          <w:t>18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43" w:history="1">
        <w:r w:rsidRPr="00063F0E">
          <w:rPr>
            <w:rStyle w:val="a8"/>
            <w:noProof/>
          </w:rPr>
          <w:t xml:space="preserve">6.2 </w:t>
        </w:r>
        <w:r w:rsidRPr="00063F0E">
          <w:rPr>
            <w:rStyle w:val="a8"/>
            <w:rFonts w:hint="eastAsia"/>
            <w:noProof/>
          </w:rPr>
          <w:t>形成审计意见的基础</w:t>
        </w:r>
        <w:r>
          <w:rPr>
            <w:noProof/>
            <w:webHidden/>
          </w:rPr>
          <w:tab/>
        </w:r>
        <w:r>
          <w:rPr>
            <w:noProof/>
            <w:webHidden/>
          </w:rPr>
          <w:fldChar w:fldCharType="begin"/>
        </w:r>
        <w:r>
          <w:rPr>
            <w:noProof/>
            <w:webHidden/>
          </w:rPr>
          <w:instrText xml:space="preserve"> PAGEREF _Toc35962143 \h </w:instrText>
        </w:r>
        <w:r>
          <w:rPr>
            <w:noProof/>
            <w:webHidden/>
          </w:rPr>
        </w:r>
        <w:r>
          <w:rPr>
            <w:noProof/>
            <w:webHidden/>
          </w:rPr>
          <w:fldChar w:fldCharType="separate"/>
        </w:r>
        <w:r>
          <w:rPr>
            <w:noProof/>
            <w:webHidden/>
          </w:rPr>
          <w:t>19</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44" w:history="1">
        <w:r w:rsidRPr="00063F0E">
          <w:rPr>
            <w:rStyle w:val="a8"/>
            <w:noProof/>
          </w:rPr>
          <w:t xml:space="preserve">6.3 </w:t>
        </w:r>
        <w:r w:rsidRPr="00063F0E">
          <w:rPr>
            <w:rStyle w:val="a8"/>
            <w:rFonts w:hint="eastAsia"/>
            <w:noProof/>
          </w:rPr>
          <w:t>管理层和治理层对财务报表的责任</w:t>
        </w:r>
        <w:r>
          <w:rPr>
            <w:noProof/>
            <w:webHidden/>
          </w:rPr>
          <w:tab/>
        </w:r>
        <w:r>
          <w:rPr>
            <w:noProof/>
            <w:webHidden/>
          </w:rPr>
          <w:fldChar w:fldCharType="begin"/>
        </w:r>
        <w:r>
          <w:rPr>
            <w:noProof/>
            <w:webHidden/>
          </w:rPr>
          <w:instrText xml:space="preserve"> PAGEREF _Toc35962144 \h </w:instrText>
        </w:r>
        <w:r>
          <w:rPr>
            <w:noProof/>
            <w:webHidden/>
          </w:rPr>
        </w:r>
        <w:r>
          <w:rPr>
            <w:noProof/>
            <w:webHidden/>
          </w:rPr>
          <w:fldChar w:fldCharType="separate"/>
        </w:r>
        <w:r>
          <w:rPr>
            <w:noProof/>
            <w:webHidden/>
          </w:rPr>
          <w:t>19</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45" w:history="1">
        <w:r w:rsidRPr="00063F0E">
          <w:rPr>
            <w:rStyle w:val="a8"/>
            <w:noProof/>
          </w:rPr>
          <w:t xml:space="preserve">6.4 </w:t>
        </w:r>
        <w:r w:rsidRPr="00063F0E">
          <w:rPr>
            <w:rStyle w:val="a8"/>
            <w:rFonts w:hint="eastAsia"/>
            <w:noProof/>
          </w:rPr>
          <w:t>注册会计师对财务报表审计的责任</w:t>
        </w:r>
        <w:r>
          <w:rPr>
            <w:noProof/>
            <w:webHidden/>
          </w:rPr>
          <w:tab/>
        </w:r>
        <w:r>
          <w:rPr>
            <w:noProof/>
            <w:webHidden/>
          </w:rPr>
          <w:fldChar w:fldCharType="begin"/>
        </w:r>
        <w:r>
          <w:rPr>
            <w:noProof/>
            <w:webHidden/>
          </w:rPr>
          <w:instrText xml:space="preserve"> PAGEREF _Toc35962145 \h </w:instrText>
        </w:r>
        <w:r>
          <w:rPr>
            <w:noProof/>
            <w:webHidden/>
          </w:rPr>
        </w:r>
        <w:r>
          <w:rPr>
            <w:noProof/>
            <w:webHidden/>
          </w:rPr>
          <w:fldChar w:fldCharType="separate"/>
        </w:r>
        <w:r>
          <w:rPr>
            <w:noProof/>
            <w:webHidden/>
          </w:rPr>
          <w:t>19</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46" w:history="1">
        <w:r w:rsidRPr="00063F0E">
          <w:rPr>
            <w:rStyle w:val="a8"/>
            <w:b/>
            <w:bCs/>
            <w:noProof/>
          </w:rPr>
          <w:t xml:space="preserve">§7  </w:t>
        </w:r>
        <w:r w:rsidRPr="00063F0E">
          <w:rPr>
            <w:rStyle w:val="a8"/>
            <w:rFonts w:hint="eastAsia"/>
            <w:b/>
            <w:bCs/>
            <w:noProof/>
          </w:rPr>
          <w:t>年度财务报表</w:t>
        </w:r>
        <w:r>
          <w:rPr>
            <w:noProof/>
            <w:webHidden/>
          </w:rPr>
          <w:tab/>
        </w:r>
        <w:r>
          <w:rPr>
            <w:noProof/>
            <w:webHidden/>
          </w:rPr>
          <w:fldChar w:fldCharType="begin"/>
        </w:r>
        <w:r>
          <w:rPr>
            <w:noProof/>
            <w:webHidden/>
          </w:rPr>
          <w:instrText xml:space="preserve"> PAGEREF _Toc35962146 \h </w:instrText>
        </w:r>
        <w:r>
          <w:rPr>
            <w:noProof/>
            <w:webHidden/>
          </w:rPr>
        </w:r>
        <w:r>
          <w:rPr>
            <w:noProof/>
            <w:webHidden/>
          </w:rPr>
          <w:fldChar w:fldCharType="separate"/>
        </w:r>
        <w:r>
          <w:rPr>
            <w:noProof/>
            <w:webHidden/>
          </w:rPr>
          <w:t>20</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47" w:history="1">
        <w:r w:rsidRPr="00063F0E">
          <w:rPr>
            <w:rStyle w:val="a8"/>
            <w:noProof/>
          </w:rPr>
          <w:t xml:space="preserve">7.1 </w:t>
        </w:r>
        <w:r w:rsidRPr="00063F0E">
          <w:rPr>
            <w:rStyle w:val="a8"/>
            <w:rFonts w:hint="eastAsia"/>
            <w:noProof/>
          </w:rPr>
          <w:t>资产负债表</w:t>
        </w:r>
        <w:r>
          <w:rPr>
            <w:noProof/>
            <w:webHidden/>
          </w:rPr>
          <w:tab/>
        </w:r>
        <w:r>
          <w:rPr>
            <w:noProof/>
            <w:webHidden/>
          </w:rPr>
          <w:fldChar w:fldCharType="begin"/>
        </w:r>
        <w:r>
          <w:rPr>
            <w:noProof/>
            <w:webHidden/>
          </w:rPr>
          <w:instrText xml:space="preserve"> PAGEREF _Toc35962147 \h </w:instrText>
        </w:r>
        <w:r>
          <w:rPr>
            <w:noProof/>
            <w:webHidden/>
          </w:rPr>
        </w:r>
        <w:r>
          <w:rPr>
            <w:noProof/>
            <w:webHidden/>
          </w:rPr>
          <w:fldChar w:fldCharType="separate"/>
        </w:r>
        <w:r>
          <w:rPr>
            <w:noProof/>
            <w:webHidden/>
          </w:rPr>
          <w:t>20</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48" w:history="1">
        <w:r w:rsidRPr="00063F0E">
          <w:rPr>
            <w:rStyle w:val="a8"/>
            <w:noProof/>
          </w:rPr>
          <w:t xml:space="preserve">7.2 </w:t>
        </w:r>
        <w:r w:rsidRPr="00063F0E">
          <w:rPr>
            <w:rStyle w:val="a8"/>
            <w:rFonts w:hint="eastAsia"/>
            <w:noProof/>
          </w:rPr>
          <w:t>利润表</w:t>
        </w:r>
        <w:r>
          <w:rPr>
            <w:noProof/>
            <w:webHidden/>
          </w:rPr>
          <w:tab/>
        </w:r>
        <w:r>
          <w:rPr>
            <w:noProof/>
            <w:webHidden/>
          </w:rPr>
          <w:fldChar w:fldCharType="begin"/>
        </w:r>
        <w:r>
          <w:rPr>
            <w:noProof/>
            <w:webHidden/>
          </w:rPr>
          <w:instrText xml:space="preserve"> PAGEREF _Toc35962148 \h </w:instrText>
        </w:r>
        <w:r>
          <w:rPr>
            <w:noProof/>
            <w:webHidden/>
          </w:rPr>
        </w:r>
        <w:r>
          <w:rPr>
            <w:noProof/>
            <w:webHidden/>
          </w:rPr>
          <w:fldChar w:fldCharType="separate"/>
        </w:r>
        <w:r>
          <w:rPr>
            <w:noProof/>
            <w:webHidden/>
          </w:rPr>
          <w:t>22</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49" w:history="1">
        <w:r w:rsidRPr="00063F0E">
          <w:rPr>
            <w:rStyle w:val="a8"/>
            <w:noProof/>
          </w:rPr>
          <w:t xml:space="preserve">7.3 </w:t>
        </w:r>
        <w:r w:rsidRPr="00063F0E">
          <w:rPr>
            <w:rStyle w:val="a8"/>
            <w:rFonts w:hint="eastAsia"/>
            <w:noProof/>
          </w:rPr>
          <w:t>所有者权益（基金净值）变动表</w:t>
        </w:r>
        <w:r>
          <w:rPr>
            <w:noProof/>
            <w:webHidden/>
          </w:rPr>
          <w:tab/>
        </w:r>
        <w:r>
          <w:rPr>
            <w:noProof/>
            <w:webHidden/>
          </w:rPr>
          <w:fldChar w:fldCharType="begin"/>
        </w:r>
        <w:r>
          <w:rPr>
            <w:noProof/>
            <w:webHidden/>
          </w:rPr>
          <w:instrText xml:space="preserve"> PAGEREF _Toc35962149 \h </w:instrText>
        </w:r>
        <w:r>
          <w:rPr>
            <w:noProof/>
            <w:webHidden/>
          </w:rPr>
        </w:r>
        <w:r>
          <w:rPr>
            <w:noProof/>
            <w:webHidden/>
          </w:rPr>
          <w:fldChar w:fldCharType="separate"/>
        </w:r>
        <w:r>
          <w:rPr>
            <w:noProof/>
            <w:webHidden/>
          </w:rPr>
          <w:t>23</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50" w:history="1">
        <w:r w:rsidRPr="00063F0E">
          <w:rPr>
            <w:rStyle w:val="a8"/>
            <w:noProof/>
          </w:rPr>
          <w:t xml:space="preserve">7.4 </w:t>
        </w:r>
        <w:r w:rsidRPr="00063F0E">
          <w:rPr>
            <w:rStyle w:val="a8"/>
            <w:rFonts w:hint="eastAsia"/>
            <w:noProof/>
          </w:rPr>
          <w:t>报表附注</w:t>
        </w:r>
        <w:r>
          <w:rPr>
            <w:noProof/>
            <w:webHidden/>
          </w:rPr>
          <w:tab/>
        </w:r>
        <w:r>
          <w:rPr>
            <w:noProof/>
            <w:webHidden/>
          </w:rPr>
          <w:fldChar w:fldCharType="begin"/>
        </w:r>
        <w:r>
          <w:rPr>
            <w:noProof/>
            <w:webHidden/>
          </w:rPr>
          <w:instrText xml:space="preserve"> PAGEREF _Toc35962150 \h </w:instrText>
        </w:r>
        <w:r>
          <w:rPr>
            <w:noProof/>
            <w:webHidden/>
          </w:rPr>
        </w:r>
        <w:r>
          <w:rPr>
            <w:noProof/>
            <w:webHidden/>
          </w:rPr>
          <w:fldChar w:fldCharType="separate"/>
        </w:r>
        <w:r>
          <w:rPr>
            <w:noProof/>
            <w:webHidden/>
          </w:rPr>
          <w:t>25</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51" w:history="1">
        <w:r w:rsidRPr="00063F0E">
          <w:rPr>
            <w:rStyle w:val="a8"/>
            <w:b/>
            <w:bCs/>
            <w:noProof/>
          </w:rPr>
          <w:t xml:space="preserve">§8  </w:t>
        </w:r>
        <w:r w:rsidRPr="00063F0E">
          <w:rPr>
            <w:rStyle w:val="a8"/>
            <w:rFonts w:hint="eastAsia"/>
            <w:b/>
            <w:bCs/>
            <w:noProof/>
          </w:rPr>
          <w:t>投资组合报告</w:t>
        </w:r>
        <w:r>
          <w:rPr>
            <w:noProof/>
            <w:webHidden/>
          </w:rPr>
          <w:tab/>
        </w:r>
        <w:r>
          <w:rPr>
            <w:noProof/>
            <w:webHidden/>
          </w:rPr>
          <w:fldChar w:fldCharType="begin"/>
        </w:r>
        <w:r>
          <w:rPr>
            <w:noProof/>
            <w:webHidden/>
          </w:rPr>
          <w:instrText xml:space="preserve"> PAGEREF _Toc35962151 \h </w:instrText>
        </w:r>
        <w:r>
          <w:rPr>
            <w:noProof/>
            <w:webHidden/>
          </w:rPr>
        </w:r>
        <w:r>
          <w:rPr>
            <w:noProof/>
            <w:webHidden/>
          </w:rPr>
          <w:fldChar w:fldCharType="separate"/>
        </w:r>
        <w:r>
          <w:rPr>
            <w:noProof/>
            <w:webHidden/>
          </w:rPr>
          <w:t>49</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52" w:history="1">
        <w:r w:rsidRPr="00063F0E">
          <w:rPr>
            <w:rStyle w:val="a8"/>
            <w:noProof/>
          </w:rPr>
          <w:t>8.1</w:t>
        </w:r>
        <w:r w:rsidRPr="00063F0E">
          <w:rPr>
            <w:rStyle w:val="a8"/>
            <w:rFonts w:hint="eastAsia"/>
            <w:noProof/>
          </w:rPr>
          <w:t>期末基金资产组合情况</w:t>
        </w:r>
        <w:r>
          <w:rPr>
            <w:noProof/>
            <w:webHidden/>
          </w:rPr>
          <w:tab/>
        </w:r>
        <w:r>
          <w:rPr>
            <w:noProof/>
            <w:webHidden/>
          </w:rPr>
          <w:fldChar w:fldCharType="begin"/>
        </w:r>
        <w:r>
          <w:rPr>
            <w:noProof/>
            <w:webHidden/>
          </w:rPr>
          <w:instrText xml:space="preserve"> PAGEREF _Toc35962152 \h </w:instrText>
        </w:r>
        <w:r>
          <w:rPr>
            <w:noProof/>
            <w:webHidden/>
          </w:rPr>
        </w:r>
        <w:r>
          <w:rPr>
            <w:noProof/>
            <w:webHidden/>
          </w:rPr>
          <w:fldChar w:fldCharType="separate"/>
        </w:r>
        <w:r>
          <w:rPr>
            <w:noProof/>
            <w:webHidden/>
          </w:rPr>
          <w:t>49</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53" w:history="1">
        <w:r w:rsidRPr="00063F0E">
          <w:rPr>
            <w:rStyle w:val="a8"/>
            <w:noProof/>
          </w:rPr>
          <w:t>8.2</w:t>
        </w:r>
        <w:r w:rsidRPr="00063F0E">
          <w:rPr>
            <w:rStyle w:val="a8"/>
            <w:rFonts w:hint="eastAsia"/>
            <w:noProof/>
          </w:rPr>
          <w:t>债券回购融资情况</w:t>
        </w:r>
        <w:r>
          <w:rPr>
            <w:noProof/>
            <w:webHidden/>
          </w:rPr>
          <w:tab/>
        </w:r>
        <w:r>
          <w:rPr>
            <w:noProof/>
            <w:webHidden/>
          </w:rPr>
          <w:fldChar w:fldCharType="begin"/>
        </w:r>
        <w:r>
          <w:rPr>
            <w:noProof/>
            <w:webHidden/>
          </w:rPr>
          <w:instrText xml:space="preserve"> PAGEREF _Toc35962153 \h </w:instrText>
        </w:r>
        <w:r>
          <w:rPr>
            <w:noProof/>
            <w:webHidden/>
          </w:rPr>
        </w:r>
        <w:r>
          <w:rPr>
            <w:noProof/>
            <w:webHidden/>
          </w:rPr>
          <w:fldChar w:fldCharType="separate"/>
        </w:r>
        <w:r>
          <w:rPr>
            <w:noProof/>
            <w:webHidden/>
          </w:rPr>
          <w:t>49</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54" w:history="1">
        <w:r w:rsidRPr="00063F0E">
          <w:rPr>
            <w:rStyle w:val="a8"/>
            <w:noProof/>
          </w:rPr>
          <w:t>8.4</w:t>
        </w:r>
        <w:r w:rsidRPr="00063F0E">
          <w:rPr>
            <w:rStyle w:val="a8"/>
            <w:rFonts w:hint="eastAsia"/>
            <w:noProof/>
          </w:rPr>
          <w:t>报告期内投资组合平均剩余存续期超过</w:t>
        </w:r>
        <w:r w:rsidRPr="00063F0E">
          <w:rPr>
            <w:rStyle w:val="a8"/>
            <w:noProof/>
          </w:rPr>
          <w:t>240</w:t>
        </w:r>
        <w:r w:rsidRPr="00063F0E">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_Toc35962154 \h </w:instrText>
        </w:r>
        <w:r>
          <w:rPr>
            <w:noProof/>
            <w:webHidden/>
          </w:rPr>
        </w:r>
        <w:r>
          <w:rPr>
            <w:noProof/>
            <w:webHidden/>
          </w:rPr>
          <w:fldChar w:fldCharType="separate"/>
        </w:r>
        <w:r>
          <w:rPr>
            <w:noProof/>
            <w:webHidden/>
          </w:rPr>
          <w:t>50</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55" w:history="1">
        <w:r w:rsidRPr="00063F0E">
          <w:rPr>
            <w:rStyle w:val="a8"/>
            <w:noProof/>
          </w:rPr>
          <w:t>8.5</w:t>
        </w:r>
        <w:r w:rsidRPr="00063F0E">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_Toc35962155 \h </w:instrText>
        </w:r>
        <w:r>
          <w:rPr>
            <w:noProof/>
            <w:webHidden/>
          </w:rPr>
        </w:r>
        <w:r>
          <w:rPr>
            <w:noProof/>
            <w:webHidden/>
          </w:rPr>
          <w:fldChar w:fldCharType="separate"/>
        </w:r>
        <w:r>
          <w:rPr>
            <w:noProof/>
            <w:webHidden/>
          </w:rPr>
          <w:t>50</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56" w:history="1">
        <w:r w:rsidRPr="00063F0E">
          <w:rPr>
            <w:rStyle w:val="a8"/>
            <w:noProof/>
          </w:rPr>
          <w:t>8.6</w:t>
        </w:r>
        <w:r w:rsidRPr="00063F0E">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_Toc35962156 \h </w:instrText>
        </w:r>
        <w:r>
          <w:rPr>
            <w:noProof/>
            <w:webHidden/>
          </w:rPr>
        </w:r>
        <w:r>
          <w:rPr>
            <w:noProof/>
            <w:webHidden/>
          </w:rPr>
          <w:fldChar w:fldCharType="separate"/>
        </w:r>
        <w:r>
          <w:rPr>
            <w:noProof/>
            <w:webHidden/>
          </w:rPr>
          <w:t>51</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57" w:history="1">
        <w:r w:rsidRPr="00063F0E">
          <w:rPr>
            <w:rStyle w:val="a8"/>
            <w:noProof/>
          </w:rPr>
          <w:t>8.7“</w:t>
        </w:r>
        <w:r w:rsidRPr="00063F0E">
          <w:rPr>
            <w:rStyle w:val="a8"/>
            <w:rFonts w:hint="eastAsia"/>
            <w:noProof/>
          </w:rPr>
          <w:t>影子定价</w:t>
        </w:r>
        <w:r w:rsidRPr="00063F0E">
          <w:rPr>
            <w:rStyle w:val="a8"/>
            <w:noProof/>
          </w:rPr>
          <w:t>”</w:t>
        </w:r>
        <w:r w:rsidRPr="00063F0E">
          <w:rPr>
            <w:rStyle w:val="a8"/>
            <w:rFonts w:hint="eastAsia"/>
            <w:noProof/>
          </w:rPr>
          <w:t>与</w:t>
        </w:r>
        <w:r w:rsidRPr="00063F0E">
          <w:rPr>
            <w:rStyle w:val="a8"/>
            <w:noProof/>
          </w:rPr>
          <w:t>“</w:t>
        </w:r>
        <w:r w:rsidRPr="00063F0E">
          <w:rPr>
            <w:rStyle w:val="a8"/>
            <w:rFonts w:hint="eastAsia"/>
            <w:noProof/>
          </w:rPr>
          <w:t>摊余成本法</w:t>
        </w:r>
        <w:r w:rsidRPr="00063F0E">
          <w:rPr>
            <w:rStyle w:val="a8"/>
            <w:noProof/>
          </w:rPr>
          <w:t>”</w:t>
        </w:r>
        <w:r w:rsidRPr="00063F0E">
          <w:rPr>
            <w:rStyle w:val="a8"/>
            <w:rFonts w:hint="eastAsia"/>
            <w:noProof/>
          </w:rPr>
          <w:t>确定的基金资产净值的偏离</w:t>
        </w:r>
        <w:r>
          <w:rPr>
            <w:noProof/>
            <w:webHidden/>
          </w:rPr>
          <w:tab/>
        </w:r>
        <w:r>
          <w:rPr>
            <w:noProof/>
            <w:webHidden/>
          </w:rPr>
          <w:fldChar w:fldCharType="begin"/>
        </w:r>
        <w:r>
          <w:rPr>
            <w:noProof/>
            <w:webHidden/>
          </w:rPr>
          <w:instrText xml:space="preserve"> PAGEREF _Toc35962157 \h </w:instrText>
        </w:r>
        <w:r>
          <w:rPr>
            <w:noProof/>
            <w:webHidden/>
          </w:rPr>
        </w:r>
        <w:r>
          <w:rPr>
            <w:noProof/>
            <w:webHidden/>
          </w:rPr>
          <w:fldChar w:fldCharType="separate"/>
        </w:r>
        <w:r>
          <w:rPr>
            <w:noProof/>
            <w:webHidden/>
          </w:rPr>
          <w:t>51</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58" w:history="1">
        <w:r w:rsidRPr="00063F0E">
          <w:rPr>
            <w:rStyle w:val="a8"/>
            <w:noProof/>
          </w:rPr>
          <w:t>8.8</w:t>
        </w:r>
        <w:r w:rsidRPr="00063F0E">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_Toc35962158 \h </w:instrText>
        </w:r>
        <w:r>
          <w:rPr>
            <w:noProof/>
            <w:webHidden/>
          </w:rPr>
        </w:r>
        <w:r>
          <w:rPr>
            <w:noProof/>
            <w:webHidden/>
          </w:rPr>
          <w:fldChar w:fldCharType="separate"/>
        </w:r>
        <w:r>
          <w:rPr>
            <w:noProof/>
            <w:webHidden/>
          </w:rPr>
          <w:t>52</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59" w:history="1">
        <w:r w:rsidRPr="00063F0E">
          <w:rPr>
            <w:rStyle w:val="a8"/>
            <w:noProof/>
          </w:rPr>
          <w:t xml:space="preserve">8.9 </w:t>
        </w:r>
        <w:r w:rsidRPr="00063F0E">
          <w:rPr>
            <w:rStyle w:val="a8"/>
            <w:rFonts w:hint="eastAsia"/>
            <w:noProof/>
          </w:rPr>
          <w:t>投资组合报告附注</w:t>
        </w:r>
        <w:r>
          <w:rPr>
            <w:noProof/>
            <w:webHidden/>
          </w:rPr>
          <w:tab/>
        </w:r>
        <w:r>
          <w:rPr>
            <w:noProof/>
            <w:webHidden/>
          </w:rPr>
          <w:fldChar w:fldCharType="begin"/>
        </w:r>
        <w:r>
          <w:rPr>
            <w:noProof/>
            <w:webHidden/>
          </w:rPr>
          <w:instrText xml:space="preserve"> PAGEREF _Toc35962159 \h </w:instrText>
        </w:r>
        <w:r>
          <w:rPr>
            <w:noProof/>
            <w:webHidden/>
          </w:rPr>
        </w:r>
        <w:r>
          <w:rPr>
            <w:noProof/>
            <w:webHidden/>
          </w:rPr>
          <w:fldChar w:fldCharType="separate"/>
        </w:r>
        <w:r>
          <w:rPr>
            <w:noProof/>
            <w:webHidden/>
          </w:rPr>
          <w:t>52</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60" w:history="1">
        <w:r w:rsidRPr="00063F0E">
          <w:rPr>
            <w:rStyle w:val="a8"/>
            <w:b/>
            <w:bCs/>
            <w:noProof/>
          </w:rPr>
          <w:t xml:space="preserve">§9  </w:t>
        </w:r>
        <w:r w:rsidRPr="00063F0E">
          <w:rPr>
            <w:rStyle w:val="a8"/>
            <w:rFonts w:hint="eastAsia"/>
            <w:b/>
            <w:bCs/>
            <w:noProof/>
          </w:rPr>
          <w:t>基金份额持有人信息</w:t>
        </w:r>
        <w:r>
          <w:rPr>
            <w:noProof/>
            <w:webHidden/>
          </w:rPr>
          <w:tab/>
        </w:r>
        <w:r>
          <w:rPr>
            <w:noProof/>
            <w:webHidden/>
          </w:rPr>
          <w:fldChar w:fldCharType="begin"/>
        </w:r>
        <w:r>
          <w:rPr>
            <w:noProof/>
            <w:webHidden/>
          </w:rPr>
          <w:instrText xml:space="preserve"> PAGEREF _Toc35962160 \h </w:instrText>
        </w:r>
        <w:r>
          <w:rPr>
            <w:noProof/>
            <w:webHidden/>
          </w:rPr>
        </w:r>
        <w:r>
          <w:rPr>
            <w:noProof/>
            <w:webHidden/>
          </w:rPr>
          <w:fldChar w:fldCharType="separate"/>
        </w:r>
        <w:r>
          <w:rPr>
            <w:noProof/>
            <w:webHidden/>
          </w:rPr>
          <w:t>53</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61" w:history="1">
        <w:r w:rsidRPr="00063F0E">
          <w:rPr>
            <w:rStyle w:val="a8"/>
            <w:noProof/>
          </w:rPr>
          <w:t xml:space="preserve">9.1 </w:t>
        </w:r>
        <w:r w:rsidRPr="00063F0E">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_Toc35962161 \h </w:instrText>
        </w:r>
        <w:r>
          <w:rPr>
            <w:noProof/>
            <w:webHidden/>
          </w:rPr>
        </w:r>
        <w:r>
          <w:rPr>
            <w:noProof/>
            <w:webHidden/>
          </w:rPr>
          <w:fldChar w:fldCharType="separate"/>
        </w:r>
        <w:r>
          <w:rPr>
            <w:noProof/>
            <w:webHidden/>
          </w:rPr>
          <w:t>53</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62" w:history="1">
        <w:r w:rsidRPr="00063F0E">
          <w:rPr>
            <w:rStyle w:val="a8"/>
            <w:noProof/>
          </w:rPr>
          <w:t xml:space="preserve">9.2 </w:t>
        </w:r>
        <w:r w:rsidRPr="00063F0E">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_Toc35962162 \h </w:instrText>
        </w:r>
        <w:r>
          <w:rPr>
            <w:noProof/>
            <w:webHidden/>
          </w:rPr>
        </w:r>
        <w:r>
          <w:rPr>
            <w:noProof/>
            <w:webHidden/>
          </w:rPr>
          <w:fldChar w:fldCharType="separate"/>
        </w:r>
        <w:r>
          <w:rPr>
            <w:noProof/>
            <w:webHidden/>
          </w:rPr>
          <w:t>53</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63" w:history="1">
        <w:r w:rsidRPr="00063F0E">
          <w:rPr>
            <w:rStyle w:val="a8"/>
            <w:noProof/>
          </w:rPr>
          <w:t>9.3</w:t>
        </w:r>
        <w:r w:rsidRPr="00063F0E">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_Toc35962163 \h </w:instrText>
        </w:r>
        <w:r>
          <w:rPr>
            <w:noProof/>
            <w:webHidden/>
          </w:rPr>
        </w:r>
        <w:r>
          <w:rPr>
            <w:noProof/>
            <w:webHidden/>
          </w:rPr>
          <w:fldChar w:fldCharType="separate"/>
        </w:r>
        <w:r>
          <w:rPr>
            <w:noProof/>
            <w:webHidden/>
          </w:rPr>
          <w:t>53</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64" w:history="1">
        <w:r w:rsidRPr="00063F0E">
          <w:rPr>
            <w:rStyle w:val="a8"/>
            <w:noProof/>
          </w:rPr>
          <w:t>9.4</w:t>
        </w:r>
        <w:r w:rsidRPr="00063F0E">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_Toc35962164 \h </w:instrText>
        </w:r>
        <w:r>
          <w:rPr>
            <w:noProof/>
            <w:webHidden/>
          </w:rPr>
        </w:r>
        <w:r>
          <w:rPr>
            <w:noProof/>
            <w:webHidden/>
          </w:rPr>
          <w:fldChar w:fldCharType="separate"/>
        </w:r>
        <w:r>
          <w:rPr>
            <w:noProof/>
            <w:webHidden/>
          </w:rPr>
          <w:t>54</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65" w:history="1">
        <w:r w:rsidRPr="00063F0E">
          <w:rPr>
            <w:rStyle w:val="a8"/>
            <w:b/>
            <w:bCs/>
            <w:noProof/>
          </w:rPr>
          <w:t xml:space="preserve">§10  </w:t>
        </w:r>
        <w:r w:rsidRPr="00063F0E">
          <w:rPr>
            <w:rStyle w:val="a8"/>
            <w:rFonts w:hint="eastAsia"/>
            <w:b/>
            <w:bCs/>
            <w:noProof/>
          </w:rPr>
          <w:t>开放式基金份额变动</w:t>
        </w:r>
        <w:r>
          <w:rPr>
            <w:noProof/>
            <w:webHidden/>
          </w:rPr>
          <w:tab/>
        </w:r>
        <w:r>
          <w:rPr>
            <w:noProof/>
            <w:webHidden/>
          </w:rPr>
          <w:fldChar w:fldCharType="begin"/>
        </w:r>
        <w:r>
          <w:rPr>
            <w:noProof/>
            <w:webHidden/>
          </w:rPr>
          <w:instrText xml:space="preserve"> PAGEREF _Toc35962165 \h </w:instrText>
        </w:r>
        <w:r>
          <w:rPr>
            <w:noProof/>
            <w:webHidden/>
          </w:rPr>
        </w:r>
        <w:r>
          <w:rPr>
            <w:noProof/>
            <w:webHidden/>
          </w:rPr>
          <w:fldChar w:fldCharType="separate"/>
        </w:r>
        <w:r>
          <w:rPr>
            <w:noProof/>
            <w:webHidden/>
          </w:rPr>
          <w:t>54</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66" w:history="1">
        <w:r w:rsidRPr="00063F0E">
          <w:rPr>
            <w:rStyle w:val="a8"/>
            <w:b/>
            <w:bCs/>
            <w:noProof/>
          </w:rPr>
          <w:t xml:space="preserve">§11  </w:t>
        </w:r>
        <w:r w:rsidRPr="00063F0E">
          <w:rPr>
            <w:rStyle w:val="a8"/>
            <w:rFonts w:hint="eastAsia"/>
            <w:b/>
            <w:bCs/>
            <w:noProof/>
          </w:rPr>
          <w:t>重大事件揭示</w:t>
        </w:r>
        <w:r>
          <w:rPr>
            <w:noProof/>
            <w:webHidden/>
          </w:rPr>
          <w:tab/>
        </w:r>
        <w:r>
          <w:rPr>
            <w:noProof/>
            <w:webHidden/>
          </w:rPr>
          <w:fldChar w:fldCharType="begin"/>
        </w:r>
        <w:r>
          <w:rPr>
            <w:noProof/>
            <w:webHidden/>
          </w:rPr>
          <w:instrText xml:space="preserve"> PAGEREF _Toc35962166 \h </w:instrText>
        </w:r>
        <w:r>
          <w:rPr>
            <w:noProof/>
            <w:webHidden/>
          </w:rPr>
        </w:r>
        <w:r>
          <w:rPr>
            <w:noProof/>
            <w:webHidden/>
          </w:rPr>
          <w:fldChar w:fldCharType="separate"/>
        </w:r>
        <w:r>
          <w:rPr>
            <w:noProof/>
            <w:webHidden/>
          </w:rPr>
          <w:t>54</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67" w:history="1">
        <w:r w:rsidRPr="00063F0E">
          <w:rPr>
            <w:rStyle w:val="a8"/>
            <w:noProof/>
          </w:rPr>
          <w:t>11.1</w:t>
        </w:r>
        <w:r w:rsidRPr="00063F0E">
          <w:rPr>
            <w:rStyle w:val="a8"/>
            <w:rFonts w:hint="eastAsia"/>
            <w:noProof/>
          </w:rPr>
          <w:t>基金份额持有人大会决议</w:t>
        </w:r>
        <w:r>
          <w:rPr>
            <w:noProof/>
            <w:webHidden/>
          </w:rPr>
          <w:tab/>
        </w:r>
        <w:r>
          <w:rPr>
            <w:noProof/>
            <w:webHidden/>
          </w:rPr>
          <w:fldChar w:fldCharType="begin"/>
        </w:r>
        <w:r>
          <w:rPr>
            <w:noProof/>
            <w:webHidden/>
          </w:rPr>
          <w:instrText xml:space="preserve"> PAGEREF _Toc35962167 \h </w:instrText>
        </w:r>
        <w:r>
          <w:rPr>
            <w:noProof/>
            <w:webHidden/>
          </w:rPr>
        </w:r>
        <w:r>
          <w:rPr>
            <w:noProof/>
            <w:webHidden/>
          </w:rPr>
          <w:fldChar w:fldCharType="separate"/>
        </w:r>
        <w:r>
          <w:rPr>
            <w:noProof/>
            <w:webHidden/>
          </w:rPr>
          <w:t>55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68" w:history="1">
        <w:r w:rsidRPr="00063F0E">
          <w:rPr>
            <w:rStyle w:val="a8"/>
            <w:noProof/>
          </w:rPr>
          <w:t>11.2</w:t>
        </w:r>
        <w:r w:rsidRPr="00063F0E">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_Toc35962168 \h </w:instrText>
        </w:r>
        <w:r>
          <w:rPr>
            <w:noProof/>
            <w:webHidden/>
          </w:rPr>
        </w:r>
        <w:r>
          <w:rPr>
            <w:noProof/>
            <w:webHidden/>
          </w:rPr>
          <w:fldChar w:fldCharType="separate"/>
        </w:r>
        <w:r>
          <w:rPr>
            <w:noProof/>
            <w:webHidden/>
          </w:rPr>
          <w:t>55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69" w:history="1">
        <w:r w:rsidRPr="00063F0E">
          <w:rPr>
            <w:rStyle w:val="a8"/>
            <w:noProof/>
          </w:rPr>
          <w:t xml:space="preserve">11.3 </w:t>
        </w:r>
        <w:r w:rsidRPr="00063F0E">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_Toc35962169 \h </w:instrText>
        </w:r>
        <w:r>
          <w:rPr>
            <w:noProof/>
            <w:webHidden/>
          </w:rPr>
        </w:r>
        <w:r>
          <w:rPr>
            <w:noProof/>
            <w:webHidden/>
          </w:rPr>
          <w:fldChar w:fldCharType="separate"/>
        </w:r>
        <w:r>
          <w:rPr>
            <w:noProof/>
            <w:webHidden/>
          </w:rPr>
          <w:t>55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70" w:history="1">
        <w:r w:rsidRPr="00063F0E">
          <w:rPr>
            <w:rStyle w:val="a8"/>
            <w:noProof/>
          </w:rPr>
          <w:t>11.5</w:t>
        </w:r>
        <w:r w:rsidRPr="00063F0E">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_Toc35962170 \h </w:instrText>
        </w:r>
        <w:r>
          <w:rPr>
            <w:noProof/>
            <w:webHidden/>
          </w:rPr>
        </w:r>
        <w:r>
          <w:rPr>
            <w:noProof/>
            <w:webHidden/>
          </w:rPr>
          <w:fldChar w:fldCharType="separate"/>
        </w:r>
        <w:r>
          <w:rPr>
            <w:noProof/>
            <w:webHidden/>
          </w:rPr>
          <w:t>55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71" w:history="1">
        <w:r w:rsidRPr="00063F0E">
          <w:rPr>
            <w:rStyle w:val="a8"/>
            <w:noProof/>
          </w:rPr>
          <w:t xml:space="preserve">11.6 </w:t>
        </w:r>
        <w:r w:rsidRPr="00063F0E">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_Toc35962171 \h </w:instrText>
        </w:r>
        <w:r>
          <w:rPr>
            <w:noProof/>
            <w:webHidden/>
          </w:rPr>
        </w:r>
        <w:r>
          <w:rPr>
            <w:noProof/>
            <w:webHidden/>
          </w:rPr>
          <w:fldChar w:fldCharType="separate"/>
        </w:r>
        <w:r>
          <w:rPr>
            <w:noProof/>
            <w:webHidden/>
          </w:rPr>
          <w:t>55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72" w:history="1">
        <w:r w:rsidRPr="00063F0E">
          <w:rPr>
            <w:rStyle w:val="a8"/>
            <w:noProof/>
          </w:rPr>
          <w:t xml:space="preserve">11.7 </w:t>
        </w:r>
        <w:r w:rsidRPr="00063F0E">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_Toc35962172 \h </w:instrText>
        </w:r>
        <w:r>
          <w:rPr>
            <w:noProof/>
            <w:webHidden/>
          </w:rPr>
        </w:r>
        <w:r>
          <w:rPr>
            <w:noProof/>
            <w:webHidden/>
          </w:rPr>
          <w:fldChar w:fldCharType="separate"/>
        </w:r>
        <w:r>
          <w:rPr>
            <w:noProof/>
            <w:webHidden/>
          </w:rPr>
          <w:t>55</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73" w:history="1">
        <w:r w:rsidRPr="00063F0E">
          <w:rPr>
            <w:rStyle w:val="a8"/>
            <w:noProof/>
          </w:rPr>
          <w:t>11.8</w:t>
        </w:r>
        <w:r w:rsidRPr="00063F0E">
          <w:rPr>
            <w:rStyle w:val="a8"/>
            <w:rFonts w:hint="eastAsia"/>
            <w:noProof/>
          </w:rPr>
          <w:t>偏离度绝对值超过</w:t>
        </w:r>
        <w:r w:rsidRPr="00063F0E">
          <w:rPr>
            <w:rStyle w:val="a8"/>
            <w:noProof/>
          </w:rPr>
          <w:t>0.5%</w:t>
        </w:r>
        <w:r w:rsidRPr="00063F0E">
          <w:rPr>
            <w:rStyle w:val="a8"/>
            <w:rFonts w:hint="eastAsia"/>
            <w:noProof/>
          </w:rPr>
          <w:t>的情况</w:t>
        </w:r>
        <w:r>
          <w:rPr>
            <w:noProof/>
            <w:webHidden/>
          </w:rPr>
          <w:tab/>
        </w:r>
        <w:r>
          <w:rPr>
            <w:noProof/>
            <w:webHidden/>
          </w:rPr>
          <w:fldChar w:fldCharType="begin"/>
        </w:r>
        <w:r>
          <w:rPr>
            <w:noProof/>
            <w:webHidden/>
          </w:rPr>
          <w:instrText xml:space="preserve"> PAGEREF _Toc35962173 \h </w:instrText>
        </w:r>
        <w:r>
          <w:rPr>
            <w:noProof/>
            <w:webHidden/>
          </w:rPr>
        </w:r>
        <w:r>
          <w:rPr>
            <w:noProof/>
            <w:webHidden/>
          </w:rPr>
          <w:fldChar w:fldCharType="separate"/>
        </w:r>
        <w:r>
          <w:rPr>
            <w:noProof/>
            <w:webHidden/>
          </w:rPr>
          <w:t>56</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74" w:history="1">
        <w:r w:rsidRPr="00063F0E">
          <w:rPr>
            <w:rStyle w:val="a8"/>
            <w:noProof/>
          </w:rPr>
          <w:t>11.9</w:t>
        </w:r>
        <w:r w:rsidRPr="00063F0E">
          <w:rPr>
            <w:rStyle w:val="a8"/>
            <w:rFonts w:hint="eastAsia"/>
            <w:noProof/>
          </w:rPr>
          <w:t>其他重大事件</w:t>
        </w:r>
        <w:r>
          <w:rPr>
            <w:noProof/>
            <w:webHidden/>
          </w:rPr>
          <w:tab/>
        </w:r>
        <w:r>
          <w:rPr>
            <w:noProof/>
            <w:webHidden/>
          </w:rPr>
          <w:fldChar w:fldCharType="begin"/>
        </w:r>
        <w:r>
          <w:rPr>
            <w:noProof/>
            <w:webHidden/>
          </w:rPr>
          <w:instrText xml:space="preserve"> PAGEREF _Toc35962174 \h </w:instrText>
        </w:r>
        <w:r>
          <w:rPr>
            <w:noProof/>
            <w:webHidden/>
          </w:rPr>
        </w:r>
        <w:r>
          <w:rPr>
            <w:noProof/>
            <w:webHidden/>
          </w:rPr>
          <w:fldChar w:fldCharType="separate"/>
        </w:r>
        <w:r>
          <w:rPr>
            <w:noProof/>
            <w:webHidden/>
          </w:rPr>
          <w:t>56</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75" w:history="1">
        <w:r w:rsidRPr="00063F0E">
          <w:rPr>
            <w:rStyle w:val="a8"/>
            <w:b/>
            <w:bCs/>
            <w:noProof/>
          </w:rPr>
          <w:t xml:space="preserve">§12  </w:t>
        </w:r>
        <w:r w:rsidRPr="00063F0E">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_Toc35962175 \h </w:instrText>
        </w:r>
        <w:r>
          <w:rPr>
            <w:noProof/>
            <w:webHidden/>
          </w:rPr>
        </w:r>
        <w:r>
          <w:rPr>
            <w:noProof/>
            <w:webHidden/>
          </w:rPr>
          <w:fldChar w:fldCharType="separate"/>
        </w:r>
        <w:r>
          <w:rPr>
            <w:noProof/>
            <w:webHidden/>
          </w:rPr>
          <w:t>58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76" w:history="1">
        <w:r w:rsidRPr="00063F0E">
          <w:rPr>
            <w:rStyle w:val="a8"/>
            <w:noProof/>
          </w:rPr>
          <w:t xml:space="preserve">12.1 </w:t>
        </w:r>
        <w:r w:rsidRPr="00063F0E">
          <w:rPr>
            <w:rStyle w:val="a8"/>
            <w:rFonts w:hint="eastAsia"/>
            <w:noProof/>
          </w:rPr>
          <w:t>报告期内单一投资者持有基金份额比例达到或超过</w:t>
        </w:r>
        <w:r w:rsidRPr="00063F0E">
          <w:rPr>
            <w:rStyle w:val="a8"/>
            <w:noProof/>
          </w:rPr>
          <w:t>20%</w:t>
        </w:r>
        <w:r w:rsidRPr="00063F0E">
          <w:rPr>
            <w:rStyle w:val="a8"/>
            <w:rFonts w:hint="eastAsia"/>
            <w:noProof/>
          </w:rPr>
          <w:t>的情况</w:t>
        </w:r>
        <w:r>
          <w:rPr>
            <w:noProof/>
            <w:webHidden/>
          </w:rPr>
          <w:tab/>
        </w:r>
        <w:r>
          <w:rPr>
            <w:noProof/>
            <w:webHidden/>
          </w:rPr>
          <w:fldChar w:fldCharType="begin"/>
        </w:r>
        <w:r>
          <w:rPr>
            <w:noProof/>
            <w:webHidden/>
          </w:rPr>
          <w:instrText xml:space="preserve"> PAGEREF _Toc35962176 \h </w:instrText>
        </w:r>
        <w:r>
          <w:rPr>
            <w:noProof/>
            <w:webHidden/>
          </w:rPr>
        </w:r>
        <w:r>
          <w:rPr>
            <w:noProof/>
            <w:webHidden/>
          </w:rPr>
          <w:fldChar w:fldCharType="separate"/>
        </w:r>
        <w:r>
          <w:rPr>
            <w:noProof/>
            <w:webHidden/>
          </w:rPr>
          <w:t>58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77" w:history="1">
        <w:r w:rsidRPr="00063F0E">
          <w:rPr>
            <w:rStyle w:val="a8"/>
            <w:noProof/>
          </w:rPr>
          <w:t xml:space="preserve">12.2 </w:t>
        </w:r>
        <w:r w:rsidRPr="00063F0E">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_Toc35962177 \h </w:instrText>
        </w:r>
        <w:r>
          <w:rPr>
            <w:noProof/>
            <w:webHidden/>
          </w:rPr>
        </w:r>
        <w:r>
          <w:rPr>
            <w:noProof/>
            <w:webHidden/>
          </w:rPr>
          <w:fldChar w:fldCharType="separate"/>
        </w:r>
        <w:r>
          <w:rPr>
            <w:noProof/>
            <w:webHidden/>
          </w:rPr>
          <w:t>58</w:t>
        </w:r>
        <w:r>
          <w:rPr>
            <w:noProof/>
            <w:webHidden/>
          </w:rPr>
          <w:fldChar w:fldCharType="end"/>
        </w:r>
      </w:hyperlink>
    </w:p>
    <w:p w:rsidR="000D38FD" w:rsidRDefault="000D38FD">
      <w:pPr>
        <w:pStyle w:val="11"/>
        <w:rPr>
          <w:rFonts w:asciiTheme="minorHAnsi" w:eastAsiaTheme="minorEastAsia" w:hAnsiTheme="minorHAnsi" w:cstheme="minorBidi"/>
          <w:noProof/>
          <w:szCs w:val="22"/>
        </w:rPr>
      </w:pPr>
      <w:hyperlink w:anchor="_Toc35962178" w:history="1">
        <w:r w:rsidRPr="00063F0E">
          <w:rPr>
            <w:rStyle w:val="a8"/>
            <w:b/>
            <w:bCs/>
            <w:noProof/>
          </w:rPr>
          <w:t xml:space="preserve">§13  </w:t>
        </w:r>
        <w:r w:rsidRPr="00063F0E">
          <w:rPr>
            <w:rStyle w:val="a8"/>
            <w:rFonts w:hint="eastAsia"/>
            <w:b/>
            <w:bCs/>
            <w:noProof/>
          </w:rPr>
          <w:t>备查文件目录</w:t>
        </w:r>
        <w:r>
          <w:rPr>
            <w:noProof/>
            <w:webHidden/>
          </w:rPr>
          <w:tab/>
        </w:r>
        <w:r>
          <w:rPr>
            <w:noProof/>
            <w:webHidden/>
          </w:rPr>
          <w:fldChar w:fldCharType="begin"/>
        </w:r>
        <w:r>
          <w:rPr>
            <w:noProof/>
            <w:webHidden/>
          </w:rPr>
          <w:instrText xml:space="preserve"> PAGEREF _Toc35962178 \h </w:instrText>
        </w:r>
        <w:r>
          <w:rPr>
            <w:noProof/>
            <w:webHidden/>
          </w:rPr>
        </w:r>
        <w:r>
          <w:rPr>
            <w:noProof/>
            <w:webHidden/>
          </w:rPr>
          <w:fldChar w:fldCharType="separate"/>
        </w:r>
        <w:r>
          <w:rPr>
            <w:noProof/>
            <w:webHidden/>
          </w:rPr>
          <w:t>58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79" w:history="1">
        <w:r w:rsidRPr="00063F0E">
          <w:rPr>
            <w:rStyle w:val="a8"/>
            <w:noProof/>
          </w:rPr>
          <w:t>13.1</w:t>
        </w:r>
        <w:r w:rsidRPr="00063F0E">
          <w:rPr>
            <w:rStyle w:val="a8"/>
            <w:rFonts w:hint="eastAsia"/>
            <w:noProof/>
          </w:rPr>
          <w:t>备查文件目录</w:t>
        </w:r>
        <w:r>
          <w:rPr>
            <w:noProof/>
            <w:webHidden/>
          </w:rPr>
          <w:tab/>
        </w:r>
        <w:r>
          <w:rPr>
            <w:noProof/>
            <w:webHidden/>
          </w:rPr>
          <w:fldChar w:fldCharType="begin"/>
        </w:r>
        <w:r>
          <w:rPr>
            <w:noProof/>
            <w:webHidden/>
          </w:rPr>
          <w:instrText xml:space="preserve"> PAGEREF _Toc35962179 \h </w:instrText>
        </w:r>
        <w:r>
          <w:rPr>
            <w:noProof/>
            <w:webHidden/>
          </w:rPr>
        </w:r>
        <w:r>
          <w:rPr>
            <w:noProof/>
            <w:webHidden/>
          </w:rPr>
          <w:fldChar w:fldCharType="separate"/>
        </w:r>
        <w:r>
          <w:rPr>
            <w:noProof/>
            <w:webHidden/>
          </w:rPr>
          <w:t>58</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80" w:history="1">
        <w:r w:rsidRPr="00063F0E">
          <w:rPr>
            <w:rStyle w:val="a8"/>
            <w:noProof/>
          </w:rPr>
          <w:t>13.2</w:t>
        </w:r>
        <w:r w:rsidRPr="00063F0E">
          <w:rPr>
            <w:rStyle w:val="a8"/>
            <w:rFonts w:hint="eastAsia"/>
            <w:noProof/>
          </w:rPr>
          <w:t>存放地点</w:t>
        </w:r>
        <w:r>
          <w:rPr>
            <w:noProof/>
            <w:webHidden/>
          </w:rPr>
          <w:tab/>
        </w:r>
        <w:r>
          <w:rPr>
            <w:noProof/>
            <w:webHidden/>
          </w:rPr>
          <w:fldChar w:fldCharType="begin"/>
        </w:r>
        <w:r>
          <w:rPr>
            <w:noProof/>
            <w:webHidden/>
          </w:rPr>
          <w:instrText xml:space="preserve"> PAGEREF _Toc35962180 \h </w:instrText>
        </w:r>
        <w:r>
          <w:rPr>
            <w:noProof/>
            <w:webHidden/>
          </w:rPr>
        </w:r>
        <w:r>
          <w:rPr>
            <w:noProof/>
            <w:webHidden/>
          </w:rPr>
          <w:fldChar w:fldCharType="separate"/>
        </w:r>
        <w:r>
          <w:rPr>
            <w:noProof/>
            <w:webHidden/>
          </w:rPr>
          <w:t>59</w:t>
        </w:r>
        <w:r>
          <w:rPr>
            <w:noProof/>
            <w:webHidden/>
          </w:rPr>
          <w:fldChar w:fldCharType="end"/>
        </w:r>
      </w:hyperlink>
    </w:p>
    <w:p w:rsidR="000D38FD" w:rsidRDefault="000D38FD">
      <w:pPr>
        <w:pStyle w:val="22"/>
        <w:ind w:left="420"/>
        <w:rPr>
          <w:rFonts w:asciiTheme="minorHAnsi" w:eastAsiaTheme="minorEastAsia" w:hAnsiTheme="minorHAnsi" w:cstheme="minorBidi"/>
          <w:noProof/>
          <w:kern w:val="2"/>
          <w:szCs w:val="22"/>
        </w:rPr>
      </w:pPr>
      <w:hyperlink w:anchor="_Toc35962181" w:history="1">
        <w:r w:rsidRPr="00063F0E">
          <w:rPr>
            <w:rStyle w:val="a8"/>
            <w:noProof/>
          </w:rPr>
          <w:t>13.3</w:t>
        </w:r>
        <w:r w:rsidRPr="00063F0E">
          <w:rPr>
            <w:rStyle w:val="a8"/>
            <w:rFonts w:hint="eastAsia"/>
            <w:noProof/>
          </w:rPr>
          <w:t>查阅方式</w:t>
        </w:r>
        <w:r>
          <w:rPr>
            <w:noProof/>
            <w:webHidden/>
          </w:rPr>
          <w:tab/>
        </w:r>
        <w:r>
          <w:rPr>
            <w:noProof/>
            <w:webHidden/>
          </w:rPr>
          <w:fldChar w:fldCharType="begin"/>
        </w:r>
        <w:r>
          <w:rPr>
            <w:noProof/>
            <w:webHidden/>
          </w:rPr>
          <w:instrText xml:space="preserve"> PAGEREF _Toc35962181 \h </w:instrText>
        </w:r>
        <w:r>
          <w:rPr>
            <w:noProof/>
            <w:webHidden/>
          </w:rPr>
        </w:r>
        <w:r>
          <w:rPr>
            <w:noProof/>
            <w:webHidden/>
          </w:rPr>
          <w:fldChar w:fldCharType="separate"/>
        </w:r>
        <w:r>
          <w:rPr>
            <w:noProof/>
            <w:webHidden/>
          </w:rPr>
          <w:t>59</w:t>
        </w:r>
        <w:r>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bookmarkEnd w:id="2"/>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35962117"/>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35962118"/>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交银施罗德活期通货币市场基金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交银活期通货币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003042</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7</w:t>
            </w:r>
            <w:r w:rsidRPr="00143EB4">
              <w:rPr>
                <w:sz w:val="24"/>
              </w:rPr>
              <w:t>月</w:t>
            </w:r>
            <w:r w:rsidRPr="00143EB4">
              <w:rPr>
                <w:sz w:val="24"/>
              </w:rPr>
              <w:t>27</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中信建投证券股份有限公司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34,869,253,794.19</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交银活期通货币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交银活期通货币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003042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003043</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15,697,243,072.19</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19,172,010,722.00</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35962119"/>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35962120"/>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中信建投证券股份有限公司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朱志明</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4008-888-108</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service@csc.com.cn</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95587</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010-85130975</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北京市朝阳区安立路</w:t>
            </w:r>
            <w:r w:rsidRPr="00EB1150">
              <w:rPr>
                <w:rFonts w:hint="eastAsia"/>
                <w:kern w:val="0"/>
                <w:sz w:val="24"/>
              </w:rPr>
              <w:t>66</w:t>
            </w:r>
            <w:r w:rsidRPr="00EB1150">
              <w:rPr>
                <w:rFonts w:hint="eastAsia"/>
                <w:kern w:val="0"/>
                <w:sz w:val="24"/>
              </w:rPr>
              <w:t>号</w:t>
            </w:r>
            <w:r w:rsidRPr="00EB1150">
              <w:rPr>
                <w:rFonts w:hint="eastAsia"/>
                <w:kern w:val="0"/>
                <w:sz w:val="24"/>
              </w:rPr>
              <w:t>4</w:t>
            </w:r>
            <w:r w:rsidRPr="00EB1150">
              <w:rPr>
                <w:rFonts w:hint="eastAsia"/>
                <w:kern w:val="0"/>
                <w:sz w:val="24"/>
              </w:rPr>
              <w:t>号楼</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北京市东城区朝阳门内大街</w:t>
            </w:r>
            <w:r w:rsidRPr="00EB1150">
              <w:rPr>
                <w:rFonts w:hint="eastAsia"/>
                <w:kern w:val="0"/>
                <w:sz w:val="24"/>
              </w:rPr>
              <w:t>2</w:t>
            </w:r>
            <w:r w:rsidRPr="00EB1150">
              <w:rPr>
                <w:rFonts w:hint="eastAsia"/>
                <w:kern w:val="0"/>
                <w:sz w:val="24"/>
              </w:rPr>
              <w:t>号凯恒中心</w:t>
            </w:r>
            <w:r w:rsidRPr="00EB1150">
              <w:rPr>
                <w:rFonts w:hint="eastAsia"/>
                <w:kern w:val="0"/>
                <w:sz w:val="24"/>
              </w:rPr>
              <w:t>B</w:t>
            </w:r>
            <w:r w:rsidRPr="00EB1150">
              <w:rPr>
                <w:rFonts w:hint="eastAsia"/>
                <w:kern w:val="0"/>
                <w:sz w:val="24"/>
              </w:rPr>
              <w:t>座</w:t>
            </w:r>
            <w:r w:rsidRPr="00EB1150">
              <w:rPr>
                <w:rFonts w:hint="eastAsia"/>
                <w:kern w:val="0"/>
                <w:sz w:val="24"/>
              </w:rPr>
              <w:t>10</w:t>
            </w:r>
            <w:r w:rsidRPr="00EB1150">
              <w:rPr>
                <w:rFonts w:hint="eastAsia"/>
                <w:kern w:val="0"/>
                <w:sz w:val="24"/>
              </w:rPr>
              <w:t>层</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100010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王常青</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35962121"/>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35962122"/>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35962123"/>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35962124"/>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2019</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lastRenderedPageBreak/>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435,753,223.03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545,596,394.29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709,597,201.15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465,201,589.23</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183,743,134.07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96,204,671.50</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435,753,223.03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545,596,394.29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709,597,201.15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465,201,589.23</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183,743,134.07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96,204,671.50</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2.45%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2.70%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3.57%</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3.82%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3.81%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4.05%</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15,697,243,072.19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19,172,010,722.00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21,397,072,050.70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17,301,424,614.68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10,949,621,912.61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13,008,533,546.24</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2018</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交银活期通货币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交银活期通货币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交银活期通货币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交银活期通货币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交银活期通货币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11.31%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12.22%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8.64%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9.27%</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4.90%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5.25%</w:t>
            </w:r>
          </w:p>
        </w:tc>
      </w:tr>
    </w:tbl>
    <w:p w:rsidR="00651D53" w:rsidRDefault="00702C7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651D53" w:rsidRDefault="00702C7E">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651D53" w:rsidRDefault="00702C7E">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35962125"/>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．交银活期通货币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651D53">
        <w:tc>
          <w:tcPr>
            <w:tcW w:w="1600" w:type="dxa"/>
            <w:vAlign w:val="center"/>
          </w:tcPr>
          <w:p w:rsidR="00651D53" w:rsidRDefault="00702C7E">
            <w:pPr>
              <w:jc w:val="left"/>
            </w:pPr>
            <w:r>
              <w:rPr>
                <w:sz w:val="24"/>
              </w:rPr>
              <w:lastRenderedPageBreak/>
              <w:t>过去三个月</w:t>
            </w:r>
          </w:p>
        </w:tc>
        <w:tc>
          <w:tcPr>
            <w:tcW w:w="1233" w:type="dxa"/>
            <w:vAlign w:val="center"/>
          </w:tcPr>
          <w:p w:rsidR="00651D53" w:rsidRDefault="00702C7E">
            <w:pPr>
              <w:jc w:val="center"/>
            </w:pPr>
            <w:r>
              <w:rPr>
                <w:sz w:val="24"/>
              </w:rPr>
              <w:t>0.6151%</w:t>
            </w:r>
          </w:p>
        </w:tc>
        <w:tc>
          <w:tcPr>
            <w:tcW w:w="1233" w:type="dxa"/>
            <w:vAlign w:val="center"/>
          </w:tcPr>
          <w:p w:rsidR="00651D53" w:rsidRDefault="00702C7E">
            <w:pPr>
              <w:jc w:val="center"/>
            </w:pPr>
            <w:r>
              <w:rPr>
                <w:sz w:val="24"/>
              </w:rPr>
              <w:t>0.0010%</w:t>
            </w:r>
          </w:p>
        </w:tc>
        <w:tc>
          <w:tcPr>
            <w:tcW w:w="1233" w:type="dxa"/>
            <w:vAlign w:val="center"/>
          </w:tcPr>
          <w:p w:rsidR="00651D53" w:rsidRDefault="00702C7E">
            <w:pPr>
              <w:jc w:val="center"/>
            </w:pPr>
            <w:r>
              <w:rPr>
                <w:sz w:val="24"/>
              </w:rPr>
              <w:t>0.0882%</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0.5269%</w:t>
            </w:r>
          </w:p>
        </w:tc>
        <w:tc>
          <w:tcPr>
            <w:tcW w:w="1233" w:type="dxa"/>
            <w:vAlign w:val="center"/>
          </w:tcPr>
          <w:p w:rsidR="00651D53" w:rsidRDefault="00702C7E">
            <w:pPr>
              <w:jc w:val="center"/>
            </w:pPr>
            <w:r>
              <w:rPr>
                <w:sz w:val="24"/>
              </w:rPr>
              <w:t>0.0010%</w:t>
            </w:r>
          </w:p>
        </w:tc>
      </w:tr>
      <w:tr w:rsidR="00651D53">
        <w:tc>
          <w:tcPr>
            <w:tcW w:w="1600" w:type="dxa"/>
            <w:vAlign w:val="center"/>
          </w:tcPr>
          <w:p w:rsidR="00651D53" w:rsidRDefault="00702C7E">
            <w:pPr>
              <w:jc w:val="left"/>
            </w:pPr>
            <w:r>
              <w:rPr>
                <w:sz w:val="24"/>
              </w:rPr>
              <w:t>过去六个月</w:t>
            </w:r>
          </w:p>
        </w:tc>
        <w:tc>
          <w:tcPr>
            <w:tcW w:w="1233" w:type="dxa"/>
            <w:vAlign w:val="center"/>
          </w:tcPr>
          <w:p w:rsidR="00651D53" w:rsidRDefault="00702C7E">
            <w:pPr>
              <w:jc w:val="center"/>
            </w:pPr>
            <w:r>
              <w:rPr>
                <w:sz w:val="24"/>
              </w:rPr>
              <w:t>1.2195%</w:t>
            </w:r>
          </w:p>
        </w:tc>
        <w:tc>
          <w:tcPr>
            <w:tcW w:w="1233" w:type="dxa"/>
            <w:vAlign w:val="center"/>
          </w:tcPr>
          <w:p w:rsidR="00651D53" w:rsidRDefault="00702C7E">
            <w:pPr>
              <w:jc w:val="center"/>
            </w:pPr>
            <w:r>
              <w:rPr>
                <w:sz w:val="24"/>
              </w:rPr>
              <w:t>0.0009%</w:t>
            </w:r>
          </w:p>
        </w:tc>
        <w:tc>
          <w:tcPr>
            <w:tcW w:w="1233" w:type="dxa"/>
            <w:vAlign w:val="center"/>
          </w:tcPr>
          <w:p w:rsidR="00651D53" w:rsidRDefault="00702C7E">
            <w:pPr>
              <w:jc w:val="center"/>
            </w:pPr>
            <w:r>
              <w:rPr>
                <w:sz w:val="24"/>
              </w:rPr>
              <w:t>0.1764%</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1.0431%</w:t>
            </w:r>
          </w:p>
        </w:tc>
        <w:tc>
          <w:tcPr>
            <w:tcW w:w="1233" w:type="dxa"/>
            <w:vAlign w:val="center"/>
          </w:tcPr>
          <w:p w:rsidR="00651D53" w:rsidRDefault="00702C7E">
            <w:pPr>
              <w:jc w:val="center"/>
            </w:pPr>
            <w:r>
              <w:rPr>
                <w:sz w:val="24"/>
              </w:rPr>
              <w:t>0.0009%</w:t>
            </w:r>
          </w:p>
        </w:tc>
      </w:tr>
      <w:tr w:rsidR="00651D53">
        <w:tc>
          <w:tcPr>
            <w:tcW w:w="1600" w:type="dxa"/>
            <w:vAlign w:val="center"/>
          </w:tcPr>
          <w:p w:rsidR="00651D53" w:rsidRDefault="00702C7E">
            <w:pPr>
              <w:jc w:val="left"/>
            </w:pPr>
            <w:r>
              <w:rPr>
                <w:sz w:val="24"/>
              </w:rPr>
              <w:t>过去一年</w:t>
            </w:r>
          </w:p>
        </w:tc>
        <w:tc>
          <w:tcPr>
            <w:tcW w:w="1233" w:type="dxa"/>
            <w:vAlign w:val="center"/>
          </w:tcPr>
          <w:p w:rsidR="00651D53" w:rsidRDefault="00702C7E">
            <w:pPr>
              <w:jc w:val="center"/>
            </w:pPr>
            <w:r>
              <w:rPr>
                <w:sz w:val="24"/>
              </w:rPr>
              <w:t>2.4544%</w:t>
            </w:r>
          </w:p>
        </w:tc>
        <w:tc>
          <w:tcPr>
            <w:tcW w:w="1233" w:type="dxa"/>
            <w:vAlign w:val="center"/>
          </w:tcPr>
          <w:p w:rsidR="00651D53" w:rsidRDefault="00702C7E">
            <w:pPr>
              <w:jc w:val="center"/>
            </w:pPr>
            <w:r>
              <w:rPr>
                <w:sz w:val="24"/>
              </w:rPr>
              <w:t>0.0009%</w:t>
            </w:r>
          </w:p>
        </w:tc>
        <w:tc>
          <w:tcPr>
            <w:tcW w:w="1233" w:type="dxa"/>
            <w:vAlign w:val="center"/>
          </w:tcPr>
          <w:p w:rsidR="00651D53" w:rsidRDefault="00702C7E">
            <w:pPr>
              <w:jc w:val="center"/>
            </w:pPr>
            <w:r>
              <w:rPr>
                <w:sz w:val="24"/>
              </w:rPr>
              <w:t>0.3500%</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2.1044%</w:t>
            </w:r>
          </w:p>
        </w:tc>
        <w:tc>
          <w:tcPr>
            <w:tcW w:w="1233" w:type="dxa"/>
            <w:vAlign w:val="center"/>
          </w:tcPr>
          <w:p w:rsidR="00651D53" w:rsidRDefault="00702C7E">
            <w:pPr>
              <w:jc w:val="center"/>
            </w:pPr>
            <w:r>
              <w:rPr>
                <w:sz w:val="24"/>
              </w:rPr>
              <w:t>0.0009%</w:t>
            </w:r>
          </w:p>
        </w:tc>
      </w:tr>
      <w:tr w:rsidR="00651D53">
        <w:tc>
          <w:tcPr>
            <w:tcW w:w="1600" w:type="dxa"/>
            <w:vAlign w:val="center"/>
          </w:tcPr>
          <w:p w:rsidR="00651D53" w:rsidRDefault="00702C7E">
            <w:pPr>
              <w:jc w:val="left"/>
            </w:pPr>
            <w:r>
              <w:rPr>
                <w:sz w:val="24"/>
              </w:rPr>
              <w:t>过去三年</w:t>
            </w:r>
          </w:p>
        </w:tc>
        <w:tc>
          <w:tcPr>
            <w:tcW w:w="1233" w:type="dxa"/>
            <w:vAlign w:val="center"/>
          </w:tcPr>
          <w:p w:rsidR="00651D53" w:rsidRDefault="00702C7E">
            <w:pPr>
              <w:jc w:val="center"/>
            </w:pPr>
            <w:r>
              <w:rPr>
                <w:sz w:val="24"/>
              </w:rPr>
              <w:t>10.1507%</w:t>
            </w:r>
          </w:p>
        </w:tc>
        <w:tc>
          <w:tcPr>
            <w:tcW w:w="1233" w:type="dxa"/>
            <w:vAlign w:val="center"/>
          </w:tcPr>
          <w:p w:rsidR="00651D53" w:rsidRDefault="00702C7E">
            <w:pPr>
              <w:jc w:val="center"/>
            </w:pPr>
            <w:r>
              <w:rPr>
                <w:sz w:val="24"/>
              </w:rPr>
              <w:t>0.0020%</w:t>
            </w:r>
          </w:p>
        </w:tc>
        <w:tc>
          <w:tcPr>
            <w:tcW w:w="1233" w:type="dxa"/>
            <w:vAlign w:val="center"/>
          </w:tcPr>
          <w:p w:rsidR="00651D53" w:rsidRDefault="00702C7E">
            <w:pPr>
              <w:jc w:val="center"/>
            </w:pPr>
            <w:r>
              <w:rPr>
                <w:sz w:val="24"/>
              </w:rPr>
              <w:t>1.0500%</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9.1007%</w:t>
            </w:r>
          </w:p>
        </w:tc>
        <w:tc>
          <w:tcPr>
            <w:tcW w:w="1233" w:type="dxa"/>
            <w:vAlign w:val="center"/>
          </w:tcPr>
          <w:p w:rsidR="00651D53" w:rsidRDefault="00702C7E">
            <w:pPr>
              <w:jc w:val="center"/>
            </w:pPr>
            <w:r>
              <w:rPr>
                <w:sz w:val="24"/>
              </w:rPr>
              <w:t>0.0020%</w:t>
            </w:r>
          </w:p>
        </w:tc>
      </w:tr>
      <w:tr w:rsidR="00651D53">
        <w:tc>
          <w:tcPr>
            <w:tcW w:w="1600" w:type="dxa"/>
            <w:vAlign w:val="center"/>
          </w:tcPr>
          <w:p w:rsidR="00651D53" w:rsidRDefault="00702C7E">
            <w:pPr>
              <w:jc w:val="left"/>
            </w:pPr>
            <w:r>
              <w:rPr>
                <w:sz w:val="24"/>
              </w:rPr>
              <w:t>自基金合同生效起至今</w:t>
            </w:r>
          </w:p>
        </w:tc>
        <w:tc>
          <w:tcPr>
            <w:tcW w:w="1233" w:type="dxa"/>
            <w:vAlign w:val="center"/>
          </w:tcPr>
          <w:p w:rsidR="00651D53" w:rsidRDefault="00702C7E">
            <w:pPr>
              <w:jc w:val="center"/>
            </w:pPr>
            <w:r>
              <w:rPr>
                <w:sz w:val="24"/>
              </w:rPr>
              <w:t>11.3066%</w:t>
            </w:r>
          </w:p>
        </w:tc>
        <w:tc>
          <w:tcPr>
            <w:tcW w:w="1233" w:type="dxa"/>
            <w:vAlign w:val="center"/>
          </w:tcPr>
          <w:p w:rsidR="00651D53" w:rsidRDefault="00702C7E">
            <w:pPr>
              <w:jc w:val="center"/>
            </w:pPr>
            <w:r>
              <w:rPr>
                <w:sz w:val="24"/>
              </w:rPr>
              <w:t>0.0020%</w:t>
            </w:r>
          </w:p>
        </w:tc>
        <w:tc>
          <w:tcPr>
            <w:tcW w:w="1233" w:type="dxa"/>
            <w:vAlign w:val="center"/>
          </w:tcPr>
          <w:p w:rsidR="00651D53" w:rsidRDefault="00702C7E">
            <w:pPr>
              <w:jc w:val="center"/>
            </w:pPr>
            <w:r>
              <w:rPr>
                <w:sz w:val="24"/>
              </w:rPr>
              <w:t>1.2015%</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10.1051%</w:t>
            </w:r>
          </w:p>
        </w:tc>
        <w:tc>
          <w:tcPr>
            <w:tcW w:w="1233" w:type="dxa"/>
            <w:vAlign w:val="center"/>
          </w:tcPr>
          <w:p w:rsidR="00651D53" w:rsidRDefault="00702C7E">
            <w:pPr>
              <w:jc w:val="center"/>
            </w:pPr>
            <w:r>
              <w:rPr>
                <w:sz w:val="24"/>
              </w:rPr>
              <w:t>0.0020%</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交银活期通货币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651D53">
        <w:tc>
          <w:tcPr>
            <w:tcW w:w="1600" w:type="dxa"/>
            <w:vAlign w:val="center"/>
          </w:tcPr>
          <w:p w:rsidR="00651D53" w:rsidRDefault="00702C7E">
            <w:pPr>
              <w:jc w:val="left"/>
            </w:pPr>
            <w:r>
              <w:rPr>
                <w:sz w:val="24"/>
              </w:rPr>
              <w:t>过去三个月</w:t>
            </w:r>
          </w:p>
        </w:tc>
        <w:tc>
          <w:tcPr>
            <w:tcW w:w="1233" w:type="dxa"/>
            <w:vAlign w:val="center"/>
          </w:tcPr>
          <w:p w:rsidR="00651D53" w:rsidRDefault="00702C7E">
            <w:pPr>
              <w:jc w:val="center"/>
            </w:pPr>
            <w:r>
              <w:rPr>
                <w:sz w:val="24"/>
              </w:rPr>
              <w:t>0.6761%</w:t>
            </w:r>
          </w:p>
        </w:tc>
        <w:tc>
          <w:tcPr>
            <w:tcW w:w="1233" w:type="dxa"/>
            <w:vAlign w:val="center"/>
          </w:tcPr>
          <w:p w:rsidR="00651D53" w:rsidRDefault="00702C7E">
            <w:pPr>
              <w:jc w:val="center"/>
            </w:pPr>
            <w:r>
              <w:rPr>
                <w:sz w:val="24"/>
              </w:rPr>
              <w:t>0.0010%</w:t>
            </w:r>
          </w:p>
        </w:tc>
        <w:tc>
          <w:tcPr>
            <w:tcW w:w="1233" w:type="dxa"/>
            <w:vAlign w:val="center"/>
          </w:tcPr>
          <w:p w:rsidR="00651D53" w:rsidRDefault="00702C7E">
            <w:pPr>
              <w:jc w:val="center"/>
            </w:pPr>
            <w:r>
              <w:rPr>
                <w:sz w:val="24"/>
              </w:rPr>
              <w:t>0.0882%</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0.5879%</w:t>
            </w:r>
          </w:p>
        </w:tc>
        <w:tc>
          <w:tcPr>
            <w:tcW w:w="1233" w:type="dxa"/>
            <w:vAlign w:val="center"/>
          </w:tcPr>
          <w:p w:rsidR="00651D53" w:rsidRDefault="00702C7E">
            <w:pPr>
              <w:jc w:val="center"/>
            </w:pPr>
            <w:r>
              <w:rPr>
                <w:sz w:val="24"/>
              </w:rPr>
              <w:t>0.0010%</w:t>
            </w:r>
          </w:p>
        </w:tc>
      </w:tr>
      <w:tr w:rsidR="00651D53">
        <w:tc>
          <w:tcPr>
            <w:tcW w:w="1600" w:type="dxa"/>
            <w:vAlign w:val="center"/>
          </w:tcPr>
          <w:p w:rsidR="00651D53" w:rsidRDefault="00702C7E">
            <w:pPr>
              <w:jc w:val="left"/>
            </w:pPr>
            <w:r>
              <w:rPr>
                <w:sz w:val="24"/>
              </w:rPr>
              <w:t>过去六个月</w:t>
            </w:r>
          </w:p>
        </w:tc>
        <w:tc>
          <w:tcPr>
            <w:tcW w:w="1233" w:type="dxa"/>
            <w:vAlign w:val="center"/>
          </w:tcPr>
          <w:p w:rsidR="00651D53" w:rsidRDefault="00702C7E">
            <w:pPr>
              <w:jc w:val="center"/>
            </w:pPr>
            <w:r>
              <w:rPr>
                <w:sz w:val="24"/>
              </w:rPr>
              <w:t>1.3421%</w:t>
            </w:r>
          </w:p>
        </w:tc>
        <w:tc>
          <w:tcPr>
            <w:tcW w:w="1233" w:type="dxa"/>
            <w:vAlign w:val="center"/>
          </w:tcPr>
          <w:p w:rsidR="00651D53" w:rsidRDefault="00702C7E">
            <w:pPr>
              <w:jc w:val="center"/>
            </w:pPr>
            <w:r>
              <w:rPr>
                <w:sz w:val="24"/>
              </w:rPr>
              <w:t>0.0009%</w:t>
            </w:r>
          </w:p>
        </w:tc>
        <w:tc>
          <w:tcPr>
            <w:tcW w:w="1233" w:type="dxa"/>
            <w:vAlign w:val="center"/>
          </w:tcPr>
          <w:p w:rsidR="00651D53" w:rsidRDefault="00702C7E">
            <w:pPr>
              <w:jc w:val="center"/>
            </w:pPr>
            <w:r>
              <w:rPr>
                <w:sz w:val="24"/>
              </w:rPr>
              <w:t>0.1764%</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1.1657%</w:t>
            </w:r>
          </w:p>
        </w:tc>
        <w:tc>
          <w:tcPr>
            <w:tcW w:w="1233" w:type="dxa"/>
            <w:vAlign w:val="center"/>
          </w:tcPr>
          <w:p w:rsidR="00651D53" w:rsidRDefault="00702C7E">
            <w:pPr>
              <w:jc w:val="center"/>
            </w:pPr>
            <w:r>
              <w:rPr>
                <w:sz w:val="24"/>
              </w:rPr>
              <w:t>0.0009%</w:t>
            </w:r>
          </w:p>
        </w:tc>
      </w:tr>
      <w:tr w:rsidR="00651D53">
        <w:tc>
          <w:tcPr>
            <w:tcW w:w="1600" w:type="dxa"/>
            <w:vAlign w:val="center"/>
          </w:tcPr>
          <w:p w:rsidR="00651D53" w:rsidRDefault="00702C7E">
            <w:pPr>
              <w:jc w:val="left"/>
            </w:pPr>
            <w:r>
              <w:rPr>
                <w:sz w:val="24"/>
              </w:rPr>
              <w:t>过去一年</w:t>
            </w:r>
          </w:p>
        </w:tc>
        <w:tc>
          <w:tcPr>
            <w:tcW w:w="1233" w:type="dxa"/>
            <w:vAlign w:val="center"/>
          </w:tcPr>
          <w:p w:rsidR="00651D53" w:rsidRDefault="00702C7E">
            <w:pPr>
              <w:jc w:val="center"/>
            </w:pPr>
            <w:r>
              <w:rPr>
                <w:sz w:val="24"/>
              </w:rPr>
              <w:t>2.7008%</w:t>
            </w:r>
          </w:p>
        </w:tc>
        <w:tc>
          <w:tcPr>
            <w:tcW w:w="1233" w:type="dxa"/>
            <w:vAlign w:val="center"/>
          </w:tcPr>
          <w:p w:rsidR="00651D53" w:rsidRDefault="00702C7E">
            <w:pPr>
              <w:jc w:val="center"/>
            </w:pPr>
            <w:r>
              <w:rPr>
                <w:sz w:val="24"/>
              </w:rPr>
              <w:t>0.0009%</w:t>
            </w:r>
          </w:p>
        </w:tc>
        <w:tc>
          <w:tcPr>
            <w:tcW w:w="1233" w:type="dxa"/>
            <w:vAlign w:val="center"/>
          </w:tcPr>
          <w:p w:rsidR="00651D53" w:rsidRDefault="00702C7E">
            <w:pPr>
              <w:jc w:val="center"/>
            </w:pPr>
            <w:r>
              <w:rPr>
                <w:sz w:val="24"/>
              </w:rPr>
              <w:t>0.3500%</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2.3508%</w:t>
            </w:r>
          </w:p>
        </w:tc>
        <w:tc>
          <w:tcPr>
            <w:tcW w:w="1233" w:type="dxa"/>
            <w:vAlign w:val="center"/>
          </w:tcPr>
          <w:p w:rsidR="00651D53" w:rsidRDefault="00702C7E">
            <w:pPr>
              <w:jc w:val="center"/>
            </w:pPr>
            <w:r>
              <w:rPr>
                <w:sz w:val="24"/>
              </w:rPr>
              <w:t>0.0009%</w:t>
            </w:r>
          </w:p>
        </w:tc>
      </w:tr>
      <w:tr w:rsidR="00651D53">
        <w:tc>
          <w:tcPr>
            <w:tcW w:w="1600" w:type="dxa"/>
            <w:vAlign w:val="center"/>
          </w:tcPr>
          <w:p w:rsidR="00651D53" w:rsidRDefault="00702C7E">
            <w:pPr>
              <w:jc w:val="left"/>
            </w:pPr>
            <w:r>
              <w:rPr>
                <w:sz w:val="24"/>
              </w:rPr>
              <w:t>过去三年</w:t>
            </w:r>
          </w:p>
        </w:tc>
        <w:tc>
          <w:tcPr>
            <w:tcW w:w="1233" w:type="dxa"/>
            <w:vAlign w:val="center"/>
          </w:tcPr>
          <w:p w:rsidR="00651D53" w:rsidRDefault="00702C7E">
            <w:pPr>
              <w:jc w:val="center"/>
            </w:pPr>
            <w:r>
              <w:rPr>
                <w:sz w:val="24"/>
              </w:rPr>
              <w:t>10.9447%</w:t>
            </w:r>
          </w:p>
        </w:tc>
        <w:tc>
          <w:tcPr>
            <w:tcW w:w="1233" w:type="dxa"/>
            <w:vAlign w:val="center"/>
          </w:tcPr>
          <w:p w:rsidR="00651D53" w:rsidRDefault="00702C7E">
            <w:pPr>
              <w:jc w:val="center"/>
            </w:pPr>
            <w:r>
              <w:rPr>
                <w:sz w:val="24"/>
              </w:rPr>
              <w:t>0.0020%</w:t>
            </w:r>
          </w:p>
        </w:tc>
        <w:tc>
          <w:tcPr>
            <w:tcW w:w="1233" w:type="dxa"/>
            <w:vAlign w:val="center"/>
          </w:tcPr>
          <w:p w:rsidR="00651D53" w:rsidRDefault="00702C7E">
            <w:pPr>
              <w:jc w:val="center"/>
            </w:pPr>
            <w:r>
              <w:rPr>
                <w:sz w:val="24"/>
              </w:rPr>
              <w:t>1.0500%</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9.8947%</w:t>
            </w:r>
          </w:p>
        </w:tc>
        <w:tc>
          <w:tcPr>
            <w:tcW w:w="1233" w:type="dxa"/>
            <w:vAlign w:val="center"/>
          </w:tcPr>
          <w:p w:rsidR="00651D53" w:rsidRDefault="00702C7E">
            <w:pPr>
              <w:jc w:val="center"/>
            </w:pPr>
            <w:r>
              <w:rPr>
                <w:sz w:val="24"/>
              </w:rPr>
              <w:t>0.0020%</w:t>
            </w:r>
          </w:p>
        </w:tc>
      </w:tr>
      <w:tr w:rsidR="00651D53">
        <w:tc>
          <w:tcPr>
            <w:tcW w:w="1600" w:type="dxa"/>
            <w:vAlign w:val="center"/>
          </w:tcPr>
          <w:p w:rsidR="00651D53" w:rsidRDefault="00702C7E">
            <w:pPr>
              <w:jc w:val="left"/>
            </w:pPr>
            <w:r>
              <w:rPr>
                <w:sz w:val="24"/>
              </w:rPr>
              <w:t>自基金合同生效起至今</w:t>
            </w:r>
          </w:p>
        </w:tc>
        <w:tc>
          <w:tcPr>
            <w:tcW w:w="1233" w:type="dxa"/>
            <w:vAlign w:val="center"/>
          </w:tcPr>
          <w:p w:rsidR="00651D53" w:rsidRDefault="00702C7E">
            <w:pPr>
              <w:jc w:val="center"/>
            </w:pPr>
            <w:r>
              <w:rPr>
                <w:sz w:val="24"/>
              </w:rPr>
              <w:t>12.2187%</w:t>
            </w:r>
          </w:p>
        </w:tc>
        <w:tc>
          <w:tcPr>
            <w:tcW w:w="1233" w:type="dxa"/>
            <w:vAlign w:val="center"/>
          </w:tcPr>
          <w:p w:rsidR="00651D53" w:rsidRDefault="00702C7E">
            <w:pPr>
              <w:jc w:val="center"/>
            </w:pPr>
            <w:r>
              <w:rPr>
                <w:sz w:val="24"/>
              </w:rPr>
              <w:t>0.0020%</w:t>
            </w:r>
          </w:p>
        </w:tc>
        <w:tc>
          <w:tcPr>
            <w:tcW w:w="1233" w:type="dxa"/>
            <w:vAlign w:val="center"/>
          </w:tcPr>
          <w:p w:rsidR="00651D53" w:rsidRDefault="00702C7E">
            <w:pPr>
              <w:jc w:val="center"/>
            </w:pPr>
            <w:r>
              <w:rPr>
                <w:sz w:val="24"/>
              </w:rPr>
              <w:t>1.2015%</w:t>
            </w:r>
          </w:p>
        </w:tc>
        <w:tc>
          <w:tcPr>
            <w:tcW w:w="1233" w:type="dxa"/>
            <w:vAlign w:val="center"/>
          </w:tcPr>
          <w:p w:rsidR="00651D53" w:rsidRDefault="00702C7E">
            <w:pPr>
              <w:jc w:val="center"/>
            </w:pPr>
            <w:r>
              <w:rPr>
                <w:sz w:val="24"/>
              </w:rPr>
              <w:t>0.0000%</w:t>
            </w:r>
          </w:p>
        </w:tc>
        <w:tc>
          <w:tcPr>
            <w:tcW w:w="1233" w:type="dxa"/>
            <w:vAlign w:val="center"/>
          </w:tcPr>
          <w:p w:rsidR="00651D53" w:rsidRDefault="00702C7E">
            <w:pPr>
              <w:jc w:val="center"/>
            </w:pPr>
            <w:r>
              <w:rPr>
                <w:sz w:val="24"/>
              </w:rPr>
              <w:t>11.0172%</w:t>
            </w:r>
          </w:p>
        </w:tc>
        <w:tc>
          <w:tcPr>
            <w:tcW w:w="1233" w:type="dxa"/>
            <w:vAlign w:val="center"/>
          </w:tcPr>
          <w:p w:rsidR="00651D53" w:rsidRDefault="00702C7E">
            <w:pPr>
              <w:jc w:val="center"/>
            </w:pPr>
            <w:r>
              <w:rPr>
                <w:sz w:val="24"/>
              </w:rPr>
              <w:t>0.0020%</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、交银活期通货币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lastRenderedPageBreak/>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交银活期通货币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交银活期通货币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7</w:t>
      </w:r>
      <w:r w:rsidRPr="00A74F64">
        <w:rPr>
          <w:rFonts w:hint="eastAsia"/>
          <w:kern w:val="0"/>
          <w:sz w:val="24"/>
        </w:rPr>
        <w:t>月</w:t>
      </w:r>
      <w:r w:rsidRPr="00A74F64">
        <w:rPr>
          <w:rFonts w:hint="eastAsia"/>
          <w:kern w:val="0"/>
          <w:sz w:val="24"/>
        </w:rPr>
        <w:t>27</w:t>
      </w:r>
      <w:r w:rsidRPr="00A74F64">
        <w:rPr>
          <w:rFonts w:hint="eastAsia"/>
          <w:kern w:val="0"/>
          <w:sz w:val="24"/>
        </w:rPr>
        <w:t>日至</w:t>
      </w:r>
      <w:r w:rsidRPr="00A74F64">
        <w:rPr>
          <w:rFonts w:hint="eastAsia"/>
          <w:kern w:val="0"/>
          <w:sz w:val="24"/>
        </w:rPr>
        <w:t>2019</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交银活期通货币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7</w:t>
      </w:r>
      <w:r>
        <w:rPr>
          <w:rFonts w:eastAsiaTheme="minorEastAsia" w:hint="eastAsia"/>
          <w:kern w:val="0"/>
          <w:sz w:val="24"/>
        </w:rPr>
        <w:t>月</w:t>
      </w:r>
      <w:r>
        <w:rPr>
          <w:rFonts w:eastAsiaTheme="minorEastAsia" w:hint="eastAsia"/>
          <w:kern w:val="0"/>
          <w:sz w:val="24"/>
        </w:rPr>
        <w:t>27</w:t>
      </w:r>
      <w:r>
        <w:rPr>
          <w:rFonts w:eastAsiaTheme="minorEastAsia" w:hint="eastAsia"/>
          <w:kern w:val="0"/>
          <w:sz w:val="24"/>
        </w:rPr>
        <w:t>日至</w:t>
      </w:r>
      <w:r>
        <w:rPr>
          <w:rFonts w:eastAsiaTheme="minorEastAsia" w:hint="eastAsia"/>
          <w:kern w:val="0"/>
          <w:sz w:val="24"/>
        </w:rPr>
        <w:t>2019</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2379AA" w:rsidRDefault="00223DFB" w:rsidP="002379AA">
      <w:pPr>
        <w:pStyle w:val="20"/>
        <w:spacing w:before="29" w:after="0" w:line="288" w:lineRule="auto"/>
        <w:rPr>
          <w:rFonts w:ascii="Times New Roman" w:hAnsi="Times New Roman" w:cs="Times New Roman"/>
          <w:kern w:val="0"/>
          <w:szCs w:val="24"/>
        </w:rPr>
      </w:pPr>
      <w:bookmarkStart w:id="12" w:name="_Toc35962126"/>
      <w:r w:rsidRPr="002379AA">
        <w:rPr>
          <w:rFonts w:ascii="Times New Roman" w:hAnsi="Times New Roman" w:cs="Times New Roman" w:hint="eastAsia"/>
          <w:kern w:val="0"/>
          <w:szCs w:val="24"/>
        </w:rPr>
        <w:lastRenderedPageBreak/>
        <w:t>3.3</w:t>
      </w:r>
      <w:r w:rsidRPr="002379AA">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交银活期通货币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651D53">
        <w:trPr>
          <w:jc w:val="center"/>
        </w:trPr>
        <w:tc>
          <w:tcPr>
            <w:tcW w:w="1157" w:type="dxa"/>
            <w:vAlign w:val="center"/>
          </w:tcPr>
          <w:p w:rsidR="00651D53" w:rsidRDefault="00702C7E">
            <w:pPr>
              <w:jc w:val="center"/>
            </w:pPr>
            <w:r>
              <w:rPr>
                <w:rFonts w:hint="eastAsia"/>
                <w:color w:val="000000"/>
                <w:sz w:val="24"/>
              </w:rPr>
              <w:t>2019</w:t>
            </w:r>
            <w:r>
              <w:rPr>
                <w:rFonts w:hint="eastAsia"/>
                <w:color w:val="000000"/>
                <w:sz w:val="24"/>
              </w:rPr>
              <w:t>年</w:t>
            </w:r>
          </w:p>
        </w:tc>
        <w:tc>
          <w:tcPr>
            <w:tcW w:w="1786" w:type="dxa"/>
            <w:vAlign w:val="center"/>
          </w:tcPr>
          <w:p w:rsidR="00651D53" w:rsidRDefault="00702C7E">
            <w:pPr>
              <w:jc w:val="right"/>
            </w:pPr>
            <w:r>
              <w:rPr>
                <w:rFonts w:hint="eastAsia"/>
                <w:color w:val="000000"/>
                <w:sz w:val="24"/>
              </w:rPr>
              <w:t>436,388,077.79</w:t>
            </w:r>
          </w:p>
        </w:tc>
        <w:tc>
          <w:tcPr>
            <w:tcW w:w="1701" w:type="dxa"/>
            <w:vAlign w:val="center"/>
          </w:tcPr>
          <w:p w:rsidR="00651D53" w:rsidRDefault="00702C7E">
            <w:pPr>
              <w:jc w:val="right"/>
            </w:pPr>
            <w:r>
              <w:rPr>
                <w:rFonts w:hint="eastAsia"/>
                <w:color w:val="000000"/>
                <w:sz w:val="24"/>
              </w:rPr>
              <w:t>-</w:t>
            </w:r>
          </w:p>
        </w:tc>
        <w:tc>
          <w:tcPr>
            <w:tcW w:w="1680" w:type="dxa"/>
            <w:vAlign w:val="center"/>
          </w:tcPr>
          <w:p w:rsidR="00651D53" w:rsidRDefault="00702C7E">
            <w:pPr>
              <w:jc w:val="right"/>
            </w:pPr>
            <w:r>
              <w:rPr>
                <w:rFonts w:hint="eastAsia"/>
                <w:color w:val="000000"/>
                <w:sz w:val="24"/>
              </w:rPr>
              <w:t>-634,854.76</w:t>
            </w:r>
          </w:p>
        </w:tc>
        <w:tc>
          <w:tcPr>
            <w:tcW w:w="1894" w:type="dxa"/>
            <w:vAlign w:val="center"/>
          </w:tcPr>
          <w:p w:rsidR="00651D53" w:rsidRDefault="00702C7E">
            <w:pPr>
              <w:jc w:val="right"/>
            </w:pPr>
            <w:r>
              <w:rPr>
                <w:rFonts w:hint="eastAsia"/>
                <w:color w:val="000000"/>
                <w:sz w:val="24"/>
              </w:rPr>
              <w:t>435,753,223.03</w:t>
            </w:r>
          </w:p>
        </w:tc>
        <w:tc>
          <w:tcPr>
            <w:tcW w:w="1068" w:type="dxa"/>
            <w:vAlign w:val="center"/>
          </w:tcPr>
          <w:p w:rsidR="00651D53" w:rsidRDefault="00702C7E">
            <w:pPr>
              <w:jc w:val="left"/>
            </w:pPr>
            <w:r>
              <w:rPr>
                <w:rFonts w:hint="eastAsia"/>
                <w:color w:val="000000"/>
                <w:sz w:val="24"/>
              </w:rPr>
              <w:t>-</w:t>
            </w:r>
          </w:p>
        </w:tc>
      </w:tr>
      <w:tr w:rsidR="00651D53">
        <w:trPr>
          <w:jc w:val="center"/>
        </w:trPr>
        <w:tc>
          <w:tcPr>
            <w:tcW w:w="1157" w:type="dxa"/>
            <w:vAlign w:val="center"/>
          </w:tcPr>
          <w:p w:rsidR="00651D53" w:rsidRDefault="00702C7E">
            <w:pPr>
              <w:jc w:val="center"/>
            </w:pPr>
            <w:r>
              <w:rPr>
                <w:rFonts w:hint="eastAsia"/>
                <w:color w:val="000000"/>
                <w:sz w:val="24"/>
              </w:rPr>
              <w:t>2018</w:t>
            </w:r>
            <w:r>
              <w:rPr>
                <w:rFonts w:hint="eastAsia"/>
                <w:color w:val="000000"/>
                <w:sz w:val="24"/>
              </w:rPr>
              <w:t>年</w:t>
            </w:r>
          </w:p>
        </w:tc>
        <w:tc>
          <w:tcPr>
            <w:tcW w:w="1786" w:type="dxa"/>
            <w:vAlign w:val="center"/>
          </w:tcPr>
          <w:p w:rsidR="00651D53" w:rsidRDefault="00702C7E">
            <w:pPr>
              <w:jc w:val="right"/>
            </w:pPr>
            <w:r>
              <w:rPr>
                <w:rFonts w:hint="eastAsia"/>
                <w:color w:val="000000"/>
                <w:sz w:val="24"/>
              </w:rPr>
              <w:t>709,299,842.43</w:t>
            </w:r>
          </w:p>
        </w:tc>
        <w:tc>
          <w:tcPr>
            <w:tcW w:w="1701" w:type="dxa"/>
            <w:vAlign w:val="center"/>
          </w:tcPr>
          <w:p w:rsidR="00651D53" w:rsidRDefault="00702C7E">
            <w:pPr>
              <w:jc w:val="right"/>
            </w:pPr>
            <w:r>
              <w:rPr>
                <w:rFonts w:hint="eastAsia"/>
                <w:color w:val="000000"/>
                <w:sz w:val="24"/>
              </w:rPr>
              <w:t>-</w:t>
            </w:r>
          </w:p>
        </w:tc>
        <w:tc>
          <w:tcPr>
            <w:tcW w:w="1680" w:type="dxa"/>
            <w:vAlign w:val="center"/>
          </w:tcPr>
          <w:p w:rsidR="00651D53" w:rsidRDefault="00702C7E">
            <w:pPr>
              <w:jc w:val="right"/>
            </w:pPr>
            <w:r>
              <w:rPr>
                <w:rFonts w:hint="eastAsia"/>
                <w:color w:val="000000"/>
                <w:sz w:val="24"/>
              </w:rPr>
              <w:t>297,358.72</w:t>
            </w:r>
          </w:p>
        </w:tc>
        <w:tc>
          <w:tcPr>
            <w:tcW w:w="1894" w:type="dxa"/>
            <w:vAlign w:val="center"/>
          </w:tcPr>
          <w:p w:rsidR="00651D53" w:rsidRDefault="00702C7E">
            <w:pPr>
              <w:jc w:val="right"/>
            </w:pPr>
            <w:r>
              <w:rPr>
                <w:rFonts w:hint="eastAsia"/>
                <w:color w:val="000000"/>
                <w:sz w:val="24"/>
              </w:rPr>
              <w:t>709,597,201.15</w:t>
            </w:r>
          </w:p>
        </w:tc>
        <w:tc>
          <w:tcPr>
            <w:tcW w:w="1068" w:type="dxa"/>
            <w:vAlign w:val="center"/>
          </w:tcPr>
          <w:p w:rsidR="00651D53" w:rsidRDefault="00702C7E">
            <w:pPr>
              <w:jc w:val="left"/>
            </w:pPr>
            <w:r>
              <w:rPr>
                <w:rFonts w:hint="eastAsia"/>
                <w:color w:val="000000"/>
                <w:sz w:val="24"/>
              </w:rPr>
              <w:t>-</w:t>
            </w:r>
          </w:p>
        </w:tc>
      </w:tr>
      <w:tr w:rsidR="00651D53">
        <w:trPr>
          <w:jc w:val="center"/>
        </w:trPr>
        <w:tc>
          <w:tcPr>
            <w:tcW w:w="1157" w:type="dxa"/>
            <w:vAlign w:val="center"/>
          </w:tcPr>
          <w:p w:rsidR="00651D53" w:rsidRDefault="00702C7E">
            <w:pPr>
              <w:jc w:val="center"/>
            </w:pPr>
            <w:r>
              <w:rPr>
                <w:rFonts w:hint="eastAsia"/>
                <w:color w:val="000000"/>
                <w:sz w:val="24"/>
              </w:rPr>
              <w:t>2017</w:t>
            </w:r>
            <w:r>
              <w:rPr>
                <w:rFonts w:hint="eastAsia"/>
                <w:color w:val="000000"/>
                <w:sz w:val="24"/>
              </w:rPr>
              <w:t>年</w:t>
            </w:r>
          </w:p>
        </w:tc>
        <w:tc>
          <w:tcPr>
            <w:tcW w:w="1786" w:type="dxa"/>
            <w:vAlign w:val="center"/>
          </w:tcPr>
          <w:p w:rsidR="00651D53" w:rsidRDefault="00702C7E">
            <w:pPr>
              <w:jc w:val="right"/>
            </w:pPr>
            <w:r>
              <w:rPr>
                <w:rFonts w:hint="eastAsia"/>
                <w:color w:val="000000"/>
                <w:sz w:val="24"/>
              </w:rPr>
              <w:t>182,482,781.91</w:t>
            </w:r>
          </w:p>
        </w:tc>
        <w:tc>
          <w:tcPr>
            <w:tcW w:w="1701" w:type="dxa"/>
            <w:vAlign w:val="center"/>
          </w:tcPr>
          <w:p w:rsidR="00651D53" w:rsidRDefault="00702C7E">
            <w:pPr>
              <w:jc w:val="right"/>
            </w:pPr>
            <w:r>
              <w:rPr>
                <w:rFonts w:hint="eastAsia"/>
                <w:color w:val="000000"/>
                <w:sz w:val="24"/>
              </w:rPr>
              <w:t>-</w:t>
            </w:r>
          </w:p>
        </w:tc>
        <w:tc>
          <w:tcPr>
            <w:tcW w:w="1680" w:type="dxa"/>
            <w:vAlign w:val="center"/>
          </w:tcPr>
          <w:p w:rsidR="00651D53" w:rsidRDefault="00702C7E">
            <w:pPr>
              <w:jc w:val="right"/>
            </w:pPr>
            <w:r>
              <w:rPr>
                <w:rFonts w:hint="eastAsia"/>
                <w:color w:val="000000"/>
                <w:sz w:val="24"/>
              </w:rPr>
              <w:t>1,260,352.16</w:t>
            </w:r>
          </w:p>
        </w:tc>
        <w:tc>
          <w:tcPr>
            <w:tcW w:w="1894" w:type="dxa"/>
            <w:vAlign w:val="center"/>
          </w:tcPr>
          <w:p w:rsidR="00651D53" w:rsidRDefault="00702C7E">
            <w:pPr>
              <w:jc w:val="right"/>
            </w:pPr>
            <w:r>
              <w:rPr>
                <w:rFonts w:hint="eastAsia"/>
                <w:color w:val="000000"/>
                <w:sz w:val="24"/>
              </w:rPr>
              <w:t>183,743,134.07</w:t>
            </w:r>
          </w:p>
        </w:tc>
        <w:tc>
          <w:tcPr>
            <w:tcW w:w="1068" w:type="dxa"/>
            <w:vAlign w:val="center"/>
          </w:tcPr>
          <w:p w:rsidR="00651D53" w:rsidRDefault="00702C7E">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1,328,170,702.13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922,856.12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1,329,093,558.25</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交银活期通货币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651D53">
        <w:trPr>
          <w:jc w:val="center"/>
        </w:trPr>
        <w:tc>
          <w:tcPr>
            <w:tcW w:w="1157" w:type="dxa"/>
            <w:vAlign w:val="center"/>
          </w:tcPr>
          <w:p w:rsidR="00651D53" w:rsidRDefault="00702C7E">
            <w:pPr>
              <w:jc w:val="center"/>
            </w:pPr>
            <w:r>
              <w:rPr>
                <w:rFonts w:hint="eastAsia"/>
                <w:color w:val="000000"/>
                <w:sz w:val="24"/>
              </w:rPr>
              <w:t>2019</w:t>
            </w:r>
            <w:r>
              <w:rPr>
                <w:rFonts w:hint="eastAsia"/>
                <w:color w:val="000000"/>
                <w:sz w:val="24"/>
              </w:rPr>
              <w:t>年</w:t>
            </w:r>
          </w:p>
        </w:tc>
        <w:tc>
          <w:tcPr>
            <w:tcW w:w="1786" w:type="dxa"/>
            <w:vAlign w:val="center"/>
          </w:tcPr>
          <w:p w:rsidR="00651D53" w:rsidRDefault="00702C7E">
            <w:pPr>
              <w:jc w:val="right"/>
            </w:pPr>
            <w:r>
              <w:rPr>
                <w:rFonts w:hint="eastAsia"/>
                <w:color w:val="000000"/>
                <w:sz w:val="24"/>
              </w:rPr>
              <w:t>545,670,349.24</w:t>
            </w:r>
          </w:p>
        </w:tc>
        <w:tc>
          <w:tcPr>
            <w:tcW w:w="1701" w:type="dxa"/>
            <w:vAlign w:val="center"/>
          </w:tcPr>
          <w:p w:rsidR="00651D53" w:rsidRDefault="00702C7E">
            <w:pPr>
              <w:jc w:val="right"/>
            </w:pPr>
            <w:r>
              <w:rPr>
                <w:rFonts w:hint="eastAsia"/>
                <w:color w:val="000000"/>
                <w:sz w:val="24"/>
              </w:rPr>
              <w:t>-</w:t>
            </w:r>
          </w:p>
        </w:tc>
        <w:tc>
          <w:tcPr>
            <w:tcW w:w="1680" w:type="dxa"/>
            <w:vAlign w:val="center"/>
          </w:tcPr>
          <w:p w:rsidR="00651D53" w:rsidRDefault="00702C7E">
            <w:pPr>
              <w:jc w:val="right"/>
            </w:pPr>
            <w:r>
              <w:rPr>
                <w:rFonts w:hint="eastAsia"/>
                <w:color w:val="000000"/>
                <w:sz w:val="24"/>
              </w:rPr>
              <w:t>-73,954.95</w:t>
            </w:r>
          </w:p>
        </w:tc>
        <w:tc>
          <w:tcPr>
            <w:tcW w:w="1894" w:type="dxa"/>
            <w:vAlign w:val="center"/>
          </w:tcPr>
          <w:p w:rsidR="00651D53" w:rsidRDefault="00702C7E">
            <w:pPr>
              <w:jc w:val="right"/>
            </w:pPr>
            <w:r>
              <w:rPr>
                <w:rFonts w:hint="eastAsia"/>
                <w:color w:val="000000"/>
                <w:sz w:val="24"/>
              </w:rPr>
              <w:t>545,596,394.29</w:t>
            </w:r>
          </w:p>
        </w:tc>
        <w:tc>
          <w:tcPr>
            <w:tcW w:w="1068" w:type="dxa"/>
            <w:vAlign w:val="center"/>
          </w:tcPr>
          <w:p w:rsidR="00651D53" w:rsidRDefault="00702C7E">
            <w:pPr>
              <w:jc w:val="left"/>
            </w:pPr>
            <w:r>
              <w:rPr>
                <w:rFonts w:hint="eastAsia"/>
                <w:color w:val="000000"/>
                <w:sz w:val="24"/>
              </w:rPr>
              <w:t>-</w:t>
            </w:r>
          </w:p>
        </w:tc>
      </w:tr>
      <w:tr w:rsidR="00651D53">
        <w:trPr>
          <w:jc w:val="center"/>
        </w:trPr>
        <w:tc>
          <w:tcPr>
            <w:tcW w:w="1157" w:type="dxa"/>
            <w:vAlign w:val="center"/>
          </w:tcPr>
          <w:p w:rsidR="00651D53" w:rsidRDefault="00702C7E">
            <w:pPr>
              <w:jc w:val="center"/>
            </w:pPr>
            <w:r>
              <w:rPr>
                <w:rFonts w:hint="eastAsia"/>
                <w:color w:val="000000"/>
                <w:sz w:val="24"/>
              </w:rPr>
              <w:t>2018</w:t>
            </w:r>
            <w:r>
              <w:rPr>
                <w:rFonts w:hint="eastAsia"/>
                <w:color w:val="000000"/>
                <w:sz w:val="24"/>
              </w:rPr>
              <w:t>年</w:t>
            </w:r>
          </w:p>
        </w:tc>
        <w:tc>
          <w:tcPr>
            <w:tcW w:w="1786" w:type="dxa"/>
            <w:vAlign w:val="center"/>
          </w:tcPr>
          <w:p w:rsidR="00651D53" w:rsidRDefault="00702C7E">
            <w:pPr>
              <w:jc w:val="right"/>
            </w:pPr>
            <w:r>
              <w:rPr>
                <w:rFonts w:hint="eastAsia"/>
                <w:color w:val="000000"/>
                <w:sz w:val="24"/>
              </w:rPr>
              <w:t>465,452,742.09</w:t>
            </w:r>
          </w:p>
        </w:tc>
        <w:tc>
          <w:tcPr>
            <w:tcW w:w="1701" w:type="dxa"/>
            <w:vAlign w:val="center"/>
          </w:tcPr>
          <w:p w:rsidR="00651D53" w:rsidRDefault="00702C7E">
            <w:pPr>
              <w:jc w:val="right"/>
            </w:pPr>
            <w:r>
              <w:rPr>
                <w:rFonts w:hint="eastAsia"/>
                <w:color w:val="000000"/>
                <w:sz w:val="24"/>
              </w:rPr>
              <w:t>-</w:t>
            </w:r>
          </w:p>
        </w:tc>
        <w:tc>
          <w:tcPr>
            <w:tcW w:w="1680" w:type="dxa"/>
            <w:vAlign w:val="center"/>
          </w:tcPr>
          <w:p w:rsidR="00651D53" w:rsidRDefault="00702C7E">
            <w:pPr>
              <w:jc w:val="right"/>
            </w:pPr>
            <w:r>
              <w:rPr>
                <w:rFonts w:hint="eastAsia"/>
                <w:color w:val="000000"/>
                <w:sz w:val="24"/>
              </w:rPr>
              <w:t>-251,152.86</w:t>
            </w:r>
          </w:p>
        </w:tc>
        <w:tc>
          <w:tcPr>
            <w:tcW w:w="1894" w:type="dxa"/>
            <w:vAlign w:val="center"/>
          </w:tcPr>
          <w:p w:rsidR="00651D53" w:rsidRDefault="00702C7E">
            <w:pPr>
              <w:jc w:val="right"/>
            </w:pPr>
            <w:r>
              <w:rPr>
                <w:rFonts w:hint="eastAsia"/>
                <w:color w:val="000000"/>
                <w:sz w:val="24"/>
              </w:rPr>
              <w:t>465,201,589.23</w:t>
            </w:r>
          </w:p>
        </w:tc>
        <w:tc>
          <w:tcPr>
            <w:tcW w:w="1068" w:type="dxa"/>
            <w:vAlign w:val="center"/>
          </w:tcPr>
          <w:p w:rsidR="00651D53" w:rsidRDefault="00702C7E">
            <w:pPr>
              <w:jc w:val="left"/>
            </w:pPr>
            <w:r>
              <w:rPr>
                <w:rFonts w:hint="eastAsia"/>
                <w:color w:val="000000"/>
                <w:sz w:val="24"/>
              </w:rPr>
              <w:t>-</w:t>
            </w:r>
          </w:p>
        </w:tc>
      </w:tr>
      <w:tr w:rsidR="00651D53">
        <w:trPr>
          <w:jc w:val="center"/>
        </w:trPr>
        <w:tc>
          <w:tcPr>
            <w:tcW w:w="1157" w:type="dxa"/>
            <w:vAlign w:val="center"/>
          </w:tcPr>
          <w:p w:rsidR="00651D53" w:rsidRDefault="00702C7E">
            <w:pPr>
              <w:jc w:val="center"/>
            </w:pPr>
            <w:r>
              <w:rPr>
                <w:rFonts w:hint="eastAsia"/>
                <w:color w:val="000000"/>
                <w:sz w:val="24"/>
              </w:rPr>
              <w:t>2017</w:t>
            </w:r>
            <w:r>
              <w:rPr>
                <w:rFonts w:hint="eastAsia"/>
                <w:color w:val="000000"/>
                <w:sz w:val="24"/>
              </w:rPr>
              <w:t>年</w:t>
            </w:r>
          </w:p>
        </w:tc>
        <w:tc>
          <w:tcPr>
            <w:tcW w:w="1786" w:type="dxa"/>
            <w:vAlign w:val="center"/>
          </w:tcPr>
          <w:p w:rsidR="00651D53" w:rsidRDefault="00702C7E">
            <w:pPr>
              <w:jc w:val="right"/>
            </w:pPr>
            <w:r>
              <w:rPr>
                <w:rFonts w:hint="eastAsia"/>
                <w:color w:val="000000"/>
                <w:sz w:val="24"/>
              </w:rPr>
              <w:t>94,553,699.87</w:t>
            </w:r>
          </w:p>
        </w:tc>
        <w:tc>
          <w:tcPr>
            <w:tcW w:w="1701" w:type="dxa"/>
            <w:vAlign w:val="center"/>
          </w:tcPr>
          <w:p w:rsidR="00651D53" w:rsidRDefault="00702C7E">
            <w:pPr>
              <w:jc w:val="right"/>
            </w:pPr>
            <w:r>
              <w:rPr>
                <w:rFonts w:hint="eastAsia"/>
                <w:color w:val="000000"/>
                <w:sz w:val="24"/>
              </w:rPr>
              <w:t>-</w:t>
            </w:r>
          </w:p>
        </w:tc>
        <w:tc>
          <w:tcPr>
            <w:tcW w:w="1680" w:type="dxa"/>
            <w:vAlign w:val="center"/>
          </w:tcPr>
          <w:p w:rsidR="00651D53" w:rsidRDefault="00702C7E">
            <w:pPr>
              <w:jc w:val="right"/>
            </w:pPr>
            <w:r>
              <w:rPr>
                <w:rFonts w:hint="eastAsia"/>
                <w:color w:val="000000"/>
                <w:sz w:val="24"/>
              </w:rPr>
              <w:t>1,650,971.63</w:t>
            </w:r>
          </w:p>
        </w:tc>
        <w:tc>
          <w:tcPr>
            <w:tcW w:w="1894" w:type="dxa"/>
            <w:vAlign w:val="center"/>
          </w:tcPr>
          <w:p w:rsidR="00651D53" w:rsidRDefault="00702C7E">
            <w:pPr>
              <w:jc w:val="right"/>
            </w:pPr>
            <w:r>
              <w:rPr>
                <w:rFonts w:hint="eastAsia"/>
                <w:color w:val="000000"/>
                <w:sz w:val="24"/>
              </w:rPr>
              <w:t>96,204,671.50</w:t>
            </w:r>
          </w:p>
        </w:tc>
        <w:tc>
          <w:tcPr>
            <w:tcW w:w="1068" w:type="dxa"/>
            <w:vAlign w:val="center"/>
          </w:tcPr>
          <w:p w:rsidR="00651D53" w:rsidRDefault="00702C7E">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1,105,676,791.20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1,325,863.82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1,107,002,655.02</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35962127"/>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35962128"/>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651D53" w:rsidRDefault="00702C7E">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84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lastRenderedPageBreak/>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651D53">
        <w:tc>
          <w:tcPr>
            <w:tcW w:w="1090" w:type="dxa"/>
            <w:vAlign w:val="center"/>
          </w:tcPr>
          <w:p w:rsidR="00651D53" w:rsidRDefault="00702C7E">
            <w:pPr>
              <w:jc w:val="center"/>
            </w:pPr>
            <w:r>
              <w:rPr>
                <w:rFonts w:hint="eastAsia"/>
                <w:sz w:val="24"/>
              </w:rPr>
              <w:t>黄莹洁</w:t>
            </w:r>
          </w:p>
        </w:tc>
        <w:tc>
          <w:tcPr>
            <w:tcW w:w="1075" w:type="dxa"/>
            <w:vAlign w:val="center"/>
          </w:tcPr>
          <w:p w:rsidR="00651D53" w:rsidRDefault="00702C7E">
            <w:pPr>
              <w:jc w:val="center"/>
            </w:pPr>
            <w:r>
              <w:rPr>
                <w:rFonts w:hint="eastAsia"/>
                <w:sz w:val="24"/>
              </w:rPr>
              <w:t>交银理财</w:t>
            </w:r>
            <w:r>
              <w:rPr>
                <w:rFonts w:hint="eastAsia"/>
                <w:sz w:val="24"/>
              </w:rPr>
              <w:t>21</w:t>
            </w:r>
            <w:r>
              <w:rPr>
                <w:rFonts w:hint="eastAsia"/>
                <w:sz w:val="24"/>
              </w:rPr>
              <w:t>天债券、交银丰享收益债券、交银活期通货币、交银天利宝货币、交银裕隆纯债债券、交银天益宝货币、交银境尚收益债券、交银稳鑫短债债券、交银稳利中短债债券的基金经理</w:t>
            </w:r>
          </w:p>
        </w:tc>
        <w:tc>
          <w:tcPr>
            <w:tcW w:w="1615" w:type="dxa"/>
            <w:vAlign w:val="center"/>
          </w:tcPr>
          <w:p w:rsidR="00651D53" w:rsidRDefault="00702C7E">
            <w:pPr>
              <w:jc w:val="center"/>
            </w:pPr>
            <w:r>
              <w:rPr>
                <w:rFonts w:hint="eastAsia"/>
                <w:sz w:val="24"/>
              </w:rPr>
              <w:t>2016-07-27</w:t>
            </w:r>
          </w:p>
        </w:tc>
        <w:tc>
          <w:tcPr>
            <w:tcW w:w="1260" w:type="dxa"/>
            <w:vAlign w:val="center"/>
          </w:tcPr>
          <w:p w:rsidR="00651D53" w:rsidRDefault="00702C7E">
            <w:pPr>
              <w:jc w:val="center"/>
            </w:pPr>
            <w:r>
              <w:rPr>
                <w:rFonts w:hint="eastAsia"/>
                <w:sz w:val="24"/>
              </w:rPr>
              <w:t>-</w:t>
            </w:r>
          </w:p>
        </w:tc>
        <w:tc>
          <w:tcPr>
            <w:tcW w:w="1094" w:type="dxa"/>
            <w:vAlign w:val="center"/>
          </w:tcPr>
          <w:p w:rsidR="00651D53" w:rsidRDefault="00702C7E">
            <w:pPr>
              <w:jc w:val="center"/>
            </w:pPr>
            <w:r>
              <w:rPr>
                <w:rFonts w:hint="eastAsia"/>
                <w:sz w:val="24"/>
              </w:rPr>
              <w:t>11</w:t>
            </w:r>
            <w:r>
              <w:rPr>
                <w:rFonts w:hint="eastAsia"/>
                <w:sz w:val="24"/>
              </w:rPr>
              <w:t>年</w:t>
            </w:r>
          </w:p>
        </w:tc>
        <w:tc>
          <w:tcPr>
            <w:tcW w:w="3406" w:type="dxa"/>
            <w:vAlign w:val="center"/>
          </w:tcPr>
          <w:p w:rsidR="00651D53" w:rsidRDefault="00702C7E">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p>
        </w:tc>
      </w:tr>
      <w:tr w:rsidR="00651D53">
        <w:tc>
          <w:tcPr>
            <w:tcW w:w="1090" w:type="dxa"/>
            <w:vAlign w:val="center"/>
          </w:tcPr>
          <w:p w:rsidR="00651D53" w:rsidRDefault="00702C7E">
            <w:pPr>
              <w:jc w:val="center"/>
            </w:pPr>
            <w:r>
              <w:rPr>
                <w:rFonts w:hint="eastAsia"/>
                <w:sz w:val="24"/>
              </w:rPr>
              <w:t>连端清</w:t>
            </w:r>
          </w:p>
        </w:tc>
        <w:tc>
          <w:tcPr>
            <w:tcW w:w="1075" w:type="dxa"/>
            <w:vAlign w:val="center"/>
          </w:tcPr>
          <w:p w:rsidR="00651D53" w:rsidRDefault="00702C7E">
            <w:pPr>
              <w:jc w:val="center"/>
            </w:pPr>
            <w:r>
              <w:rPr>
                <w:rFonts w:hint="eastAsia"/>
                <w:sz w:val="24"/>
              </w:rPr>
              <w:t>交银理财</w:t>
            </w:r>
            <w:r>
              <w:rPr>
                <w:rFonts w:hint="eastAsia"/>
                <w:sz w:val="24"/>
              </w:rPr>
              <w:t>60</w:t>
            </w:r>
            <w:r>
              <w:rPr>
                <w:rFonts w:hint="eastAsia"/>
                <w:sz w:val="24"/>
              </w:rPr>
              <w:t>天债券、交银丰盈收益债券、交银丰润收益债券、交银活期通货币、交银裕盈纯债债券、交银裕利纯债</w:t>
            </w:r>
            <w:r>
              <w:rPr>
                <w:rFonts w:hint="eastAsia"/>
                <w:sz w:val="24"/>
              </w:rPr>
              <w:lastRenderedPageBreak/>
              <w:t>债券的基金经理</w:t>
            </w:r>
          </w:p>
        </w:tc>
        <w:tc>
          <w:tcPr>
            <w:tcW w:w="1615" w:type="dxa"/>
            <w:vAlign w:val="center"/>
          </w:tcPr>
          <w:p w:rsidR="00651D53" w:rsidRDefault="00702C7E">
            <w:pPr>
              <w:jc w:val="center"/>
            </w:pPr>
            <w:r>
              <w:rPr>
                <w:rFonts w:hint="eastAsia"/>
                <w:sz w:val="24"/>
              </w:rPr>
              <w:lastRenderedPageBreak/>
              <w:t>2016-07-27</w:t>
            </w:r>
          </w:p>
        </w:tc>
        <w:tc>
          <w:tcPr>
            <w:tcW w:w="1260" w:type="dxa"/>
            <w:vAlign w:val="center"/>
          </w:tcPr>
          <w:p w:rsidR="00651D53" w:rsidRDefault="00702C7E">
            <w:pPr>
              <w:jc w:val="center"/>
            </w:pPr>
            <w:r>
              <w:rPr>
                <w:rFonts w:hint="eastAsia"/>
                <w:sz w:val="24"/>
              </w:rPr>
              <w:t>-</w:t>
            </w:r>
          </w:p>
        </w:tc>
        <w:tc>
          <w:tcPr>
            <w:tcW w:w="1094" w:type="dxa"/>
            <w:vAlign w:val="center"/>
          </w:tcPr>
          <w:p w:rsidR="00651D53" w:rsidRDefault="00702C7E">
            <w:pPr>
              <w:jc w:val="center"/>
            </w:pPr>
            <w:r>
              <w:rPr>
                <w:rFonts w:hint="eastAsia"/>
                <w:sz w:val="24"/>
              </w:rPr>
              <w:t>6</w:t>
            </w:r>
            <w:r>
              <w:rPr>
                <w:rFonts w:hint="eastAsia"/>
                <w:sz w:val="24"/>
              </w:rPr>
              <w:t>年</w:t>
            </w:r>
          </w:p>
        </w:tc>
        <w:tc>
          <w:tcPr>
            <w:tcW w:w="3406" w:type="dxa"/>
            <w:vAlign w:val="center"/>
          </w:tcPr>
          <w:p w:rsidR="00651D53" w:rsidRDefault="00702C7E">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日担任交银施罗德现金宝货币市场基金的基金经理。</w:t>
            </w:r>
            <w:r>
              <w:rPr>
                <w:rFonts w:hint="eastAsia"/>
                <w:sz w:val="24"/>
              </w:rPr>
              <w:t>2015</w:t>
            </w:r>
            <w:r>
              <w:rPr>
                <w:rFonts w:hint="eastAsia"/>
                <w:sz w:val="24"/>
              </w:rPr>
              <w:t>年</w:t>
            </w:r>
            <w:r>
              <w:rPr>
                <w:rFonts w:hint="eastAsia"/>
                <w:sz w:val="24"/>
              </w:rPr>
              <w:t>10</w:t>
            </w:r>
            <w:r>
              <w:rPr>
                <w:rFonts w:hint="eastAsia"/>
                <w:sz w:val="24"/>
              </w:rPr>
              <w:t>月</w:t>
            </w:r>
            <w:r>
              <w:rPr>
                <w:rFonts w:hint="eastAsia"/>
                <w:sz w:val="24"/>
              </w:rPr>
              <w:t>16</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日担任交银施罗德货币市场证券投资基金的基金经理。</w:t>
            </w:r>
            <w:r>
              <w:rPr>
                <w:rFonts w:hint="eastAsia"/>
                <w:sz w:val="24"/>
              </w:rPr>
              <w:lastRenderedPageBreak/>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日担任交银施罗德天运宝货币市场基金的基金经理。</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19</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日担任交银施罗德天利宝货币市场基金的基金经理。</w:t>
            </w:r>
            <w:r>
              <w:rPr>
                <w:rFonts w:hint="eastAsia"/>
                <w:sz w:val="24"/>
              </w:rPr>
              <w:t>2016</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日担任交银施罗德裕隆纯债债券型证券投资基金的基金经理。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日担任交银施罗德天益宝货币市场基金的基金经理。</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日担任交银施罗德境尚收益债券型证券投资基金的基金经理。</w:t>
            </w:r>
          </w:p>
        </w:tc>
      </w:tr>
    </w:tbl>
    <w:p w:rsidR="00651D53" w:rsidRDefault="00702C7E">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651D53" w:rsidRDefault="00702C7E">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35962129"/>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35962130"/>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651D53" w:rsidRDefault="00702C7E">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51D53" w:rsidRDefault="00702C7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651D53" w:rsidRDefault="00702C7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w:t>
      </w:r>
      <w:r>
        <w:rPr>
          <w:rFonts w:hint="eastAsia"/>
          <w:kern w:val="0"/>
          <w:sz w:val="24"/>
        </w:rPr>
        <w:lastRenderedPageBreak/>
        <w:t>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651D53" w:rsidRDefault="00702C7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651D53" w:rsidRDefault="00702C7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651D53" w:rsidRDefault="00702C7E">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51D53" w:rsidRDefault="00702C7E">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651D53" w:rsidRDefault="00702C7E">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w:t>
      </w:r>
      <w:r w:rsidRPr="00EB7915">
        <w:rPr>
          <w:rFonts w:hint="eastAsia"/>
          <w:kern w:val="0"/>
          <w:sz w:val="24"/>
        </w:rPr>
        <w:lastRenderedPageBreak/>
        <w:t>合参与的交易所公开竞价同日反向交易成交较少的单边交易量超过该证券当日总成交量</w:t>
      </w:r>
      <w:r w:rsidRPr="00EB7915">
        <w:rPr>
          <w:rFonts w:hint="eastAsia"/>
          <w:kern w:val="0"/>
          <w:sz w:val="24"/>
        </w:rPr>
        <w:t>5%</w:t>
      </w:r>
      <w:r w:rsidRPr="00EB7915">
        <w:rPr>
          <w:rFonts w:hint="eastAsia"/>
          <w:kern w:val="0"/>
          <w:sz w:val="24"/>
        </w:rPr>
        <w:t>的情况有</w:t>
      </w:r>
      <w:r w:rsidRPr="00EB7915">
        <w:rPr>
          <w:rFonts w:hint="eastAsia"/>
          <w:kern w:val="0"/>
          <w:sz w:val="24"/>
        </w:rPr>
        <w:t>1</w:t>
      </w:r>
      <w:r w:rsidRPr="00EB7915">
        <w:rPr>
          <w:rFonts w:hint="eastAsia"/>
          <w:kern w:val="0"/>
          <w:sz w:val="24"/>
        </w:rPr>
        <w:t>次，是投资组合因投资策略需要而发生同日反向交易，未发现不公平交易和利益输送的情况。本基金与本公司管理的其他投资组合在不同时间窗下（如日内、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35962131"/>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651D53" w:rsidRDefault="00702C7E">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年，国内经济增速整体上呈前高后低走势，但</w:t>
      </w:r>
      <w:r>
        <w:rPr>
          <w:rFonts w:hint="eastAsia"/>
          <w:kern w:val="0"/>
          <w:sz w:val="24"/>
        </w:rPr>
        <w:t>CPI</w:t>
      </w:r>
      <w:r>
        <w:rPr>
          <w:rFonts w:hint="eastAsia"/>
          <w:kern w:val="0"/>
          <w:sz w:val="24"/>
        </w:rPr>
        <w:t>大幅走高。受房地产投资高位下行，基建投资低位徘徊，中美贸易谈判进展曲折等因素影响，今年我国</w:t>
      </w:r>
      <w:r>
        <w:rPr>
          <w:rFonts w:hint="eastAsia"/>
          <w:kern w:val="0"/>
          <w:sz w:val="24"/>
        </w:rPr>
        <w:t>GDP</w:t>
      </w:r>
      <w:r>
        <w:rPr>
          <w:rFonts w:hint="eastAsia"/>
          <w:kern w:val="0"/>
          <w:sz w:val="24"/>
        </w:rPr>
        <w:t>增速从一季度</w:t>
      </w:r>
      <w:r>
        <w:rPr>
          <w:rFonts w:hint="eastAsia"/>
          <w:kern w:val="0"/>
          <w:sz w:val="24"/>
        </w:rPr>
        <w:t>6.4%</w:t>
      </w:r>
      <w:r>
        <w:rPr>
          <w:rFonts w:hint="eastAsia"/>
          <w:kern w:val="0"/>
          <w:sz w:val="24"/>
        </w:rPr>
        <w:t>下行至</w:t>
      </w:r>
      <w:r>
        <w:rPr>
          <w:rFonts w:hint="eastAsia"/>
          <w:kern w:val="0"/>
          <w:sz w:val="24"/>
        </w:rPr>
        <w:t>6%</w:t>
      </w:r>
      <w:r>
        <w:rPr>
          <w:rFonts w:hint="eastAsia"/>
          <w:kern w:val="0"/>
          <w:sz w:val="24"/>
        </w:rPr>
        <w:t>附近，但</w:t>
      </w:r>
      <w:r>
        <w:rPr>
          <w:rFonts w:hint="eastAsia"/>
          <w:kern w:val="0"/>
          <w:sz w:val="24"/>
        </w:rPr>
        <w:t>CPI</w:t>
      </w:r>
      <w:r>
        <w:rPr>
          <w:rFonts w:hint="eastAsia"/>
          <w:kern w:val="0"/>
          <w:sz w:val="24"/>
        </w:rPr>
        <w:t>由于主要受猪肉价格大涨影响，一路飙升至</w:t>
      </w:r>
      <w:r>
        <w:rPr>
          <w:rFonts w:hint="eastAsia"/>
          <w:kern w:val="0"/>
          <w:sz w:val="24"/>
        </w:rPr>
        <w:t>4%</w:t>
      </w:r>
      <w:r>
        <w:rPr>
          <w:rFonts w:hint="eastAsia"/>
          <w:kern w:val="0"/>
          <w:sz w:val="24"/>
        </w:rPr>
        <w:t>以上。一季度，我国制造业景气度回升，房地产与基建投资带动固定资产投资增速回升。但是好景不长，二季度中采制造业</w:t>
      </w:r>
      <w:r>
        <w:rPr>
          <w:rFonts w:hint="eastAsia"/>
          <w:kern w:val="0"/>
          <w:sz w:val="24"/>
        </w:rPr>
        <w:t>PMI</w:t>
      </w:r>
      <w:r>
        <w:rPr>
          <w:rFonts w:hint="eastAsia"/>
          <w:kern w:val="0"/>
          <w:sz w:val="24"/>
        </w:rPr>
        <w:t>降至荣枯线以下，房地产投资增速从高位开始下降，基建投资稳增长乏力，固定资产投资增速下行承压。三季度经济下行压力加大，中采制造业</w:t>
      </w:r>
      <w:r>
        <w:rPr>
          <w:rFonts w:hint="eastAsia"/>
          <w:kern w:val="0"/>
          <w:sz w:val="24"/>
        </w:rPr>
        <w:t>PMI</w:t>
      </w:r>
      <w:r>
        <w:rPr>
          <w:rFonts w:hint="eastAsia"/>
          <w:kern w:val="0"/>
          <w:sz w:val="24"/>
        </w:rPr>
        <w:t>依然在荣枯线以下，基建投资略有回升，但是受制造业</w:t>
      </w:r>
      <w:r>
        <w:rPr>
          <w:rFonts w:hint="eastAsia"/>
          <w:kern w:val="0"/>
          <w:sz w:val="24"/>
        </w:rPr>
        <w:t>FAI</w:t>
      </w:r>
      <w:r>
        <w:rPr>
          <w:rFonts w:hint="eastAsia"/>
          <w:kern w:val="0"/>
          <w:sz w:val="24"/>
        </w:rPr>
        <w:t>持续下行且房地产</w:t>
      </w:r>
      <w:r>
        <w:rPr>
          <w:rFonts w:hint="eastAsia"/>
          <w:kern w:val="0"/>
          <w:sz w:val="24"/>
        </w:rPr>
        <w:t>FAI</w:t>
      </w:r>
      <w:r>
        <w:rPr>
          <w:rFonts w:hint="eastAsia"/>
          <w:kern w:val="0"/>
          <w:sz w:val="24"/>
        </w:rPr>
        <w:t>高位下行影响，</w:t>
      </w:r>
      <w:r>
        <w:rPr>
          <w:rFonts w:hint="eastAsia"/>
          <w:kern w:val="0"/>
          <w:sz w:val="24"/>
        </w:rPr>
        <w:t>FAI</w:t>
      </w:r>
      <w:r>
        <w:rPr>
          <w:rFonts w:hint="eastAsia"/>
          <w:kern w:val="0"/>
          <w:sz w:val="24"/>
        </w:rPr>
        <w:t>同比增速继续下行承压。四季度，制造业景气度低位回升，工业增加值与制造业投资同比增速也有所好转，但整体上经济依然有下行压力。</w:t>
      </w:r>
    </w:p>
    <w:p w:rsidR="00651D53" w:rsidRDefault="00702C7E">
      <w:pPr>
        <w:tabs>
          <w:tab w:val="left" w:pos="426"/>
        </w:tabs>
        <w:spacing w:before="29" w:line="288" w:lineRule="auto"/>
        <w:ind w:firstLineChars="200" w:firstLine="480"/>
        <w:rPr>
          <w:kern w:val="0"/>
          <w:sz w:val="24"/>
        </w:rPr>
      </w:pPr>
      <w:r>
        <w:rPr>
          <w:rFonts w:hint="eastAsia"/>
          <w:kern w:val="0"/>
          <w:sz w:val="24"/>
        </w:rPr>
        <w:t>中美贸易谈判在曲折中前进。中美贸易谈判在一季度进展向好；但二季度形势逆转，谈判再次遇阻，美方在贸易与科技等领域对我国进一步施压；三季度中美贸易战曾一度升级，但九月有所缓和；四季度谈判取得重要进展，十二月中美宣布就第一阶段经贸协议文本达成一致，贸易战暂时缓和。</w:t>
      </w:r>
    </w:p>
    <w:p w:rsidR="00651D53" w:rsidRDefault="00702C7E">
      <w:pPr>
        <w:tabs>
          <w:tab w:val="left" w:pos="426"/>
        </w:tabs>
        <w:spacing w:before="29" w:line="288" w:lineRule="auto"/>
        <w:ind w:firstLineChars="200" w:firstLine="480"/>
        <w:rPr>
          <w:kern w:val="0"/>
          <w:sz w:val="24"/>
        </w:rPr>
      </w:pPr>
      <w:r>
        <w:rPr>
          <w:rFonts w:hint="eastAsia"/>
          <w:kern w:val="0"/>
          <w:sz w:val="24"/>
        </w:rPr>
        <w:t>货币政策上，受较复杂形势影响，上半年央行货币政策操作曾一度相对谨慎，下半年伴随经济下行压力加大，央行加强逆周期调节力度，货币政策趋于中性偏松，但宽松程度较去年相对节制。今年一月初央行降准</w:t>
      </w:r>
      <w:r>
        <w:rPr>
          <w:rFonts w:hint="eastAsia"/>
          <w:kern w:val="0"/>
          <w:sz w:val="24"/>
        </w:rPr>
        <w:t>1</w:t>
      </w:r>
      <w:r>
        <w:rPr>
          <w:rFonts w:hint="eastAsia"/>
          <w:kern w:val="0"/>
          <w:sz w:val="24"/>
        </w:rPr>
        <w:t>个百分点，但一季度加大了公开市场回笼力度。四月份央行货币政策操作边际向中性回归，但是五月中美贸易战硝烟再起，叠加下旬个别银行信用风险事件冲击货币市场流动性，五月下旬央行再次加大了公开市场投放力度。八月人行宣布改革完善贷款市场报价利率（</w:t>
      </w:r>
      <w:r>
        <w:rPr>
          <w:rFonts w:hint="eastAsia"/>
          <w:kern w:val="0"/>
          <w:sz w:val="24"/>
        </w:rPr>
        <w:t>LPR</w:t>
      </w:r>
      <w:r>
        <w:rPr>
          <w:rFonts w:hint="eastAsia"/>
          <w:kern w:val="0"/>
          <w:sz w:val="24"/>
        </w:rPr>
        <w:t>）形成机制，努力疏通货币传导机制。九月上旬宣布全面降准</w:t>
      </w:r>
      <w:r>
        <w:rPr>
          <w:rFonts w:hint="eastAsia"/>
          <w:kern w:val="0"/>
          <w:sz w:val="24"/>
        </w:rPr>
        <w:t>0.5</w:t>
      </w:r>
      <w:r>
        <w:rPr>
          <w:rFonts w:hint="eastAsia"/>
          <w:kern w:val="0"/>
          <w:sz w:val="24"/>
        </w:rPr>
        <w:t>个百分点且定向降准</w:t>
      </w:r>
      <w:r>
        <w:rPr>
          <w:rFonts w:hint="eastAsia"/>
          <w:kern w:val="0"/>
          <w:sz w:val="24"/>
        </w:rPr>
        <w:t>1</w:t>
      </w:r>
      <w:r>
        <w:rPr>
          <w:rFonts w:hint="eastAsia"/>
          <w:kern w:val="0"/>
          <w:sz w:val="24"/>
        </w:rPr>
        <w:t>个百分点。</w:t>
      </w:r>
      <w:r>
        <w:rPr>
          <w:rFonts w:hint="eastAsia"/>
          <w:kern w:val="0"/>
          <w:sz w:val="24"/>
        </w:rPr>
        <w:t>11</w:t>
      </w:r>
      <w:r>
        <w:rPr>
          <w:rFonts w:hint="eastAsia"/>
          <w:kern w:val="0"/>
          <w:sz w:val="24"/>
        </w:rPr>
        <w:t>月</w:t>
      </w:r>
      <w:r>
        <w:rPr>
          <w:rFonts w:hint="eastAsia"/>
          <w:kern w:val="0"/>
          <w:sz w:val="24"/>
        </w:rPr>
        <w:t>5</w:t>
      </w:r>
      <w:r>
        <w:rPr>
          <w:rFonts w:hint="eastAsia"/>
          <w:kern w:val="0"/>
          <w:sz w:val="24"/>
        </w:rPr>
        <w:t>日央行小幅下调</w:t>
      </w:r>
      <w:r>
        <w:rPr>
          <w:rFonts w:hint="eastAsia"/>
          <w:kern w:val="0"/>
          <w:sz w:val="24"/>
        </w:rPr>
        <w:t>MLF</w:t>
      </w:r>
      <w:r>
        <w:rPr>
          <w:rFonts w:hint="eastAsia"/>
          <w:kern w:val="0"/>
          <w:sz w:val="24"/>
        </w:rPr>
        <w:t>利率</w:t>
      </w:r>
      <w:r>
        <w:rPr>
          <w:rFonts w:hint="eastAsia"/>
          <w:kern w:val="0"/>
          <w:sz w:val="24"/>
        </w:rPr>
        <w:t>5</w:t>
      </w:r>
      <w:r>
        <w:rPr>
          <w:rFonts w:hint="eastAsia"/>
          <w:kern w:val="0"/>
          <w:sz w:val="24"/>
        </w:rPr>
        <w:t>个</w:t>
      </w:r>
      <w:r>
        <w:rPr>
          <w:rFonts w:hint="eastAsia"/>
          <w:kern w:val="0"/>
          <w:sz w:val="24"/>
        </w:rPr>
        <w:t>BP,</w:t>
      </w:r>
      <w:r>
        <w:rPr>
          <w:rFonts w:hint="eastAsia"/>
          <w:kern w:val="0"/>
          <w:sz w:val="24"/>
        </w:rPr>
        <w:t>并且在</w:t>
      </w:r>
      <w:r>
        <w:rPr>
          <w:rFonts w:hint="eastAsia"/>
          <w:kern w:val="0"/>
          <w:sz w:val="24"/>
        </w:rPr>
        <w:t>11</w:t>
      </w:r>
      <w:r>
        <w:rPr>
          <w:rFonts w:hint="eastAsia"/>
          <w:kern w:val="0"/>
          <w:sz w:val="24"/>
        </w:rPr>
        <w:t>月</w:t>
      </w:r>
      <w:r>
        <w:rPr>
          <w:rFonts w:hint="eastAsia"/>
          <w:kern w:val="0"/>
          <w:sz w:val="24"/>
        </w:rPr>
        <w:t>18</w:t>
      </w:r>
      <w:r>
        <w:rPr>
          <w:rFonts w:hint="eastAsia"/>
          <w:kern w:val="0"/>
          <w:sz w:val="24"/>
        </w:rPr>
        <w:t>日同等幅度下调</w:t>
      </w:r>
      <w:r>
        <w:rPr>
          <w:rFonts w:hint="eastAsia"/>
          <w:kern w:val="0"/>
          <w:sz w:val="24"/>
        </w:rPr>
        <w:t>7</w:t>
      </w:r>
      <w:r>
        <w:rPr>
          <w:rFonts w:hint="eastAsia"/>
          <w:kern w:val="0"/>
          <w:sz w:val="24"/>
        </w:rPr>
        <w:t>天逆回购利率，释放了温和降息的信号，四季度央行也加大力度呵护市场流动性。</w:t>
      </w:r>
    </w:p>
    <w:p w:rsidR="00651D53" w:rsidRDefault="00702C7E">
      <w:pPr>
        <w:tabs>
          <w:tab w:val="left" w:pos="426"/>
        </w:tabs>
        <w:spacing w:before="29" w:line="288" w:lineRule="auto"/>
        <w:ind w:firstLineChars="200" w:firstLine="480"/>
        <w:rPr>
          <w:kern w:val="0"/>
          <w:sz w:val="24"/>
        </w:rPr>
      </w:pPr>
      <w:r>
        <w:rPr>
          <w:rFonts w:hint="eastAsia"/>
          <w:kern w:val="0"/>
          <w:sz w:val="24"/>
        </w:rPr>
        <w:t>资金面上，受降准、缴税以及个别银行信用风险事件等因素影响，上半年货币市场资金面有些波折；下半年，央行逆周期调节力度增强，市场流动性整体上更加宽裕。一季度资金面整体上非常宽松。但是，二季度市场资金面起了波澜，四月中下旬货币市场曾一度趋紧，五月下旬受个别银行信用风险事件冲击，市场资金面大幅趋紧，但随后在央行释放流动性及其他监管机构协调维稳下，资金面整体上趋于宽松。三季度，尽管央行加强了公开市场回笼力度，但是银行间货币市场资金面除九月中下旬有些趋紧之外，大部分交易日保持相对宽松格局。四季度，银行间货币市场资金面曾在十月一度趋紧，但在十一月央行小幅降息，尤其在十二月为了呵护市场平稳跨年，央行加大公开市场净</w:t>
      </w:r>
      <w:r>
        <w:rPr>
          <w:rFonts w:hint="eastAsia"/>
          <w:kern w:val="0"/>
          <w:sz w:val="24"/>
        </w:rPr>
        <w:lastRenderedPageBreak/>
        <w:t>投放力度，资金面比较宽松。</w:t>
      </w:r>
    </w:p>
    <w:p w:rsidR="00651D53" w:rsidRDefault="00702C7E">
      <w:pPr>
        <w:tabs>
          <w:tab w:val="left" w:pos="426"/>
        </w:tabs>
        <w:spacing w:before="29" w:line="288" w:lineRule="auto"/>
        <w:ind w:firstLineChars="200" w:firstLine="480"/>
        <w:rPr>
          <w:kern w:val="0"/>
          <w:sz w:val="24"/>
        </w:rPr>
      </w:pPr>
      <w:r>
        <w:rPr>
          <w:rFonts w:hint="eastAsia"/>
          <w:kern w:val="0"/>
          <w:sz w:val="24"/>
        </w:rPr>
        <w:t>今年存单与存款收益率中枢较去年显著下。上半年同业存款及存单利率曾出现几次回调，但至六月下旬受资金面宽松影响，股份制银行的存款及存单收益率下降。三季度存单与存款收益率中枢下降至历史较低位置。十月至十一月中上旬存单与存款收益率中枢曾持续回升，但是受央行公开市场降息及资金面宽松的影响，十一月下旬后存单存款收益率再次呈回落走势，十二月中下旬更是显著下降。受中美贸易谈判扰动，经济数据波动，以及央行货币政策操作变化等影响，今年债市较为波折，整体上呈震荡格局。</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报告期内本基金研判资金面波动与客户申赎需求特征，在重要时间段内提升流动性以期满足基金份额持有人潜在赎回需求。管控信用风险，择机调整组合杠杆与久期。根据市场情况灵活调整存款存单与短融等投资品种的配置比例，择机加大存款存单以及短融等的配置力度，为持有人创造了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35962132"/>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2020</w:t>
      </w:r>
      <w:r w:rsidRPr="00EB7915">
        <w:rPr>
          <w:rFonts w:hint="eastAsia"/>
          <w:kern w:val="0"/>
          <w:sz w:val="24"/>
        </w:rPr>
        <w:t>年，考虑中美贸易冲突暂缓、基建稳增长发力以及部分行业库存较低等因素，短期内我国部分经济数据继续弱企稳的概率上升，经济增速边际放缓幅度可能在收敛。但是，由于房地产投资存在下行压力，后续中美贸易谈判前景不确定，海外政治与经济形势不明朗等问题，国内经济下行风险依然存在。我们预计短期内央行货币政策将维持中性偏松，保持逆周期调节作用，但仍需关注经济企稳的力度与央行货币政策操作边际的变动。同时密切关注银保监会关于银行理财监管政策的推进情况、专项债等逆周期财政政策进展、以及中美贸易谈判后续进展情况等。组合管理方面，本基金将跟踪研判宏观经济走势与央行货币政策操作，保持较好的流动性，把握市场波动机会，尽力控制风险，努力为投资者创造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35962133"/>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651D53" w:rsidRDefault="00702C7E">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51D53" w:rsidRDefault="00702C7E">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651D53" w:rsidRDefault="00702C7E">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651D53" w:rsidRDefault="00702C7E">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w:t>
      </w:r>
      <w:r>
        <w:rPr>
          <w:rFonts w:hint="eastAsia"/>
          <w:kern w:val="0"/>
          <w:sz w:val="24"/>
        </w:rPr>
        <w:lastRenderedPageBreak/>
        <w:t>风险防范措施并定期跟进；继续加强流动性风险管理，坚持开展定期及不定期压力测试工作机制，不断提升公司风险管理水平。</w:t>
      </w:r>
    </w:p>
    <w:p w:rsidR="00651D53" w:rsidRDefault="00702C7E">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651D53" w:rsidRDefault="00702C7E">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651D53" w:rsidRDefault="00702C7E">
      <w:pPr>
        <w:tabs>
          <w:tab w:val="left" w:pos="426"/>
        </w:tabs>
        <w:spacing w:before="29" w:line="288" w:lineRule="auto"/>
        <w:ind w:firstLineChars="200" w:firstLine="480"/>
        <w:rPr>
          <w:kern w:val="0"/>
          <w:sz w:val="24"/>
        </w:rPr>
      </w:pPr>
      <w:r>
        <w:rPr>
          <w:rFonts w:hint="eastAsia"/>
          <w:kern w:val="0"/>
          <w:sz w:val="24"/>
        </w:rPr>
        <w:t>（三）强化全员合规理念，突出重点，全面提升法律、合规管理水平。</w:t>
      </w:r>
    </w:p>
    <w:p w:rsidR="00651D53" w:rsidRDefault="00702C7E">
      <w:pPr>
        <w:tabs>
          <w:tab w:val="left" w:pos="426"/>
        </w:tabs>
        <w:spacing w:before="29" w:line="288" w:lineRule="auto"/>
        <w:ind w:firstLineChars="200" w:firstLine="480"/>
        <w:rPr>
          <w:kern w:val="0"/>
          <w:sz w:val="24"/>
        </w:rPr>
      </w:pPr>
      <w:r>
        <w:rPr>
          <w:rFonts w:hint="eastAsia"/>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651D53" w:rsidRDefault="00702C7E">
      <w:pPr>
        <w:tabs>
          <w:tab w:val="left" w:pos="426"/>
        </w:tabs>
        <w:spacing w:before="29" w:line="288" w:lineRule="auto"/>
        <w:ind w:firstLineChars="200" w:firstLine="480"/>
        <w:rPr>
          <w:kern w:val="0"/>
          <w:sz w:val="24"/>
        </w:rPr>
      </w:pPr>
      <w:r>
        <w:rPr>
          <w:rFonts w:hint="eastAsia"/>
          <w:kern w:val="0"/>
          <w:sz w:val="24"/>
        </w:rPr>
        <w:t>（四）围绕行业热点、难点、重点问题，强化培训教育及合规提示，持续提高全员风险合规意识。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35962134"/>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651D53" w:rsidRDefault="00702C7E">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51D53" w:rsidRDefault="00702C7E">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2379AA" w:rsidRDefault="00BC7A30" w:rsidP="002379AA">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35962135"/>
      <w:r w:rsidRPr="002379AA">
        <w:rPr>
          <w:rFonts w:ascii="Times New Roman" w:hAnsi="Times New Roman" w:cs="Times New Roman"/>
          <w:kern w:val="0"/>
          <w:szCs w:val="24"/>
        </w:rPr>
        <w:lastRenderedPageBreak/>
        <w:t>4.</w:t>
      </w:r>
      <w:r w:rsidRPr="002379AA">
        <w:rPr>
          <w:rFonts w:ascii="Times New Roman" w:hAnsi="Times New Roman" w:cs="Times New Roman" w:hint="eastAsia"/>
          <w:kern w:val="0"/>
          <w:szCs w:val="24"/>
        </w:rPr>
        <w:t>8</w:t>
      </w:r>
      <w:r w:rsidRPr="002379AA">
        <w:rPr>
          <w:rFonts w:ascii="Times New Roman" w:hAnsi="Times New Roman" w:cs="Times New Roman"/>
          <w:kern w:val="0"/>
          <w:szCs w:val="24"/>
        </w:rPr>
        <w:t xml:space="preserve"> </w:t>
      </w:r>
      <w:r w:rsidRPr="002379AA">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9F3749" w:rsidRPr="00BB731C" w:rsidRDefault="009F3749" w:rsidP="009F3749">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w:t>
      </w:r>
      <w:r>
        <w:rPr>
          <w:kern w:val="0"/>
          <w:sz w:val="24"/>
        </w:rPr>
        <w:t>7.10</w:t>
      </w:r>
      <w:r w:rsidRPr="00BB731C">
        <w:rPr>
          <w:kern w:val="0"/>
          <w:sz w:val="24"/>
        </w:rPr>
        <w:t>。</w:t>
      </w:r>
    </w:p>
    <w:p w:rsidR="00BC7A30" w:rsidRPr="009F3749" w:rsidRDefault="00BC7A30" w:rsidP="00BC7A30">
      <w:pPr>
        <w:spacing w:line="360" w:lineRule="auto"/>
        <w:ind w:firstLineChars="200" w:firstLine="420"/>
        <w:rPr>
          <w:rFonts w:eastAsiaTheme="minorEastAsia"/>
          <w:color w:val="000000"/>
          <w:szCs w:val="21"/>
        </w:rPr>
      </w:pPr>
    </w:p>
    <w:p w:rsidR="00BC7A30" w:rsidRPr="002379AA" w:rsidRDefault="00BC7A30" w:rsidP="002379AA">
      <w:pPr>
        <w:pStyle w:val="20"/>
        <w:spacing w:before="29" w:after="0" w:line="288" w:lineRule="auto"/>
        <w:rPr>
          <w:rFonts w:ascii="Times New Roman" w:hAnsi="Times New Roman" w:cs="Times New Roman"/>
          <w:kern w:val="0"/>
          <w:szCs w:val="24"/>
        </w:rPr>
      </w:pPr>
      <w:bookmarkStart w:id="26" w:name="_Toc35962136"/>
      <w:r w:rsidRPr="002379AA">
        <w:rPr>
          <w:rFonts w:ascii="Times New Roman" w:hAnsi="Times New Roman" w:cs="Times New Roman"/>
          <w:kern w:val="0"/>
          <w:szCs w:val="24"/>
        </w:rPr>
        <w:t>4.9</w:t>
      </w:r>
      <w:r w:rsidRPr="002379AA">
        <w:rPr>
          <w:rFonts w:ascii="Times New Roman" w:hAnsi="Times New Roman" w:cs="Times New Roman" w:hint="eastAsia"/>
          <w:kern w:val="0"/>
          <w:szCs w:val="24"/>
        </w:rPr>
        <w:t xml:space="preserve"> </w:t>
      </w:r>
      <w:r w:rsidRPr="002379AA">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35962137"/>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35962138"/>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35962139"/>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35962140"/>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报告中财务指标、净值收益表现、收益分配情况、财务会计报告、投资组合报告的数据真实、准确和完整（注：财务会计报告中的“金融工具风险及管理”部分，以及涉及关联方和基金份额持有人信息等相关数据未在托管人复核范围内）。</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35962141"/>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22348</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交银施罗德活期通货币市场基金全体基金份额持有人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374459273"/>
      <w:bookmarkStart w:id="46" w:name="_Toc362424011"/>
      <w:bookmarkStart w:id="47" w:name="_Toc352331233"/>
      <w:bookmarkStart w:id="48" w:name="_Toc352256055"/>
      <w:bookmarkStart w:id="49" w:name="_Toc352255987"/>
      <w:bookmarkStart w:id="50" w:name="_Toc286996147"/>
      <w:bookmarkStart w:id="51" w:name="_Toc35962142"/>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51"/>
    </w:p>
    <w:p w:rsidR="00651D53" w:rsidRDefault="00702C7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651D53" w:rsidRDefault="00702C7E">
      <w:pPr>
        <w:widowControl/>
        <w:spacing w:line="288" w:lineRule="auto"/>
        <w:ind w:firstLine="420"/>
        <w:rPr>
          <w:rFonts w:eastAsiaTheme="minorEastAsia"/>
          <w:kern w:val="0"/>
          <w:sz w:val="24"/>
        </w:rPr>
      </w:pPr>
      <w:r>
        <w:rPr>
          <w:rFonts w:eastAsiaTheme="minorEastAsia"/>
          <w:kern w:val="0"/>
          <w:sz w:val="24"/>
        </w:rPr>
        <w:t>我们审计了交银施罗德活期通货币市场基金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交银活期通货币基金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51D53" w:rsidRDefault="00651D53">
      <w:pPr>
        <w:widowControl/>
        <w:spacing w:line="288" w:lineRule="auto"/>
        <w:ind w:firstLine="420"/>
        <w:rPr>
          <w:rFonts w:eastAsiaTheme="minorEastAsia"/>
          <w:kern w:val="0"/>
          <w:sz w:val="24"/>
        </w:rPr>
      </w:pPr>
    </w:p>
    <w:p w:rsidR="00651D53" w:rsidRDefault="00702C7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发布的有关规定及允许的基金行业实务操作编制，公允反映了交银活期通货币基金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3596214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651D53" w:rsidRDefault="00702C7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651D53" w:rsidRDefault="00651D53">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按照中国注册会计师职业道德守则，我们独立于交银活期通货币基金，并履行了职业道德方面的其他责任。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5962144"/>
      <w:r>
        <w:rPr>
          <w:rFonts w:ascii="Times New Roman" w:eastAsiaTheme="minorEastAsia" w:hAnsi="Times New Roman"/>
          <w:kern w:val="0"/>
          <w:szCs w:val="24"/>
        </w:rPr>
        <w:t xml:space="preserve">6.3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3"/>
    </w:p>
    <w:p w:rsidR="00651D53" w:rsidRDefault="00702C7E">
      <w:pPr>
        <w:spacing w:line="288" w:lineRule="auto"/>
        <w:ind w:firstLineChars="200" w:firstLine="480"/>
        <w:rPr>
          <w:rFonts w:eastAsiaTheme="minorEastAsia"/>
          <w:sz w:val="24"/>
        </w:rPr>
      </w:pPr>
      <w:r>
        <w:rPr>
          <w:rFonts w:eastAsiaTheme="minorEastAsia"/>
          <w:sz w:val="24"/>
        </w:rPr>
        <w:t>交银活期通货币基金的基金管理人交银施罗德基金管理有限公司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51D53" w:rsidRDefault="00651D53">
      <w:pPr>
        <w:spacing w:line="288" w:lineRule="auto"/>
        <w:ind w:firstLineChars="200" w:firstLine="480"/>
        <w:rPr>
          <w:rFonts w:eastAsiaTheme="minorEastAsia"/>
          <w:sz w:val="24"/>
        </w:rPr>
      </w:pPr>
    </w:p>
    <w:p w:rsidR="00651D53" w:rsidRDefault="00702C7E">
      <w:pPr>
        <w:spacing w:line="288" w:lineRule="auto"/>
        <w:ind w:firstLineChars="200" w:firstLine="480"/>
        <w:rPr>
          <w:rFonts w:eastAsiaTheme="minorEastAsia"/>
          <w:sz w:val="24"/>
        </w:rPr>
      </w:pPr>
      <w:r>
        <w:rPr>
          <w:rFonts w:eastAsiaTheme="minorEastAsia"/>
          <w:sz w:val="24"/>
        </w:rPr>
        <w:t>在编制财务报表时，基金管理人管理层负责评估交银活期通货币基金的持续经营能力，披露与持续经营相关的事项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，并运用持续经营假设，除非基金管理人管理层计划清算交银活期通货币基金、终止运营或别无其他现实的选择。</w:t>
      </w:r>
    </w:p>
    <w:p w:rsidR="00651D53" w:rsidRDefault="00651D53">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基金管理人治理层负责监督交银活期通货币基金的财务报告过程。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35962145"/>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651D53" w:rsidRDefault="00702C7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51D53" w:rsidRDefault="00651D53">
      <w:pPr>
        <w:spacing w:line="288" w:lineRule="auto"/>
        <w:ind w:firstLineChars="200" w:firstLine="480"/>
        <w:rPr>
          <w:rFonts w:eastAsiaTheme="minorEastAsia"/>
          <w:sz w:val="24"/>
        </w:rPr>
      </w:pPr>
    </w:p>
    <w:p w:rsidR="00651D53" w:rsidRDefault="00702C7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w:t>
      </w:r>
      <w:r>
        <w:rPr>
          <w:rFonts w:eastAsiaTheme="minorEastAsia"/>
          <w:sz w:val="24"/>
        </w:rPr>
        <w:lastRenderedPageBreak/>
        <w:t>时，我们也执行以下工作：</w:t>
      </w:r>
    </w:p>
    <w:p w:rsidR="00651D53" w:rsidRDefault="00651D53">
      <w:pPr>
        <w:spacing w:line="288" w:lineRule="auto"/>
        <w:ind w:firstLineChars="200" w:firstLine="480"/>
        <w:rPr>
          <w:rFonts w:eastAsiaTheme="minorEastAsia"/>
          <w:sz w:val="24"/>
        </w:rPr>
      </w:pPr>
    </w:p>
    <w:p w:rsidR="00651D53" w:rsidRDefault="00702C7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51D53" w:rsidRDefault="00702C7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51D53" w:rsidRDefault="00651D53">
      <w:pPr>
        <w:spacing w:line="288" w:lineRule="auto"/>
        <w:ind w:firstLineChars="200" w:firstLine="480"/>
        <w:rPr>
          <w:rFonts w:eastAsiaTheme="minorEastAsia"/>
          <w:sz w:val="24"/>
        </w:rPr>
      </w:pPr>
    </w:p>
    <w:p w:rsidR="00651D53" w:rsidRDefault="00702C7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51D53" w:rsidRDefault="00651D53">
      <w:pPr>
        <w:spacing w:line="288" w:lineRule="auto"/>
        <w:ind w:firstLineChars="200" w:firstLine="480"/>
        <w:rPr>
          <w:rFonts w:eastAsiaTheme="minorEastAsia"/>
          <w:sz w:val="24"/>
        </w:rPr>
      </w:pPr>
    </w:p>
    <w:p w:rsidR="00651D53" w:rsidRDefault="00702C7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活期通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活期通货币基金不能持续经营。</w:t>
      </w:r>
    </w:p>
    <w:p w:rsidR="00651D53" w:rsidRDefault="00651D53">
      <w:pPr>
        <w:spacing w:line="288" w:lineRule="auto"/>
        <w:ind w:firstLineChars="200" w:firstLine="480"/>
        <w:rPr>
          <w:rFonts w:eastAsiaTheme="minorEastAsia"/>
          <w:sz w:val="24"/>
        </w:rPr>
      </w:pPr>
    </w:p>
    <w:p w:rsidR="00651D53" w:rsidRDefault="00702C7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651D53" w:rsidRDefault="00651D53">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35962146"/>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35962147"/>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会计主体：交银施罗德活期通货币市场基金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2019</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lastRenderedPageBreak/>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2019</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2018</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10,902,962,946.53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8,310,514,829.56</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26,272,727.28</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21,296,996,968.31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28,123,187,402.38</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21,226,996,968.31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27,973,187,402.38</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150,000,000.00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2,566,815,210.23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2,573,995,180.99</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120,282,235.47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80,907,357.13</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13,327.47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5,046,696.76</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34,887,070,688.01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39,119,924,194.10</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2019</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2018</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400,036,079.95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8,892,827.69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10,202,130.59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1,482,137.92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1,700,355.10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3,525,258.34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4,756,519.93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348,322.90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241,347.00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lastRenderedPageBreak/>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865,627.73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711,871.66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350,695.54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2,420,419.24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3,129,228.95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282,300.00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299,300.00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17,816,893.82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421,427,528.72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34,869,253,794.19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38,698,496,665.38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34,869,253,794.19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38,698,496,665.38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34,887,070,688.01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39,119,924,194.10</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2019</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34,869,253,794.19</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15,697,243,072.19</w:t>
      </w:r>
      <w:r w:rsidRPr="008B27D5">
        <w:rPr>
          <w:rFonts w:hint="eastAsia"/>
          <w:kern w:val="0"/>
          <w:sz w:val="24"/>
        </w:rPr>
        <w:t>份，</w:t>
      </w:r>
      <w:r w:rsidRPr="008B27D5">
        <w:rPr>
          <w:rFonts w:hint="eastAsia"/>
          <w:kern w:val="0"/>
          <w:sz w:val="24"/>
        </w:rPr>
        <w:t>E</w:t>
      </w:r>
      <w:r w:rsidRPr="008B27D5">
        <w:rPr>
          <w:rFonts w:hint="eastAsia"/>
          <w:kern w:val="0"/>
          <w:sz w:val="24"/>
        </w:rPr>
        <w:t>类基金份额</w:t>
      </w:r>
      <w:r w:rsidRPr="008B27D5">
        <w:rPr>
          <w:rFonts w:hint="eastAsia"/>
          <w:kern w:val="0"/>
          <w:sz w:val="24"/>
        </w:rPr>
        <w:t>19,172,010,722.00</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35962148"/>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会计主体：交银施罗德活期通货币市场基金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2019</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2019</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1,201,362,048.03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1,366,513,261.82</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1,201,113,644.71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1,362,810,896.09</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358,549,513.40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471,765,097.87</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667,244,860.56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686,233,860.18</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7,161,952.46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1,874,597.72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168,157,318.29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202,937,340.32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248,403.32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3,702,365.73</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248,403.32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3,702,365.73</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lastRenderedPageBreak/>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220,012,430.71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191,714,471.44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115,181,914.94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99,572,293.87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19,196,985.80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16,595,382.34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46,953,959.49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52,754,243.21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37,241,842.86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21,458,107.23</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37,241,842.86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21,458,107.23</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1,029,435.63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898,067.81</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408,291.99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436,376.98</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981,349,617.32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1,174,798,790.38</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981,349,617.32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1,174,798,790.38</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35962149"/>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会计主体：交银施罗德活期通货币市场基金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2019</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2019</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38,698,496,665.38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38,698,496,665.38</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981,349,617.32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981,349,617.32</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w:t>
            </w:r>
            <w:r w:rsidRPr="004D095E">
              <w:rPr>
                <w:rFonts w:hint="eastAsia"/>
                <w:sz w:val="24"/>
              </w:rPr>
              <w:lastRenderedPageBreak/>
              <w:t>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lastRenderedPageBreak/>
              <w:t>-3,829,242,871.19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-3,829,242,871.19</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119,446,357,469.07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119,446,357,469.07</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-123,275,600,340.26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-123,275,600,340.26</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-981,349,617.32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-981,349,617.32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34,869,253,794.19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34,869,253,794.19</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23,958,155,458.85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23,958,155,458.85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1,174,798,790.38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1,174,798,790.38</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14,740,341,206.53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14,740,341,206.53</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160,901,564,718.98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160,901,564,718.98</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-146,161,223,512.45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-146,161,223,512.45</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-1,174,798,790.38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-1,174,798,790.38</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38,698,496,665.38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38,698,496,665.38</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35962150"/>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651D53" w:rsidRDefault="00702C7E">
      <w:pPr>
        <w:spacing w:before="29" w:line="288" w:lineRule="auto"/>
        <w:ind w:firstLineChars="200" w:firstLine="480"/>
        <w:rPr>
          <w:kern w:val="0"/>
          <w:sz w:val="24"/>
        </w:rPr>
      </w:pPr>
      <w:r>
        <w:rPr>
          <w:rFonts w:hint="eastAsia"/>
          <w:kern w:val="0"/>
          <w:sz w:val="24"/>
        </w:rPr>
        <w:t>交银施罗德活期通货币市场基金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[2016]1570</w:t>
      </w:r>
      <w:r>
        <w:rPr>
          <w:rFonts w:hint="eastAsia"/>
          <w:kern w:val="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rFonts w:hint="eastAsia"/>
          <w:kern w:val="0"/>
          <w:sz w:val="24"/>
        </w:rPr>
        <w:t>210,070,922.49</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996</w:t>
      </w:r>
      <w:r>
        <w:rPr>
          <w:rFonts w:hint="eastAsia"/>
          <w:kern w:val="0"/>
          <w:sz w:val="24"/>
        </w:rPr>
        <w:t>号验资报告予以验证。经向中国证监会备案，《交银施罗德活期通货币市场基金基金合同》于</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日正式生效，基金合同生效日的基金份额总额为</w:t>
      </w:r>
      <w:r>
        <w:rPr>
          <w:rFonts w:hint="eastAsia"/>
          <w:kern w:val="0"/>
          <w:sz w:val="24"/>
        </w:rPr>
        <w:t>210,080,375.35</w:t>
      </w:r>
      <w:r>
        <w:rPr>
          <w:rFonts w:hint="eastAsia"/>
          <w:kern w:val="0"/>
          <w:sz w:val="24"/>
        </w:rPr>
        <w:t>份基金份额，其中认购资金利息折合</w:t>
      </w:r>
      <w:r>
        <w:rPr>
          <w:rFonts w:hint="eastAsia"/>
          <w:kern w:val="0"/>
          <w:sz w:val="24"/>
        </w:rPr>
        <w:t>9,452.86</w:t>
      </w:r>
      <w:r>
        <w:rPr>
          <w:rFonts w:hint="eastAsia"/>
          <w:kern w:val="0"/>
          <w:sz w:val="24"/>
        </w:rPr>
        <w:t>份基金份额。本基金的基金管理人为交银施罗德基金管理有限公司，基金托管人为中信建投证券股份有限公司。</w:t>
      </w:r>
    </w:p>
    <w:p w:rsidR="00651D53" w:rsidRDefault="00702C7E">
      <w:pPr>
        <w:spacing w:before="29" w:line="288" w:lineRule="auto"/>
        <w:ind w:firstLineChars="200" w:firstLine="480"/>
        <w:rPr>
          <w:kern w:val="0"/>
          <w:sz w:val="24"/>
        </w:rPr>
      </w:pPr>
      <w:r>
        <w:rPr>
          <w:rFonts w:hint="eastAsia"/>
          <w:kern w:val="0"/>
          <w:sz w:val="24"/>
        </w:rPr>
        <w:t>根据《交银施罗德活期通货币市场基金基金合同》和《交银施罗德活期通货币市场基金招募说明书》的相关规定，本基金根据销售服务费收取方式的不同，将基金份额分为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651D53" w:rsidRDefault="00702C7E">
      <w:pPr>
        <w:spacing w:before="29" w:line="288" w:lineRule="auto"/>
        <w:ind w:firstLineChars="200" w:firstLine="480"/>
        <w:rPr>
          <w:kern w:val="0"/>
          <w:sz w:val="24"/>
        </w:rPr>
      </w:pPr>
      <w:r>
        <w:rPr>
          <w:rFonts w:hint="eastAsia"/>
          <w:kern w:val="0"/>
          <w:sz w:val="24"/>
        </w:rPr>
        <w:t>根据《中华人民共和国证券投资基金法》和《交银施罗德活期通货币市场基金基金合同》的有关规定，本基金的投资范围为法律法规及监管机构允许投资的金融工具，包括现金，期限在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2020</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27</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651D53" w:rsidRDefault="00702C7E">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w:t>
      </w:r>
      <w:r>
        <w:rPr>
          <w:rFonts w:hint="eastAsia"/>
          <w:kern w:val="0"/>
          <w:sz w:val="24"/>
        </w:rPr>
        <w:lastRenderedPageBreak/>
        <w:t>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颁布的《证券投资基金会计核算业务指引》、《交银施罗德活期通货币市场基金基金合同》和在财务报表附注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2019</w:t>
      </w:r>
      <w:r w:rsidRPr="00650D53">
        <w:rPr>
          <w:rFonts w:hint="eastAsia"/>
          <w:kern w:val="0"/>
          <w:sz w:val="24"/>
        </w:rPr>
        <w:t>年度财务报表符合企业会计准则的要求，真实、完整地反映了本基金</w:t>
      </w:r>
      <w:r w:rsidRPr="00650D53">
        <w:rPr>
          <w:rFonts w:hint="eastAsia"/>
          <w:kern w:val="0"/>
          <w:sz w:val="24"/>
        </w:rPr>
        <w:t>2019</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2019</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651D53" w:rsidRDefault="00702C7E">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651D53" w:rsidRDefault="00702C7E">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51D53" w:rsidRDefault="00702C7E">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651D53" w:rsidRDefault="00702C7E">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651D53" w:rsidRDefault="00702C7E">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651D53" w:rsidRDefault="00702C7E">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651D53" w:rsidRDefault="00702C7E">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651D53" w:rsidRDefault="00702C7E">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651D53" w:rsidRDefault="00702C7E">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651D53" w:rsidRDefault="00702C7E">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绝对值达到或超过基金资产净值的</w:t>
      </w:r>
      <w:r>
        <w:rPr>
          <w:rFonts w:hint="eastAsia"/>
          <w:kern w:val="0"/>
          <w:sz w:val="24"/>
        </w:rPr>
        <w:t>0.25%</w:t>
      </w:r>
      <w:r>
        <w:rPr>
          <w:rFonts w:hint="eastAsia"/>
          <w:kern w:val="0"/>
          <w:sz w:val="24"/>
        </w:rPr>
        <w:t>时，或正偏离度达到或超过</w:t>
      </w:r>
      <w:r>
        <w:rPr>
          <w:rFonts w:hint="eastAsia"/>
          <w:kern w:val="0"/>
          <w:sz w:val="24"/>
        </w:rPr>
        <w:t>0.5%</w:t>
      </w:r>
      <w:r>
        <w:rPr>
          <w:rFonts w:hint="eastAsia"/>
          <w:kern w:val="0"/>
          <w:sz w:val="24"/>
        </w:rPr>
        <w:t>时，基金管理人应根据相关法律法规采取相应措施，使基金资产净值更能公允地反映基金投资组合价值。</w:t>
      </w:r>
    </w:p>
    <w:p w:rsidR="00651D53" w:rsidRDefault="00702C7E">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651D53" w:rsidRDefault="00702C7E">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51D53" w:rsidRDefault="00702C7E">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w:t>
      </w:r>
      <w:r>
        <w:rPr>
          <w:rFonts w:hint="eastAsia"/>
          <w:kern w:val="0"/>
          <w:sz w:val="24"/>
        </w:rPr>
        <w:lastRenderedPageBreak/>
        <w:t>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651D53" w:rsidRDefault="00702C7E">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651D53" w:rsidRDefault="00702C7E">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651D53" w:rsidRDefault="00702C7E">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 xml:space="preserve">1.00 </w:t>
      </w:r>
      <w:r w:rsidRPr="00650D53">
        <w:rPr>
          <w:rFonts w:hint="eastAsia"/>
          <w:kern w:val="0"/>
          <w:sz w:val="24"/>
        </w:rPr>
        <w:t>元固定份额净值交易方式，每日计算当日收益并全部分配结转至应付收益科目，于下一工作日以红利再投资方式集中支付累计收益。</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651D53" w:rsidRDefault="00702C7E">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651D53" w:rsidRDefault="00702C7E">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651D53" w:rsidRDefault="00702C7E">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651D53" w:rsidRDefault="00702C7E">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w:t>
      </w:r>
      <w:r>
        <w:rPr>
          <w:rFonts w:hint="eastAsia"/>
          <w:kern w:val="0"/>
          <w:sz w:val="24"/>
        </w:rPr>
        <w:lastRenderedPageBreak/>
        <w:t>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651D53" w:rsidRDefault="00702C7E">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651D53" w:rsidRDefault="00702C7E">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651D53" w:rsidRDefault="00702C7E">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651D53" w:rsidRDefault="00702C7E">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2,962,946.53</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2,514,829.56</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10,900,000,000.00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8,308,000,000.00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10,902,962,946.53</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8,310,514,829.56</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lastRenderedPageBreak/>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2126"/>
        <w:gridCol w:w="2126"/>
        <w:gridCol w:w="1701"/>
        <w:gridCol w:w="992"/>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4419F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2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2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701"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992"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4419F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2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2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701"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992"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4419F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2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21,226,996,968.31</w:t>
            </w:r>
          </w:p>
        </w:tc>
        <w:tc>
          <w:tcPr>
            <w:tcW w:w="2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21,243,451,000.00</w:t>
            </w:r>
          </w:p>
        </w:tc>
        <w:tc>
          <w:tcPr>
            <w:tcW w:w="1701"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16,454,031.69</w:t>
            </w:r>
          </w:p>
        </w:tc>
        <w:tc>
          <w:tcPr>
            <w:tcW w:w="992"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0.0472</w:t>
            </w:r>
          </w:p>
        </w:tc>
      </w:tr>
      <w:tr w:rsidR="00334C1B" w:rsidRPr="00B25983" w:rsidTr="004419F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2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21,226,996,968.31</w:t>
            </w:r>
          </w:p>
        </w:tc>
        <w:tc>
          <w:tcPr>
            <w:tcW w:w="2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21,243,451,000.00</w:t>
            </w:r>
          </w:p>
        </w:tc>
        <w:tc>
          <w:tcPr>
            <w:tcW w:w="1701"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16,454,031.69</w:t>
            </w:r>
          </w:p>
        </w:tc>
        <w:tc>
          <w:tcPr>
            <w:tcW w:w="992"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0.0472</w:t>
            </w:r>
          </w:p>
        </w:tc>
      </w:tr>
      <w:tr w:rsidR="00334C1B" w:rsidRPr="00B25983" w:rsidTr="004419F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2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70,000,000.00</w:t>
            </w:r>
          </w:p>
        </w:tc>
        <w:tc>
          <w:tcPr>
            <w:tcW w:w="2126" w:type="dxa"/>
          </w:tcPr>
          <w:p w:rsidR="00334C1B" w:rsidRPr="00B25983" w:rsidRDefault="00334C1B" w:rsidP="0005301E">
            <w:pPr>
              <w:jc w:val="right"/>
              <w:rPr>
                <w:rFonts w:eastAsiaTheme="minorEastAsia"/>
                <w:kern w:val="0"/>
                <w:sz w:val="24"/>
              </w:rPr>
            </w:pPr>
            <w:r w:rsidRPr="00B25983">
              <w:rPr>
                <w:rFonts w:eastAsiaTheme="minorEastAsia"/>
                <w:kern w:val="0"/>
                <w:sz w:val="24"/>
              </w:rPr>
              <w:t>70,048,000.00</w:t>
            </w:r>
          </w:p>
        </w:tc>
        <w:tc>
          <w:tcPr>
            <w:tcW w:w="1701" w:type="dxa"/>
          </w:tcPr>
          <w:p w:rsidR="00334C1B" w:rsidRPr="00B25983" w:rsidRDefault="00334C1B" w:rsidP="0005301E">
            <w:pPr>
              <w:jc w:val="right"/>
              <w:rPr>
                <w:rFonts w:eastAsiaTheme="minorEastAsia"/>
                <w:kern w:val="0"/>
                <w:sz w:val="24"/>
              </w:rPr>
            </w:pPr>
            <w:r w:rsidRPr="00B25983">
              <w:rPr>
                <w:rFonts w:eastAsiaTheme="minorEastAsia"/>
                <w:kern w:val="0"/>
                <w:sz w:val="24"/>
              </w:rPr>
              <w:t>48,000.00</w:t>
            </w:r>
          </w:p>
        </w:tc>
        <w:tc>
          <w:tcPr>
            <w:tcW w:w="992" w:type="dxa"/>
          </w:tcPr>
          <w:p w:rsidR="00334C1B" w:rsidRPr="00B25983" w:rsidRDefault="00334C1B" w:rsidP="0005301E">
            <w:pPr>
              <w:jc w:val="right"/>
              <w:rPr>
                <w:rFonts w:eastAsiaTheme="minorEastAsia"/>
                <w:kern w:val="0"/>
                <w:sz w:val="24"/>
              </w:rPr>
            </w:pPr>
            <w:r w:rsidRPr="00B25983">
              <w:rPr>
                <w:rFonts w:eastAsiaTheme="minorEastAsia"/>
                <w:kern w:val="0"/>
                <w:sz w:val="24"/>
              </w:rPr>
              <w:t>0.0001</w:t>
            </w:r>
          </w:p>
        </w:tc>
      </w:tr>
      <w:tr w:rsidR="00334C1B" w:rsidRPr="00B25983" w:rsidTr="004419F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2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21,296,996,968.31</w:t>
            </w:r>
          </w:p>
        </w:tc>
        <w:tc>
          <w:tcPr>
            <w:tcW w:w="2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21,313,499,000.00</w:t>
            </w:r>
          </w:p>
        </w:tc>
        <w:tc>
          <w:tcPr>
            <w:tcW w:w="1701"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16,502,031.69</w:t>
            </w:r>
          </w:p>
        </w:tc>
        <w:tc>
          <w:tcPr>
            <w:tcW w:w="992"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0.0473</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4419F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2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2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701"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992"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4419F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2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2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701"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992"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4419F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2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27,973,187,402.38</w:t>
            </w:r>
          </w:p>
        </w:tc>
        <w:tc>
          <w:tcPr>
            <w:tcW w:w="2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27,990,865,500.00</w:t>
            </w:r>
          </w:p>
        </w:tc>
        <w:tc>
          <w:tcPr>
            <w:tcW w:w="1701"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17,678,097.62</w:t>
            </w:r>
          </w:p>
        </w:tc>
        <w:tc>
          <w:tcPr>
            <w:tcW w:w="992"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0.0457</w:t>
            </w:r>
          </w:p>
        </w:tc>
      </w:tr>
      <w:tr w:rsidR="00334C1B" w:rsidRPr="00B25983" w:rsidTr="004419F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2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27,973,187,402.38</w:t>
            </w:r>
          </w:p>
        </w:tc>
        <w:tc>
          <w:tcPr>
            <w:tcW w:w="2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27,990,865,500.00</w:t>
            </w:r>
          </w:p>
        </w:tc>
        <w:tc>
          <w:tcPr>
            <w:tcW w:w="1701"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17,678,097.62</w:t>
            </w:r>
          </w:p>
        </w:tc>
        <w:tc>
          <w:tcPr>
            <w:tcW w:w="992"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0.0457</w:t>
            </w:r>
          </w:p>
        </w:tc>
      </w:tr>
      <w:tr w:rsidR="00334C1B" w:rsidRPr="00B25983" w:rsidTr="004419F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2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150,000,000.00</w:t>
            </w:r>
          </w:p>
        </w:tc>
        <w:tc>
          <w:tcPr>
            <w:tcW w:w="2126" w:type="dxa"/>
          </w:tcPr>
          <w:p w:rsidR="00334C1B" w:rsidRPr="00B25983" w:rsidRDefault="00334C1B" w:rsidP="0005301E">
            <w:pPr>
              <w:jc w:val="right"/>
              <w:rPr>
                <w:rFonts w:eastAsiaTheme="minorEastAsia"/>
                <w:kern w:val="0"/>
                <w:sz w:val="24"/>
              </w:rPr>
            </w:pPr>
            <w:r w:rsidRPr="00B25983">
              <w:rPr>
                <w:rFonts w:eastAsiaTheme="minorEastAsia"/>
                <w:kern w:val="0"/>
                <w:sz w:val="24"/>
              </w:rPr>
              <w:t>150,000,000.00</w:t>
            </w:r>
          </w:p>
        </w:tc>
        <w:tc>
          <w:tcPr>
            <w:tcW w:w="1701"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992"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4419F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2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28,123,187,402.38</w:t>
            </w:r>
          </w:p>
        </w:tc>
        <w:tc>
          <w:tcPr>
            <w:tcW w:w="2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28,140,865,500.00</w:t>
            </w:r>
          </w:p>
        </w:tc>
        <w:tc>
          <w:tcPr>
            <w:tcW w:w="1701"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17,678,097.62</w:t>
            </w:r>
          </w:p>
        </w:tc>
        <w:tc>
          <w:tcPr>
            <w:tcW w:w="992"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0.0457</w:t>
            </w:r>
          </w:p>
        </w:tc>
      </w:tr>
    </w:tbl>
    <w:p w:rsidR="00651D53" w:rsidRDefault="00702C7E">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lastRenderedPageBreak/>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2,566,815,210.23</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2,566,815,210.23</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2,573,995,180.99</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2,573,995,180.99</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3,246.46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3,149.11</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38,075,749.87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34,863,713.65</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13,004.97</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81,232,871.39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42,536,382.48</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146,060.28</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1,454,136.98</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824,307.47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2,036,969.94</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120,282,235.47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80,907,357.13</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DF3590" w:rsidRDefault="00DF3590" w:rsidP="00DF3590">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348,322.90</w:t>
            </w:r>
          </w:p>
        </w:tc>
        <w:tc>
          <w:tcPr>
            <w:tcW w:w="3150" w:type="dxa"/>
            <w:vAlign w:val="center"/>
          </w:tcPr>
          <w:p w:rsidR="00611467" w:rsidRPr="00C55DA6" w:rsidRDefault="00611467" w:rsidP="00C55DA6">
            <w:pPr>
              <w:spacing w:before="29" w:line="288" w:lineRule="auto"/>
              <w:jc w:val="right"/>
              <w:rPr>
                <w:sz w:val="24"/>
              </w:rPr>
            </w:pPr>
            <w:r w:rsidRPr="00C55DA6">
              <w:rPr>
                <w:sz w:val="24"/>
              </w:rPr>
              <w:t>241,347.00</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348,322.90</w:t>
            </w:r>
          </w:p>
        </w:tc>
        <w:tc>
          <w:tcPr>
            <w:tcW w:w="3150" w:type="dxa"/>
            <w:vAlign w:val="center"/>
          </w:tcPr>
          <w:p w:rsidR="00611467" w:rsidRPr="00C55DA6" w:rsidRDefault="00611467" w:rsidP="00C55DA6">
            <w:pPr>
              <w:spacing w:before="29" w:line="288" w:lineRule="auto"/>
              <w:jc w:val="right"/>
              <w:rPr>
                <w:sz w:val="24"/>
              </w:rPr>
            </w:pPr>
            <w:r w:rsidRPr="00C55DA6">
              <w:rPr>
                <w:sz w:val="24"/>
              </w:rPr>
              <w:t>241,347.00</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51D53">
        <w:tc>
          <w:tcPr>
            <w:tcW w:w="2715" w:type="dxa"/>
            <w:vAlign w:val="center"/>
          </w:tcPr>
          <w:p w:rsidR="00651D53" w:rsidRDefault="00702C7E">
            <w:pPr>
              <w:jc w:val="left"/>
            </w:pPr>
            <w:r>
              <w:rPr>
                <w:sz w:val="24"/>
              </w:rPr>
              <w:t>预提审计费</w:t>
            </w:r>
          </w:p>
        </w:tc>
        <w:tc>
          <w:tcPr>
            <w:tcW w:w="3150" w:type="dxa"/>
            <w:vAlign w:val="center"/>
          </w:tcPr>
          <w:p w:rsidR="00651D53" w:rsidRDefault="00702C7E">
            <w:pPr>
              <w:jc w:val="right"/>
            </w:pPr>
            <w:r>
              <w:rPr>
                <w:sz w:val="24"/>
              </w:rPr>
              <w:t>153,000.00</w:t>
            </w:r>
          </w:p>
        </w:tc>
        <w:tc>
          <w:tcPr>
            <w:tcW w:w="3150" w:type="dxa"/>
            <w:vAlign w:val="center"/>
          </w:tcPr>
          <w:p w:rsidR="00651D53" w:rsidRDefault="00702C7E">
            <w:pPr>
              <w:jc w:val="right"/>
            </w:pPr>
            <w:r>
              <w:rPr>
                <w:sz w:val="24"/>
              </w:rPr>
              <w:t>170,000.00</w:t>
            </w:r>
          </w:p>
        </w:tc>
      </w:tr>
      <w:tr w:rsidR="00651D53">
        <w:tc>
          <w:tcPr>
            <w:tcW w:w="2715" w:type="dxa"/>
            <w:vAlign w:val="center"/>
          </w:tcPr>
          <w:p w:rsidR="00651D53" w:rsidRDefault="00702C7E">
            <w:pPr>
              <w:jc w:val="left"/>
            </w:pPr>
            <w:r>
              <w:rPr>
                <w:sz w:val="24"/>
              </w:rPr>
              <w:t>预提信息披露费</w:t>
            </w:r>
          </w:p>
        </w:tc>
        <w:tc>
          <w:tcPr>
            <w:tcW w:w="3150" w:type="dxa"/>
            <w:vAlign w:val="center"/>
          </w:tcPr>
          <w:p w:rsidR="00651D53" w:rsidRDefault="00702C7E">
            <w:pPr>
              <w:jc w:val="right"/>
            </w:pPr>
            <w:r>
              <w:rPr>
                <w:sz w:val="24"/>
              </w:rPr>
              <w:t>120,000.00</w:t>
            </w:r>
          </w:p>
        </w:tc>
        <w:tc>
          <w:tcPr>
            <w:tcW w:w="3150" w:type="dxa"/>
            <w:vAlign w:val="center"/>
          </w:tcPr>
          <w:p w:rsidR="00651D53" w:rsidRDefault="00702C7E">
            <w:pPr>
              <w:jc w:val="right"/>
            </w:pPr>
            <w:r>
              <w:rPr>
                <w:sz w:val="24"/>
              </w:rPr>
              <w:t>120,000.00</w:t>
            </w:r>
          </w:p>
        </w:tc>
      </w:tr>
      <w:tr w:rsidR="00651D53">
        <w:tc>
          <w:tcPr>
            <w:tcW w:w="2715" w:type="dxa"/>
            <w:vAlign w:val="center"/>
          </w:tcPr>
          <w:p w:rsidR="00651D53" w:rsidRDefault="00702C7E">
            <w:pPr>
              <w:jc w:val="left"/>
            </w:pPr>
            <w:r>
              <w:rPr>
                <w:sz w:val="24"/>
              </w:rPr>
              <w:t>预提账户维护费</w:t>
            </w:r>
          </w:p>
        </w:tc>
        <w:tc>
          <w:tcPr>
            <w:tcW w:w="3150" w:type="dxa"/>
            <w:vAlign w:val="center"/>
          </w:tcPr>
          <w:p w:rsidR="00651D53" w:rsidRDefault="00702C7E">
            <w:pPr>
              <w:jc w:val="right"/>
            </w:pPr>
            <w:r>
              <w:rPr>
                <w:sz w:val="24"/>
              </w:rPr>
              <w:t>9,300.00</w:t>
            </w:r>
          </w:p>
        </w:tc>
        <w:tc>
          <w:tcPr>
            <w:tcW w:w="3150" w:type="dxa"/>
            <w:vAlign w:val="center"/>
          </w:tcPr>
          <w:p w:rsidR="00651D53" w:rsidRDefault="00702C7E">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282,300.00</w:t>
            </w:r>
          </w:p>
        </w:tc>
        <w:tc>
          <w:tcPr>
            <w:tcW w:w="3150" w:type="dxa"/>
            <w:vAlign w:val="bottom"/>
          </w:tcPr>
          <w:p w:rsidR="00611467" w:rsidRPr="00934E74" w:rsidRDefault="00611467" w:rsidP="00934E74">
            <w:pPr>
              <w:spacing w:before="29" w:line="288" w:lineRule="auto"/>
              <w:jc w:val="right"/>
              <w:rPr>
                <w:sz w:val="24"/>
              </w:rPr>
            </w:pPr>
            <w:r w:rsidRPr="00934E74">
              <w:rPr>
                <w:sz w:val="24"/>
              </w:rPr>
              <w:t>299,300.00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交银活期通货币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2019</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2019</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21,397,072,050.70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21,397,072,050.70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68,293,079,416.52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68,293,079,416.52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-73,992,908,395.03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-73,992,908,395.03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15,697,243,072.19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15,697,243,072.19</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交银活期通货币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lastRenderedPageBreak/>
              <w:t>2019</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17,301,424,614.68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17,301,424,614.68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51,153,278,052.55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51,153,278,052.55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-49,282,691,945.23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-49,282,691,945.23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19,172,010,722.00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19,172,010,722.00</w:t>
            </w:r>
          </w:p>
        </w:tc>
      </w:tr>
    </w:tbl>
    <w:p w:rsidR="00651D53" w:rsidRDefault="00702C7E">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w:t>
      </w:r>
      <w:r w:rsidR="00BB3941">
        <w:rPr>
          <w:rFonts w:hint="eastAsia"/>
          <w:kern w:val="0"/>
          <w:sz w:val="24"/>
        </w:rPr>
        <w:t>业务</w:t>
      </w:r>
      <w:r>
        <w:rPr>
          <w:rFonts w:hint="eastAsia"/>
          <w:kern w:val="0"/>
          <w:sz w:val="24"/>
        </w:rPr>
        <w:t>，则总申购份额中包含该业务。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w:t>
      </w:r>
      <w:r w:rsidR="00BB3941">
        <w:rPr>
          <w:rFonts w:hint="eastAsia"/>
          <w:kern w:val="0"/>
          <w:sz w:val="24"/>
        </w:rPr>
        <w:t>业务</w:t>
      </w:r>
      <w:r w:rsidRPr="00987B39">
        <w:rPr>
          <w:rFonts w:hint="eastAsia"/>
          <w:kern w:val="0"/>
          <w:sz w:val="24"/>
        </w:rPr>
        <w:t>，则总赎回份额中包含该业务。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交银活期通货币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8F43E5" w:rsidP="002A6A62">
            <w:pPr>
              <w:spacing w:before="29" w:line="288" w:lineRule="auto"/>
              <w:jc w:val="right"/>
              <w:rPr>
                <w:sz w:val="24"/>
              </w:rPr>
            </w:pPr>
            <w:r>
              <w:rPr>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8F43E5" w:rsidP="002A6A62">
            <w:pPr>
              <w:spacing w:before="29" w:line="288" w:lineRule="auto"/>
              <w:jc w:val="right"/>
              <w:rPr>
                <w:sz w:val="24"/>
              </w:rPr>
            </w:pPr>
            <w:r>
              <w:rPr>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435,753,223.03</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435,753,223.03</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-435,753,223.03</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-435,753,223.03</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交银活期通货币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8F43E5" w:rsidP="003B1316">
            <w:pPr>
              <w:spacing w:before="29" w:line="288" w:lineRule="auto"/>
              <w:jc w:val="right"/>
              <w:rPr>
                <w:sz w:val="24"/>
              </w:rPr>
            </w:pPr>
            <w:r>
              <w:rPr>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8F43E5" w:rsidP="002A6A62">
            <w:pPr>
              <w:spacing w:before="29" w:line="288" w:lineRule="auto"/>
              <w:jc w:val="right"/>
              <w:rPr>
                <w:sz w:val="24"/>
              </w:rPr>
            </w:pPr>
            <w:r>
              <w:rPr>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545,596,394.29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545,596,394.29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-545,596,394.29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-545,596,394.29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lastRenderedPageBreak/>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lastRenderedPageBreak/>
              <w:t>上年度可比期间</w:t>
            </w:r>
          </w:p>
          <w:p w:rsidR="006D141C" w:rsidRPr="006A5E35" w:rsidRDefault="006D64C2" w:rsidP="006A5E35">
            <w:pPr>
              <w:spacing w:before="29" w:line="288" w:lineRule="auto"/>
              <w:jc w:val="center"/>
              <w:rPr>
                <w:sz w:val="24"/>
              </w:rPr>
            </w:pPr>
            <w:r w:rsidRPr="006A5E35">
              <w:rPr>
                <w:rFonts w:hint="eastAsia"/>
                <w:sz w:val="24"/>
              </w:rPr>
              <w:lastRenderedPageBreak/>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lastRenderedPageBreak/>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1,443,372.22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533,907.06</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356,659,381.78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470,443,069.72</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446,759.40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788,121.09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358,549,513.40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471,765,097.87</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73,196,990,428.36</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43,793,377,649.85</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72,846,445,245.96</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43,622,129,971.80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350,296,779.08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167,545,312.32</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248,403.32</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3,702,365.73</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641,441,619.80</w:t>
            </w:r>
          </w:p>
        </w:tc>
        <w:tc>
          <w:tcPr>
            <w:tcW w:w="2659" w:type="dxa"/>
            <w:vAlign w:val="bottom"/>
          </w:tcPr>
          <w:p w:rsidR="00CE32C9" w:rsidRPr="002A6A62" w:rsidRDefault="00CE32C9" w:rsidP="002A6A62">
            <w:pPr>
              <w:spacing w:before="29" w:line="288" w:lineRule="auto"/>
              <w:jc w:val="right"/>
              <w:rPr>
                <w:sz w:val="24"/>
              </w:rPr>
            </w:pPr>
            <w:r w:rsidRPr="002A6A62">
              <w:rPr>
                <w:sz w:val="24"/>
              </w:rPr>
              <w:t>30,476,700.00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635,000,000.00</w:t>
            </w:r>
          </w:p>
        </w:tc>
        <w:tc>
          <w:tcPr>
            <w:tcW w:w="2659" w:type="dxa"/>
          </w:tcPr>
          <w:p w:rsidR="00CE32C9" w:rsidRPr="002A6A62" w:rsidRDefault="00CE32C9" w:rsidP="002A6A62">
            <w:pPr>
              <w:spacing w:before="29" w:line="288" w:lineRule="auto"/>
              <w:jc w:val="right"/>
              <w:rPr>
                <w:sz w:val="24"/>
              </w:rPr>
            </w:pPr>
            <w:r w:rsidRPr="002A6A62">
              <w:rPr>
                <w:sz w:val="24"/>
              </w:rPr>
              <w:t>30,000,000.00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6,441,619.80</w:t>
            </w:r>
          </w:p>
        </w:tc>
        <w:tc>
          <w:tcPr>
            <w:tcW w:w="2659" w:type="dxa"/>
          </w:tcPr>
          <w:p w:rsidR="00CE32C9" w:rsidRPr="002A6A62" w:rsidRDefault="00CE32C9" w:rsidP="002A6A62">
            <w:pPr>
              <w:spacing w:before="29" w:line="288" w:lineRule="auto"/>
              <w:jc w:val="right"/>
              <w:rPr>
                <w:sz w:val="24"/>
              </w:rPr>
            </w:pPr>
            <w:r w:rsidRPr="002A6A62">
              <w:rPr>
                <w:sz w:val="24"/>
              </w:rPr>
              <w:t>476,700.00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153,000.00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651D53">
        <w:trPr>
          <w:jc w:val="center"/>
        </w:trPr>
        <w:tc>
          <w:tcPr>
            <w:tcW w:w="2855" w:type="dxa"/>
            <w:vAlign w:val="center"/>
          </w:tcPr>
          <w:p w:rsidR="00651D53" w:rsidRDefault="00702C7E">
            <w:pPr>
              <w:jc w:val="left"/>
            </w:pPr>
            <w:r>
              <w:rPr>
                <w:rFonts w:hint="eastAsia"/>
                <w:sz w:val="24"/>
              </w:rPr>
              <w:t>银行汇划费</w:t>
            </w:r>
          </w:p>
        </w:tc>
        <w:tc>
          <w:tcPr>
            <w:tcW w:w="2893" w:type="dxa"/>
            <w:vAlign w:val="center"/>
          </w:tcPr>
          <w:p w:rsidR="00651D53" w:rsidRDefault="00702C7E">
            <w:pPr>
              <w:jc w:val="right"/>
            </w:pPr>
            <w:r>
              <w:rPr>
                <w:rFonts w:hint="eastAsia"/>
                <w:sz w:val="24"/>
              </w:rPr>
              <w:t>98,091.99</w:t>
            </w:r>
          </w:p>
        </w:tc>
        <w:tc>
          <w:tcPr>
            <w:tcW w:w="3367" w:type="dxa"/>
            <w:vAlign w:val="center"/>
          </w:tcPr>
          <w:p w:rsidR="00651D53" w:rsidRDefault="00702C7E">
            <w:pPr>
              <w:jc w:val="right"/>
            </w:pPr>
            <w:r>
              <w:rPr>
                <w:rFonts w:hint="eastAsia"/>
                <w:sz w:val="24"/>
              </w:rPr>
              <w:t>109,176.98</w:t>
            </w:r>
          </w:p>
        </w:tc>
      </w:tr>
      <w:tr w:rsidR="00651D53">
        <w:trPr>
          <w:jc w:val="center"/>
        </w:trPr>
        <w:tc>
          <w:tcPr>
            <w:tcW w:w="2855" w:type="dxa"/>
            <w:vAlign w:val="center"/>
          </w:tcPr>
          <w:p w:rsidR="00651D53" w:rsidRDefault="00702C7E">
            <w:pPr>
              <w:jc w:val="left"/>
            </w:pPr>
            <w:r>
              <w:rPr>
                <w:rFonts w:hint="eastAsia"/>
                <w:sz w:val="24"/>
              </w:rPr>
              <w:t>债券账户费用</w:t>
            </w:r>
          </w:p>
        </w:tc>
        <w:tc>
          <w:tcPr>
            <w:tcW w:w="2893" w:type="dxa"/>
            <w:vAlign w:val="center"/>
          </w:tcPr>
          <w:p w:rsidR="00651D53" w:rsidRDefault="00702C7E">
            <w:pPr>
              <w:jc w:val="right"/>
            </w:pPr>
            <w:r>
              <w:rPr>
                <w:rFonts w:hint="eastAsia"/>
                <w:sz w:val="24"/>
              </w:rPr>
              <w:t>37,200.00</w:t>
            </w:r>
          </w:p>
        </w:tc>
        <w:tc>
          <w:tcPr>
            <w:tcW w:w="3367" w:type="dxa"/>
            <w:vAlign w:val="center"/>
          </w:tcPr>
          <w:p w:rsidR="00651D53" w:rsidRDefault="00702C7E">
            <w:pPr>
              <w:jc w:val="right"/>
            </w:pPr>
            <w:r>
              <w:rPr>
                <w:rFonts w:hint="eastAsia"/>
                <w:sz w:val="24"/>
              </w:rPr>
              <w:t>37,200.00</w:t>
            </w:r>
          </w:p>
        </w:tc>
      </w:tr>
      <w:tr w:rsidR="00651D53">
        <w:trPr>
          <w:jc w:val="center"/>
        </w:trPr>
        <w:tc>
          <w:tcPr>
            <w:tcW w:w="2855" w:type="dxa"/>
            <w:vAlign w:val="center"/>
          </w:tcPr>
          <w:p w:rsidR="00651D53" w:rsidRDefault="00702C7E">
            <w:pPr>
              <w:jc w:val="left"/>
            </w:pPr>
            <w:r>
              <w:rPr>
                <w:rFonts w:hint="eastAsia"/>
                <w:sz w:val="24"/>
              </w:rPr>
              <w:t>其他</w:t>
            </w:r>
          </w:p>
        </w:tc>
        <w:tc>
          <w:tcPr>
            <w:tcW w:w="2893" w:type="dxa"/>
            <w:vAlign w:val="center"/>
          </w:tcPr>
          <w:p w:rsidR="00651D53" w:rsidRDefault="00702C7E">
            <w:pPr>
              <w:jc w:val="right"/>
            </w:pPr>
            <w:r>
              <w:rPr>
                <w:rFonts w:hint="eastAsia"/>
                <w:sz w:val="24"/>
              </w:rPr>
              <w:t>-</w:t>
            </w:r>
          </w:p>
        </w:tc>
        <w:tc>
          <w:tcPr>
            <w:tcW w:w="3367" w:type="dxa"/>
            <w:vAlign w:val="center"/>
          </w:tcPr>
          <w:p w:rsidR="00651D53" w:rsidRDefault="00702C7E">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408,291.99</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436,376.98</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651D53">
        <w:tc>
          <w:tcPr>
            <w:tcW w:w="5220" w:type="dxa"/>
            <w:vAlign w:val="center"/>
          </w:tcPr>
          <w:p w:rsidR="00651D53" w:rsidRDefault="00702C7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51D53" w:rsidRDefault="00702C7E">
            <w:pPr>
              <w:jc w:val="center"/>
            </w:pPr>
            <w:r>
              <w:rPr>
                <w:color w:val="000000"/>
                <w:sz w:val="24"/>
              </w:rPr>
              <w:t>基金管理人、基金注册登记机构、基金销售机构</w:t>
            </w:r>
          </w:p>
        </w:tc>
      </w:tr>
      <w:tr w:rsidR="00651D53">
        <w:tc>
          <w:tcPr>
            <w:tcW w:w="5220" w:type="dxa"/>
            <w:vAlign w:val="center"/>
          </w:tcPr>
          <w:p w:rsidR="00651D53" w:rsidRDefault="00702C7E">
            <w:pPr>
              <w:jc w:val="left"/>
            </w:pPr>
            <w:r>
              <w:rPr>
                <w:color w:val="000000"/>
                <w:sz w:val="24"/>
              </w:rPr>
              <w:t>中信建投证券股份有限公司</w:t>
            </w:r>
            <w:r>
              <w:rPr>
                <w:color w:val="000000"/>
                <w:sz w:val="24"/>
              </w:rPr>
              <w:t>(“</w:t>
            </w:r>
            <w:r>
              <w:rPr>
                <w:color w:val="000000"/>
                <w:sz w:val="24"/>
              </w:rPr>
              <w:t>中信建投证券</w:t>
            </w:r>
            <w:r>
              <w:rPr>
                <w:color w:val="000000"/>
                <w:sz w:val="24"/>
              </w:rPr>
              <w:t>”)</w:t>
            </w:r>
          </w:p>
        </w:tc>
        <w:tc>
          <w:tcPr>
            <w:tcW w:w="3780" w:type="dxa"/>
            <w:vAlign w:val="center"/>
          </w:tcPr>
          <w:p w:rsidR="00651D53" w:rsidRDefault="00702C7E">
            <w:pPr>
              <w:jc w:val="center"/>
            </w:pPr>
            <w:r>
              <w:rPr>
                <w:color w:val="000000"/>
                <w:sz w:val="24"/>
              </w:rPr>
              <w:t>基金托管人</w:t>
            </w:r>
          </w:p>
        </w:tc>
      </w:tr>
      <w:tr w:rsidR="00651D53">
        <w:tc>
          <w:tcPr>
            <w:tcW w:w="5220" w:type="dxa"/>
            <w:vAlign w:val="center"/>
          </w:tcPr>
          <w:p w:rsidR="00651D53" w:rsidRDefault="00702C7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51D53" w:rsidRDefault="00702C7E">
            <w:pPr>
              <w:jc w:val="center"/>
            </w:pPr>
            <w:r>
              <w:rPr>
                <w:color w:val="000000"/>
                <w:sz w:val="24"/>
              </w:rPr>
              <w:t>基金管理人的股东、基金销售机构</w:t>
            </w:r>
          </w:p>
        </w:tc>
      </w:tr>
      <w:tr w:rsidR="00651D53">
        <w:tc>
          <w:tcPr>
            <w:tcW w:w="5220" w:type="dxa"/>
            <w:vAlign w:val="center"/>
          </w:tcPr>
          <w:p w:rsidR="00651D53" w:rsidRDefault="00702C7E">
            <w:pPr>
              <w:jc w:val="left"/>
            </w:pPr>
            <w:r>
              <w:rPr>
                <w:color w:val="000000"/>
                <w:sz w:val="24"/>
              </w:rPr>
              <w:t>施罗德投资管理有限公司</w:t>
            </w:r>
          </w:p>
        </w:tc>
        <w:tc>
          <w:tcPr>
            <w:tcW w:w="3780" w:type="dxa"/>
            <w:vAlign w:val="center"/>
          </w:tcPr>
          <w:p w:rsidR="00651D53" w:rsidRDefault="00702C7E">
            <w:pPr>
              <w:jc w:val="center"/>
            </w:pPr>
            <w:r>
              <w:rPr>
                <w:color w:val="000000"/>
                <w:sz w:val="24"/>
              </w:rPr>
              <w:t>基金管理人的股东</w:t>
            </w:r>
          </w:p>
        </w:tc>
      </w:tr>
      <w:tr w:rsidR="00651D53">
        <w:tc>
          <w:tcPr>
            <w:tcW w:w="5220" w:type="dxa"/>
            <w:vAlign w:val="center"/>
          </w:tcPr>
          <w:p w:rsidR="00651D53" w:rsidRDefault="00702C7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51D53" w:rsidRDefault="00702C7E">
            <w:pPr>
              <w:jc w:val="center"/>
            </w:pPr>
            <w:r>
              <w:rPr>
                <w:color w:val="000000"/>
                <w:sz w:val="24"/>
              </w:rPr>
              <w:t>基金管理人的股东</w:t>
            </w:r>
          </w:p>
        </w:tc>
      </w:tr>
      <w:tr w:rsidR="00651D53">
        <w:tc>
          <w:tcPr>
            <w:tcW w:w="5220" w:type="dxa"/>
            <w:vAlign w:val="center"/>
          </w:tcPr>
          <w:p w:rsidR="00651D53" w:rsidRDefault="00702C7E" w:rsidP="009C5270">
            <w:pPr>
              <w:jc w:val="left"/>
            </w:pPr>
            <w:r>
              <w:rPr>
                <w:color w:val="000000"/>
                <w:sz w:val="24"/>
              </w:rPr>
              <w:t>交银施罗德资产管理有限公司</w:t>
            </w:r>
          </w:p>
        </w:tc>
        <w:tc>
          <w:tcPr>
            <w:tcW w:w="3780" w:type="dxa"/>
            <w:vAlign w:val="center"/>
          </w:tcPr>
          <w:p w:rsidR="00651D53" w:rsidRDefault="00702C7E">
            <w:pPr>
              <w:jc w:val="center"/>
            </w:pPr>
            <w:r>
              <w:rPr>
                <w:color w:val="000000"/>
                <w:sz w:val="24"/>
              </w:rPr>
              <w:t>基金管理人的子公司</w:t>
            </w:r>
          </w:p>
        </w:tc>
      </w:tr>
      <w:tr w:rsidR="00651D53">
        <w:tc>
          <w:tcPr>
            <w:tcW w:w="5220" w:type="dxa"/>
            <w:vAlign w:val="center"/>
          </w:tcPr>
          <w:p w:rsidR="00651D53" w:rsidRDefault="00702C7E">
            <w:pPr>
              <w:jc w:val="left"/>
            </w:pPr>
            <w:r>
              <w:rPr>
                <w:color w:val="000000"/>
                <w:sz w:val="24"/>
              </w:rPr>
              <w:t>上海直源投资管理有限公司</w:t>
            </w:r>
          </w:p>
        </w:tc>
        <w:tc>
          <w:tcPr>
            <w:tcW w:w="3780" w:type="dxa"/>
            <w:vAlign w:val="center"/>
          </w:tcPr>
          <w:p w:rsidR="00651D53" w:rsidRDefault="00702C7E">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115,181,914.94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99,572,293.87</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304,545.13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453,538.02</w:t>
            </w:r>
          </w:p>
        </w:tc>
      </w:tr>
    </w:tbl>
    <w:p w:rsidR="00651D53" w:rsidRDefault="00702C7E">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 0.30% / </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19,196,985.80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16,595,382.34</w:t>
            </w:r>
          </w:p>
        </w:tc>
      </w:tr>
    </w:tbl>
    <w:p w:rsidR="00651D53" w:rsidRDefault="00702C7E">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 </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交银活期通货币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交银活期通货币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651D53">
        <w:tc>
          <w:tcPr>
            <w:tcW w:w="2000" w:type="dxa"/>
            <w:vAlign w:val="center"/>
          </w:tcPr>
          <w:p w:rsidR="00651D53" w:rsidRDefault="00702C7E">
            <w:pPr>
              <w:jc w:val="left"/>
            </w:pPr>
            <w:r>
              <w:rPr>
                <w:sz w:val="24"/>
              </w:rPr>
              <w:t>交银施罗德基金公司</w:t>
            </w:r>
          </w:p>
        </w:tc>
        <w:tc>
          <w:tcPr>
            <w:tcW w:w="1766" w:type="dxa"/>
            <w:vAlign w:val="center"/>
          </w:tcPr>
          <w:p w:rsidR="00651D53" w:rsidRDefault="00702C7E">
            <w:pPr>
              <w:jc w:val="right"/>
            </w:pPr>
            <w:r>
              <w:rPr>
                <w:sz w:val="24"/>
              </w:rPr>
              <w:t>44,685,830.33</w:t>
            </w:r>
          </w:p>
        </w:tc>
        <w:tc>
          <w:tcPr>
            <w:tcW w:w="2162" w:type="dxa"/>
            <w:vAlign w:val="center"/>
          </w:tcPr>
          <w:p w:rsidR="00651D53" w:rsidRDefault="00702C7E">
            <w:pPr>
              <w:jc w:val="right"/>
            </w:pPr>
            <w:r>
              <w:rPr>
                <w:sz w:val="24"/>
              </w:rPr>
              <w:t>2,030,046.65</w:t>
            </w:r>
          </w:p>
        </w:tc>
        <w:tc>
          <w:tcPr>
            <w:tcW w:w="3070" w:type="dxa"/>
            <w:vAlign w:val="center"/>
          </w:tcPr>
          <w:p w:rsidR="00651D53" w:rsidRDefault="00702C7E">
            <w:pPr>
              <w:jc w:val="right"/>
            </w:pPr>
            <w:r>
              <w:rPr>
                <w:sz w:val="24"/>
              </w:rPr>
              <w:t>46,715,876.98</w:t>
            </w:r>
          </w:p>
        </w:tc>
      </w:tr>
      <w:tr w:rsidR="00651D53">
        <w:tc>
          <w:tcPr>
            <w:tcW w:w="2000" w:type="dxa"/>
            <w:vAlign w:val="center"/>
          </w:tcPr>
          <w:p w:rsidR="00651D53" w:rsidRDefault="00702C7E">
            <w:pPr>
              <w:jc w:val="left"/>
            </w:pPr>
            <w:r>
              <w:rPr>
                <w:sz w:val="24"/>
              </w:rPr>
              <w:t>交通银行</w:t>
            </w:r>
          </w:p>
        </w:tc>
        <w:tc>
          <w:tcPr>
            <w:tcW w:w="1766" w:type="dxa"/>
            <w:vAlign w:val="center"/>
          </w:tcPr>
          <w:p w:rsidR="00651D53" w:rsidRDefault="00702C7E">
            <w:pPr>
              <w:jc w:val="right"/>
            </w:pPr>
            <w:r>
              <w:rPr>
                <w:sz w:val="24"/>
              </w:rPr>
              <w:t>216,770.34</w:t>
            </w:r>
          </w:p>
        </w:tc>
        <w:tc>
          <w:tcPr>
            <w:tcW w:w="2162" w:type="dxa"/>
            <w:vAlign w:val="center"/>
          </w:tcPr>
          <w:p w:rsidR="00651D53" w:rsidRDefault="00702C7E">
            <w:pPr>
              <w:jc w:val="right"/>
            </w:pPr>
            <w:r>
              <w:rPr>
                <w:sz w:val="24"/>
              </w:rPr>
              <w:t>3,809.59</w:t>
            </w:r>
          </w:p>
        </w:tc>
        <w:tc>
          <w:tcPr>
            <w:tcW w:w="3070" w:type="dxa"/>
            <w:vAlign w:val="center"/>
          </w:tcPr>
          <w:p w:rsidR="00651D53" w:rsidRDefault="00702C7E">
            <w:pPr>
              <w:jc w:val="right"/>
            </w:pPr>
            <w:r>
              <w:rPr>
                <w:sz w:val="24"/>
              </w:rPr>
              <w:t>220,579.93</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44,902,600.67</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2,033,856.24</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46,936,456.91</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w:t>
            </w:r>
            <w:r w:rsidRPr="008D3C85">
              <w:rPr>
                <w:sz w:val="24"/>
              </w:rPr>
              <w:lastRenderedPageBreak/>
              <w:t>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lastRenderedPageBreak/>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lastRenderedPageBreak/>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交银活期通货币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交银活期通货币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651D53">
        <w:tc>
          <w:tcPr>
            <w:tcW w:w="2000" w:type="dxa"/>
            <w:vAlign w:val="center"/>
          </w:tcPr>
          <w:p w:rsidR="00651D53" w:rsidRDefault="00702C7E">
            <w:pPr>
              <w:jc w:val="left"/>
            </w:pPr>
            <w:r>
              <w:rPr>
                <w:sz w:val="24"/>
              </w:rPr>
              <w:t>交通银行</w:t>
            </w:r>
          </w:p>
        </w:tc>
        <w:tc>
          <w:tcPr>
            <w:tcW w:w="1766" w:type="dxa"/>
            <w:vAlign w:val="center"/>
          </w:tcPr>
          <w:p w:rsidR="00651D53" w:rsidRDefault="00702C7E">
            <w:pPr>
              <w:jc w:val="right"/>
            </w:pPr>
            <w:r>
              <w:rPr>
                <w:sz w:val="24"/>
              </w:rPr>
              <w:t>415,776.54</w:t>
            </w:r>
          </w:p>
        </w:tc>
        <w:tc>
          <w:tcPr>
            <w:tcW w:w="2162" w:type="dxa"/>
            <w:vAlign w:val="center"/>
          </w:tcPr>
          <w:p w:rsidR="00651D53" w:rsidRDefault="00702C7E">
            <w:pPr>
              <w:jc w:val="right"/>
            </w:pPr>
            <w:r>
              <w:rPr>
                <w:sz w:val="24"/>
              </w:rPr>
              <w:t>6,315.45</w:t>
            </w:r>
          </w:p>
        </w:tc>
        <w:tc>
          <w:tcPr>
            <w:tcW w:w="3070" w:type="dxa"/>
            <w:vAlign w:val="center"/>
          </w:tcPr>
          <w:p w:rsidR="00651D53" w:rsidRDefault="00702C7E">
            <w:pPr>
              <w:jc w:val="right"/>
            </w:pPr>
            <w:r>
              <w:rPr>
                <w:sz w:val="24"/>
              </w:rPr>
              <w:t>422,091.99</w:t>
            </w:r>
          </w:p>
        </w:tc>
      </w:tr>
      <w:tr w:rsidR="00651D53">
        <w:tc>
          <w:tcPr>
            <w:tcW w:w="2000" w:type="dxa"/>
            <w:vAlign w:val="center"/>
          </w:tcPr>
          <w:p w:rsidR="00651D53" w:rsidRDefault="00702C7E">
            <w:pPr>
              <w:jc w:val="left"/>
            </w:pPr>
            <w:r>
              <w:rPr>
                <w:sz w:val="24"/>
              </w:rPr>
              <w:t>交银施罗德基金公司</w:t>
            </w:r>
          </w:p>
        </w:tc>
        <w:tc>
          <w:tcPr>
            <w:tcW w:w="1766" w:type="dxa"/>
            <w:vAlign w:val="center"/>
          </w:tcPr>
          <w:p w:rsidR="00651D53" w:rsidRDefault="00702C7E">
            <w:pPr>
              <w:jc w:val="right"/>
            </w:pPr>
            <w:r>
              <w:rPr>
                <w:sz w:val="24"/>
              </w:rPr>
              <w:t>51,075,991.66</w:t>
            </w:r>
          </w:p>
        </w:tc>
        <w:tc>
          <w:tcPr>
            <w:tcW w:w="2162" w:type="dxa"/>
            <w:vAlign w:val="center"/>
          </w:tcPr>
          <w:p w:rsidR="00651D53" w:rsidRDefault="00702C7E">
            <w:pPr>
              <w:jc w:val="right"/>
            </w:pPr>
            <w:r>
              <w:rPr>
                <w:sz w:val="24"/>
              </w:rPr>
              <w:t>1,244,962.59</w:t>
            </w:r>
          </w:p>
        </w:tc>
        <w:tc>
          <w:tcPr>
            <w:tcW w:w="3070" w:type="dxa"/>
            <w:vAlign w:val="center"/>
          </w:tcPr>
          <w:p w:rsidR="00651D53" w:rsidRDefault="00702C7E">
            <w:pPr>
              <w:jc w:val="right"/>
            </w:pPr>
            <w:r>
              <w:rPr>
                <w:sz w:val="24"/>
              </w:rPr>
              <w:t>52,320,954.25</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51,491,768.20</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1,251,278.04</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52,743,046.24</w:t>
            </w:r>
          </w:p>
        </w:tc>
      </w:tr>
    </w:tbl>
    <w:p w:rsidR="00F23E06" w:rsidRPr="00F23E06" w:rsidRDefault="00F23E06" w:rsidP="00F23E06">
      <w:pPr>
        <w:tabs>
          <w:tab w:val="left" w:pos="426"/>
        </w:tabs>
        <w:spacing w:before="29" w:line="288" w:lineRule="auto"/>
        <w:jc w:val="left"/>
        <w:rPr>
          <w:kern w:val="0"/>
          <w:sz w:val="24"/>
        </w:rPr>
      </w:pPr>
      <w:r>
        <w:rPr>
          <w:kern w:val="0"/>
          <w:sz w:val="24"/>
        </w:rPr>
        <w:t>注：</w:t>
      </w:r>
      <w:r w:rsidRPr="00F23E06">
        <w:rPr>
          <w:rFonts w:hint="eastAsia"/>
          <w:kern w:val="0"/>
          <w:sz w:val="24"/>
        </w:rPr>
        <w:t>支付基金销售机构的销售服务费按前一日该类份额的基金资产净值的约定年费率计提，逐日累计至每月月底，按月支付给基金管理人，再由基金管理人计算并支付给各基金销售机构。</w:t>
      </w:r>
      <w:r w:rsidRPr="00F23E06">
        <w:rPr>
          <w:rFonts w:hint="eastAsia"/>
          <w:kern w:val="0"/>
          <w:sz w:val="24"/>
        </w:rPr>
        <w:t>A</w:t>
      </w:r>
      <w:r w:rsidRPr="00F23E06">
        <w:rPr>
          <w:rFonts w:hint="eastAsia"/>
          <w:kern w:val="0"/>
          <w:sz w:val="24"/>
        </w:rPr>
        <w:t>类基金份额和</w:t>
      </w:r>
      <w:r w:rsidRPr="00F23E06">
        <w:rPr>
          <w:rFonts w:hint="eastAsia"/>
          <w:kern w:val="0"/>
          <w:sz w:val="24"/>
        </w:rPr>
        <w:t>E</w:t>
      </w:r>
      <w:r w:rsidRPr="00F23E06">
        <w:rPr>
          <w:rFonts w:hint="eastAsia"/>
          <w:kern w:val="0"/>
          <w:sz w:val="24"/>
        </w:rPr>
        <w:t>类基金份额约定的销售服务费年费率分别为</w:t>
      </w:r>
      <w:r w:rsidRPr="00F23E06">
        <w:rPr>
          <w:rFonts w:hint="eastAsia"/>
          <w:kern w:val="0"/>
          <w:sz w:val="24"/>
        </w:rPr>
        <w:t>0.25%</w:t>
      </w:r>
      <w:r w:rsidRPr="00F23E06">
        <w:rPr>
          <w:rFonts w:hint="eastAsia"/>
          <w:kern w:val="0"/>
          <w:sz w:val="24"/>
        </w:rPr>
        <w:t>和</w:t>
      </w:r>
      <w:r w:rsidRPr="00F23E06">
        <w:rPr>
          <w:rFonts w:hint="eastAsia"/>
          <w:kern w:val="0"/>
          <w:sz w:val="24"/>
        </w:rPr>
        <w:t>0.01%</w:t>
      </w:r>
      <w:r w:rsidRPr="00F23E06">
        <w:rPr>
          <w:rFonts w:hint="eastAsia"/>
          <w:kern w:val="0"/>
          <w:sz w:val="24"/>
        </w:rPr>
        <w:t>。销售服务费的计算公式为：</w:t>
      </w:r>
    </w:p>
    <w:p w:rsidR="00F23E06" w:rsidRDefault="00F23E06" w:rsidP="00F23E06">
      <w:pPr>
        <w:tabs>
          <w:tab w:val="left" w:pos="426"/>
        </w:tabs>
        <w:spacing w:before="29" w:line="288" w:lineRule="auto"/>
        <w:jc w:val="left"/>
        <w:rPr>
          <w:kern w:val="0"/>
          <w:sz w:val="24"/>
        </w:rPr>
      </w:pPr>
      <w:r w:rsidRPr="00F23E06">
        <w:rPr>
          <w:rFonts w:hint="eastAsia"/>
          <w:kern w:val="0"/>
          <w:sz w:val="24"/>
        </w:rPr>
        <w:t>日销售服务费＝前一日该类份额的基金资产净值×约定年费率</w:t>
      </w:r>
      <w:r w:rsidRPr="00F23E06">
        <w:rPr>
          <w:rFonts w:hint="eastAsia"/>
          <w:kern w:val="0"/>
          <w:sz w:val="24"/>
        </w:rPr>
        <w:t xml:space="preserve"> / </w:t>
      </w:r>
      <w:r w:rsidRPr="00F23E06">
        <w:rPr>
          <w:rFonts w:hint="eastAsia"/>
          <w:kern w:val="0"/>
          <w:sz w:val="24"/>
        </w:rPr>
        <w:t>当年天数。</w:t>
      </w:r>
    </w:p>
    <w:p w:rsidR="003679C6" w:rsidRPr="00F23E06" w:rsidRDefault="003679C6" w:rsidP="00F23E06">
      <w:pPr>
        <w:tabs>
          <w:tab w:val="left" w:pos="426"/>
        </w:tabs>
        <w:spacing w:before="29" w:line="288" w:lineRule="auto"/>
        <w:jc w:val="left"/>
        <w:rPr>
          <w:kern w:val="0"/>
          <w:sz w:val="24"/>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2019</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2019</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651D53">
        <w:tc>
          <w:tcPr>
            <w:tcW w:w="1422" w:type="dxa"/>
            <w:vAlign w:val="center"/>
          </w:tcPr>
          <w:p w:rsidR="00651D53" w:rsidRDefault="00702C7E">
            <w:pPr>
              <w:jc w:val="left"/>
            </w:pPr>
            <w:r>
              <w:rPr>
                <w:bCs/>
                <w:sz w:val="24"/>
              </w:rPr>
              <w:t>中信建投证券</w:t>
            </w:r>
          </w:p>
        </w:tc>
        <w:tc>
          <w:tcPr>
            <w:tcW w:w="1818" w:type="dxa"/>
            <w:vAlign w:val="center"/>
          </w:tcPr>
          <w:p w:rsidR="00651D53" w:rsidRDefault="00862765">
            <w:pPr>
              <w:jc w:val="right"/>
            </w:pPr>
            <w:r w:rsidRPr="00862765">
              <w:rPr>
                <w:bCs/>
                <w:sz w:val="24"/>
              </w:rPr>
              <w:t>4</w:t>
            </w:r>
            <w:r>
              <w:rPr>
                <w:bCs/>
                <w:sz w:val="24"/>
              </w:rPr>
              <w:t>,</w:t>
            </w:r>
            <w:r w:rsidRPr="00862765">
              <w:rPr>
                <w:bCs/>
                <w:sz w:val="24"/>
              </w:rPr>
              <w:t>056</w:t>
            </w:r>
            <w:r>
              <w:rPr>
                <w:bCs/>
                <w:sz w:val="24"/>
              </w:rPr>
              <w:t>,</w:t>
            </w:r>
            <w:r w:rsidRPr="00862765">
              <w:rPr>
                <w:bCs/>
                <w:sz w:val="24"/>
              </w:rPr>
              <w:t>070</w:t>
            </w:r>
            <w:r>
              <w:rPr>
                <w:bCs/>
                <w:sz w:val="24"/>
              </w:rPr>
              <w:t>,</w:t>
            </w:r>
            <w:r w:rsidRPr="00862765">
              <w:rPr>
                <w:bCs/>
                <w:sz w:val="24"/>
              </w:rPr>
              <w:t>333.76</w:t>
            </w:r>
          </w:p>
        </w:tc>
        <w:tc>
          <w:tcPr>
            <w:tcW w:w="1260" w:type="dxa"/>
            <w:vAlign w:val="center"/>
          </w:tcPr>
          <w:p w:rsidR="00651D53" w:rsidRDefault="00862765">
            <w:pPr>
              <w:jc w:val="right"/>
            </w:pPr>
            <w:r w:rsidRPr="00862765">
              <w:rPr>
                <w:bCs/>
                <w:sz w:val="24"/>
              </w:rPr>
              <w:t>103</w:t>
            </w:r>
            <w:r>
              <w:rPr>
                <w:bCs/>
                <w:sz w:val="24"/>
              </w:rPr>
              <w:t>,</w:t>
            </w:r>
            <w:r w:rsidRPr="00862765">
              <w:rPr>
                <w:bCs/>
                <w:sz w:val="24"/>
              </w:rPr>
              <w:t>050</w:t>
            </w:r>
            <w:r>
              <w:rPr>
                <w:bCs/>
                <w:sz w:val="24"/>
              </w:rPr>
              <w:t>,</w:t>
            </w:r>
            <w:r w:rsidRPr="00862765">
              <w:rPr>
                <w:bCs/>
                <w:sz w:val="24"/>
              </w:rPr>
              <w:t>880.14</w:t>
            </w:r>
          </w:p>
        </w:tc>
        <w:tc>
          <w:tcPr>
            <w:tcW w:w="1260" w:type="dxa"/>
            <w:vAlign w:val="center"/>
          </w:tcPr>
          <w:p w:rsidR="00651D53" w:rsidRDefault="00702C7E">
            <w:pPr>
              <w:jc w:val="right"/>
            </w:pPr>
            <w:r>
              <w:rPr>
                <w:bCs/>
                <w:sz w:val="24"/>
              </w:rPr>
              <w:t>251,200,000.00</w:t>
            </w:r>
          </w:p>
        </w:tc>
        <w:tc>
          <w:tcPr>
            <w:tcW w:w="1080" w:type="dxa"/>
            <w:vAlign w:val="center"/>
          </w:tcPr>
          <w:p w:rsidR="00651D53" w:rsidRDefault="00702C7E">
            <w:pPr>
              <w:jc w:val="right"/>
            </w:pPr>
            <w:r>
              <w:rPr>
                <w:bCs/>
                <w:sz w:val="24"/>
              </w:rPr>
              <w:t>115,047.85</w:t>
            </w:r>
          </w:p>
        </w:tc>
        <w:tc>
          <w:tcPr>
            <w:tcW w:w="1512" w:type="dxa"/>
            <w:vAlign w:val="center"/>
          </w:tcPr>
          <w:p w:rsidR="00651D53" w:rsidRDefault="00702C7E">
            <w:pPr>
              <w:jc w:val="right"/>
            </w:pPr>
            <w:r>
              <w:rPr>
                <w:bCs/>
                <w:sz w:val="24"/>
              </w:rPr>
              <w:t>100,035,000.00</w:t>
            </w:r>
          </w:p>
        </w:tc>
        <w:tc>
          <w:tcPr>
            <w:tcW w:w="1083" w:type="dxa"/>
            <w:vAlign w:val="center"/>
          </w:tcPr>
          <w:p w:rsidR="00651D53" w:rsidRDefault="00702C7E">
            <w:pPr>
              <w:jc w:val="right"/>
            </w:pPr>
            <w:r>
              <w:rPr>
                <w:bCs/>
                <w:sz w:val="24"/>
              </w:rPr>
              <w:t>5,103.25</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2018</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2018</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651D53">
        <w:tc>
          <w:tcPr>
            <w:tcW w:w="1422" w:type="dxa"/>
            <w:vAlign w:val="center"/>
          </w:tcPr>
          <w:p w:rsidR="00651D53" w:rsidRDefault="00702C7E">
            <w:pPr>
              <w:jc w:val="left"/>
            </w:pPr>
            <w:r>
              <w:rPr>
                <w:bCs/>
                <w:sz w:val="24"/>
              </w:rPr>
              <w:t>中信建投证券</w:t>
            </w:r>
          </w:p>
        </w:tc>
        <w:tc>
          <w:tcPr>
            <w:tcW w:w="1818" w:type="dxa"/>
            <w:vAlign w:val="center"/>
          </w:tcPr>
          <w:p w:rsidR="00651D53" w:rsidRDefault="00702C7E">
            <w:pPr>
              <w:jc w:val="right"/>
            </w:pPr>
            <w:r>
              <w:rPr>
                <w:bCs/>
                <w:sz w:val="24"/>
              </w:rPr>
              <w:t>1,322,256,158.81</w:t>
            </w:r>
          </w:p>
        </w:tc>
        <w:tc>
          <w:tcPr>
            <w:tcW w:w="1260" w:type="dxa"/>
            <w:vAlign w:val="center"/>
          </w:tcPr>
          <w:p w:rsidR="00651D53" w:rsidRDefault="00702C7E">
            <w:pPr>
              <w:jc w:val="right"/>
            </w:pPr>
            <w:r>
              <w:rPr>
                <w:bCs/>
                <w:sz w:val="24"/>
              </w:rPr>
              <w:t>90,663,297.54</w:t>
            </w:r>
          </w:p>
        </w:tc>
        <w:tc>
          <w:tcPr>
            <w:tcW w:w="1260" w:type="dxa"/>
            <w:vAlign w:val="center"/>
          </w:tcPr>
          <w:p w:rsidR="00651D53" w:rsidRDefault="00702C7E">
            <w:pPr>
              <w:jc w:val="right"/>
            </w:pPr>
            <w:r>
              <w:rPr>
                <w:bCs/>
                <w:sz w:val="24"/>
              </w:rPr>
              <w:t>1,115,930,000.00</w:t>
            </w:r>
          </w:p>
        </w:tc>
        <w:tc>
          <w:tcPr>
            <w:tcW w:w="1080" w:type="dxa"/>
            <w:vAlign w:val="center"/>
          </w:tcPr>
          <w:p w:rsidR="00651D53" w:rsidRDefault="00702C7E">
            <w:pPr>
              <w:jc w:val="right"/>
            </w:pPr>
            <w:r>
              <w:rPr>
                <w:bCs/>
                <w:sz w:val="24"/>
              </w:rPr>
              <w:t>593,019.18</w:t>
            </w:r>
          </w:p>
        </w:tc>
        <w:tc>
          <w:tcPr>
            <w:tcW w:w="1512" w:type="dxa"/>
            <w:vAlign w:val="center"/>
          </w:tcPr>
          <w:p w:rsidR="00651D53" w:rsidRDefault="00702C7E">
            <w:pPr>
              <w:jc w:val="right"/>
            </w:pPr>
            <w:r>
              <w:rPr>
                <w:bCs/>
                <w:sz w:val="24"/>
              </w:rPr>
              <w:t>-</w:t>
            </w:r>
          </w:p>
        </w:tc>
        <w:tc>
          <w:tcPr>
            <w:tcW w:w="1083" w:type="dxa"/>
            <w:vAlign w:val="center"/>
          </w:tcPr>
          <w:p w:rsidR="00651D53" w:rsidRDefault="00702C7E">
            <w:pPr>
              <w:jc w:val="right"/>
            </w:pPr>
            <w:r>
              <w:rPr>
                <w:bCs/>
                <w:sz w:val="24"/>
              </w:rPr>
              <w:t>-</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本期</w:t>
            </w:r>
          </w:p>
          <w:p w:rsidR="006D141C" w:rsidRPr="00721727" w:rsidRDefault="006D141C" w:rsidP="00721727">
            <w:pPr>
              <w:pStyle w:val="ad"/>
              <w:spacing w:before="29" w:line="288" w:lineRule="auto"/>
              <w:jc w:val="center"/>
              <w:rPr>
                <w:szCs w:val="24"/>
              </w:rPr>
            </w:pPr>
            <w:r w:rsidRPr="00721727">
              <w:rPr>
                <w:rFonts w:hint="eastAsia"/>
                <w:szCs w:val="24"/>
              </w:rPr>
              <w:lastRenderedPageBreak/>
              <w:t>2019</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2019</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lastRenderedPageBreak/>
              <w:t>上年度可比期间</w:t>
            </w:r>
          </w:p>
          <w:p w:rsidR="006D141C" w:rsidRPr="00721727" w:rsidRDefault="006D64C2" w:rsidP="00721727">
            <w:pPr>
              <w:pStyle w:val="ad"/>
              <w:spacing w:before="29" w:line="288" w:lineRule="auto"/>
              <w:jc w:val="center"/>
              <w:rPr>
                <w:szCs w:val="24"/>
              </w:rPr>
            </w:pPr>
            <w:r w:rsidRPr="00721727">
              <w:rPr>
                <w:rFonts w:hint="eastAsia"/>
                <w:szCs w:val="24"/>
              </w:rPr>
              <w:lastRenderedPageBreak/>
              <w:t>2018</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2018</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交银活期通货币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交银活期通货币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交银活期通货币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交银活期通货币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254,848,123.89</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50,000,000.00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204,848,123.89</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r w:rsidR="00A771A1" w:rsidRPr="000C342B">
              <w:rPr>
                <w:rFonts w:hint="eastAsia"/>
                <w:color w:val="000000"/>
                <w:sz w:val="24"/>
              </w:rPr>
              <w:t>占</w:t>
            </w:r>
            <w:r w:rsidR="00A771A1">
              <w:rPr>
                <w:rFonts w:hint="eastAsia"/>
                <w:color w:val="000000"/>
                <w:sz w:val="24"/>
              </w:rPr>
              <w:t>该类基金</w:t>
            </w:r>
            <w:r w:rsidR="00A771A1" w:rsidRPr="000C342B">
              <w:rPr>
                <w:rFonts w:hint="eastAsia"/>
                <w:color w:val="000000"/>
                <w:sz w:val="24"/>
              </w:rPr>
              <w:t>份额</w:t>
            </w:r>
            <w:r w:rsidR="006D141C" w:rsidRPr="00721727">
              <w:rPr>
                <w:rFonts w:hint="eastAsia"/>
                <w:sz w:val="24"/>
              </w:rPr>
              <w:t>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491DDB" w:rsidP="00721727">
            <w:pPr>
              <w:spacing w:before="29" w:line="288" w:lineRule="auto"/>
              <w:jc w:val="right"/>
              <w:rPr>
                <w:sz w:val="24"/>
              </w:rPr>
            </w:pPr>
            <w:r>
              <w:rPr>
                <w:rFonts w:hint="eastAsia"/>
                <w:sz w:val="24"/>
              </w:rPr>
              <w:t>1.07</w:t>
            </w:r>
            <w:r w:rsidR="00D32085">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bl>
    <w:p w:rsidR="00651D53" w:rsidRDefault="00702C7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651D53" w:rsidRDefault="00702C7E">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交银活期通货币</w:t>
      </w:r>
      <w:r w:rsidRPr="00244FEC">
        <w:rPr>
          <w:rFonts w:hint="eastAsia"/>
          <w:sz w:val="24"/>
        </w:rPr>
        <w:t>A</w:t>
      </w:r>
    </w:p>
    <w:p w:rsidR="00244FEC" w:rsidRDefault="00C22F17" w:rsidP="00244FEC">
      <w:pPr>
        <w:tabs>
          <w:tab w:val="left" w:pos="426"/>
        </w:tabs>
        <w:spacing w:before="29" w:line="288" w:lineRule="auto"/>
        <w:jc w:val="left"/>
        <w:rPr>
          <w:kern w:val="0"/>
          <w:sz w:val="24"/>
        </w:rPr>
      </w:pPr>
      <w:r w:rsidRPr="00C22F17">
        <w:rPr>
          <w:rFonts w:hint="eastAsia"/>
          <w:kern w:val="0"/>
          <w:sz w:val="24"/>
        </w:rPr>
        <w:t>本报告期末及上年度末除基金管理人之外的其他关联方未持有本基金</w:t>
      </w:r>
      <w:r w:rsidRPr="00C22F17">
        <w:rPr>
          <w:rFonts w:hint="eastAsia"/>
          <w:kern w:val="0"/>
          <w:sz w:val="24"/>
        </w:rPr>
        <w:t>A</w:t>
      </w:r>
      <w:r w:rsidRPr="00C22F17">
        <w:rPr>
          <w:rFonts w:hint="eastAsia"/>
          <w:kern w:val="0"/>
          <w:sz w:val="24"/>
        </w:rPr>
        <w:t>类基金份额。</w:t>
      </w:r>
    </w:p>
    <w:p w:rsidR="00C22F17" w:rsidRPr="00C22F17" w:rsidRDefault="00C22F17"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交银活期通货币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交银活期通货币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2019</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交银活期通货币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2018</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widowControl/>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A771A1">
              <w:rPr>
                <w:rFonts w:hint="eastAsia"/>
                <w:color w:val="000000"/>
                <w:sz w:val="24"/>
              </w:rPr>
              <w:t>基金</w:t>
            </w:r>
            <w:r w:rsidRPr="000C342B">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A771A1">
              <w:rPr>
                <w:rFonts w:hint="eastAsia"/>
                <w:color w:val="000000"/>
                <w:sz w:val="24"/>
              </w:rPr>
              <w:t>基金</w:t>
            </w:r>
            <w:r w:rsidRPr="000C342B">
              <w:rPr>
                <w:rFonts w:hint="eastAsia"/>
                <w:color w:val="000000"/>
                <w:sz w:val="24"/>
              </w:rPr>
              <w:t>份额的比例</w:t>
            </w:r>
            <w:r w:rsidR="00604AF1" w:rsidRPr="00C82BA2">
              <w:rPr>
                <w:sz w:val="24"/>
              </w:rPr>
              <w:t xml:space="preserve"> </w:t>
            </w:r>
          </w:p>
        </w:tc>
      </w:tr>
      <w:tr w:rsidR="00651D53">
        <w:tc>
          <w:tcPr>
            <w:tcW w:w="2024" w:type="dxa"/>
            <w:vAlign w:val="center"/>
          </w:tcPr>
          <w:p w:rsidR="00651D53" w:rsidRDefault="00702C7E">
            <w:pPr>
              <w:jc w:val="center"/>
            </w:pPr>
            <w:r>
              <w:rPr>
                <w:rFonts w:hint="eastAsia"/>
                <w:sz w:val="24"/>
              </w:rPr>
              <w:t>交通银行</w:t>
            </w:r>
          </w:p>
        </w:tc>
        <w:tc>
          <w:tcPr>
            <w:tcW w:w="2095" w:type="dxa"/>
            <w:vAlign w:val="center"/>
          </w:tcPr>
          <w:p w:rsidR="00651D53" w:rsidRDefault="00702C7E">
            <w:pPr>
              <w:jc w:val="center"/>
            </w:pPr>
            <w:r>
              <w:rPr>
                <w:rFonts w:hint="eastAsia"/>
                <w:sz w:val="24"/>
              </w:rPr>
              <w:t>6,054,405,317.19</w:t>
            </w:r>
          </w:p>
        </w:tc>
        <w:tc>
          <w:tcPr>
            <w:tcW w:w="1627" w:type="dxa"/>
            <w:vAlign w:val="center"/>
          </w:tcPr>
          <w:p w:rsidR="00651D53" w:rsidRDefault="002A3551">
            <w:pPr>
              <w:jc w:val="center"/>
            </w:pPr>
            <w:r>
              <w:rPr>
                <w:sz w:val="24"/>
              </w:rPr>
              <w:t>31.58</w:t>
            </w:r>
            <w:r w:rsidR="00702C7E">
              <w:rPr>
                <w:rFonts w:hint="eastAsia"/>
                <w:sz w:val="24"/>
              </w:rPr>
              <w:t>%</w:t>
            </w:r>
          </w:p>
        </w:tc>
        <w:tc>
          <w:tcPr>
            <w:tcW w:w="1921" w:type="dxa"/>
            <w:vAlign w:val="center"/>
          </w:tcPr>
          <w:p w:rsidR="00651D53" w:rsidRDefault="00702C7E">
            <w:pPr>
              <w:jc w:val="center"/>
            </w:pPr>
            <w:r>
              <w:rPr>
                <w:rFonts w:hint="eastAsia"/>
                <w:sz w:val="24"/>
              </w:rPr>
              <w:t>9,380,902,681.73</w:t>
            </w:r>
          </w:p>
        </w:tc>
        <w:tc>
          <w:tcPr>
            <w:tcW w:w="1693" w:type="dxa"/>
            <w:vAlign w:val="center"/>
          </w:tcPr>
          <w:p w:rsidR="00651D53" w:rsidRDefault="00702C7E">
            <w:pPr>
              <w:jc w:val="center"/>
            </w:pPr>
            <w:r>
              <w:rPr>
                <w:rFonts w:hint="eastAsia"/>
                <w:sz w:val="24"/>
              </w:rPr>
              <w:t>24.24%</w:t>
            </w:r>
          </w:p>
        </w:tc>
      </w:tr>
      <w:tr w:rsidR="00651D53">
        <w:tc>
          <w:tcPr>
            <w:tcW w:w="2024" w:type="dxa"/>
            <w:vAlign w:val="center"/>
          </w:tcPr>
          <w:p w:rsidR="00651D53" w:rsidRDefault="00702C7E">
            <w:pPr>
              <w:jc w:val="center"/>
            </w:pPr>
            <w:r>
              <w:rPr>
                <w:rFonts w:hint="eastAsia"/>
                <w:sz w:val="24"/>
              </w:rPr>
              <w:t>交银施罗德资产管理有限公司</w:t>
            </w:r>
          </w:p>
        </w:tc>
        <w:tc>
          <w:tcPr>
            <w:tcW w:w="2095" w:type="dxa"/>
            <w:vAlign w:val="center"/>
          </w:tcPr>
          <w:p w:rsidR="00651D53" w:rsidRDefault="00702C7E">
            <w:pPr>
              <w:jc w:val="center"/>
            </w:pPr>
            <w:r>
              <w:rPr>
                <w:rFonts w:hint="eastAsia"/>
                <w:sz w:val="24"/>
              </w:rPr>
              <w:t>-</w:t>
            </w:r>
          </w:p>
        </w:tc>
        <w:tc>
          <w:tcPr>
            <w:tcW w:w="1627" w:type="dxa"/>
            <w:vAlign w:val="center"/>
          </w:tcPr>
          <w:p w:rsidR="00651D53" w:rsidRDefault="00702C7E">
            <w:pPr>
              <w:jc w:val="center"/>
            </w:pPr>
            <w:r>
              <w:rPr>
                <w:rFonts w:hint="eastAsia"/>
                <w:sz w:val="24"/>
              </w:rPr>
              <w:t>-</w:t>
            </w:r>
          </w:p>
        </w:tc>
        <w:tc>
          <w:tcPr>
            <w:tcW w:w="1921" w:type="dxa"/>
            <w:vAlign w:val="center"/>
          </w:tcPr>
          <w:p w:rsidR="00651D53" w:rsidRDefault="00702C7E">
            <w:pPr>
              <w:jc w:val="center"/>
            </w:pPr>
            <w:r>
              <w:rPr>
                <w:rFonts w:hint="eastAsia"/>
                <w:sz w:val="24"/>
              </w:rPr>
              <w:t>230,288,896.70</w:t>
            </w:r>
          </w:p>
        </w:tc>
        <w:tc>
          <w:tcPr>
            <w:tcW w:w="1693" w:type="dxa"/>
            <w:vAlign w:val="center"/>
          </w:tcPr>
          <w:p w:rsidR="00651D53" w:rsidRDefault="00702C7E">
            <w:pPr>
              <w:jc w:val="center"/>
            </w:pPr>
            <w:r>
              <w:rPr>
                <w:rFonts w:hint="eastAsia"/>
                <w:sz w:val="24"/>
              </w:rPr>
              <w:t>0.60%</w:t>
            </w:r>
          </w:p>
        </w:tc>
      </w:tr>
      <w:tr w:rsidR="00651D53">
        <w:tc>
          <w:tcPr>
            <w:tcW w:w="2024" w:type="dxa"/>
            <w:vAlign w:val="center"/>
          </w:tcPr>
          <w:p w:rsidR="00651D53" w:rsidRDefault="00702C7E">
            <w:pPr>
              <w:jc w:val="center"/>
            </w:pPr>
            <w:r>
              <w:rPr>
                <w:rFonts w:hint="eastAsia"/>
                <w:sz w:val="24"/>
              </w:rPr>
              <w:t>上海直源投资管</w:t>
            </w:r>
            <w:r>
              <w:rPr>
                <w:rFonts w:hint="eastAsia"/>
                <w:sz w:val="24"/>
              </w:rPr>
              <w:lastRenderedPageBreak/>
              <w:t>理有限公司</w:t>
            </w:r>
          </w:p>
        </w:tc>
        <w:tc>
          <w:tcPr>
            <w:tcW w:w="2095" w:type="dxa"/>
            <w:vAlign w:val="center"/>
          </w:tcPr>
          <w:p w:rsidR="00651D53" w:rsidRDefault="00702C7E">
            <w:pPr>
              <w:jc w:val="center"/>
            </w:pPr>
            <w:r>
              <w:rPr>
                <w:rFonts w:hint="eastAsia"/>
                <w:sz w:val="24"/>
              </w:rPr>
              <w:lastRenderedPageBreak/>
              <w:t>12,563,833.16</w:t>
            </w:r>
          </w:p>
        </w:tc>
        <w:tc>
          <w:tcPr>
            <w:tcW w:w="1627" w:type="dxa"/>
            <w:vAlign w:val="center"/>
          </w:tcPr>
          <w:p w:rsidR="00651D53" w:rsidRDefault="00E34708">
            <w:pPr>
              <w:jc w:val="center"/>
            </w:pPr>
            <w:r>
              <w:rPr>
                <w:rFonts w:hint="eastAsia"/>
                <w:sz w:val="24"/>
              </w:rPr>
              <w:t>0.07</w:t>
            </w:r>
            <w:r w:rsidR="00702C7E">
              <w:rPr>
                <w:rFonts w:hint="eastAsia"/>
                <w:sz w:val="24"/>
              </w:rPr>
              <w:t>%</w:t>
            </w:r>
          </w:p>
        </w:tc>
        <w:tc>
          <w:tcPr>
            <w:tcW w:w="1921" w:type="dxa"/>
            <w:vAlign w:val="center"/>
          </w:tcPr>
          <w:p w:rsidR="00651D53" w:rsidRDefault="00702C7E">
            <w:pPr>
              <w:jc w:val="center"/>
            </w:pPr>
            <w:r>
              <w:rPr>
                <w:rFonts w:hint="eastAsia"/>
                <w:sz w:val="24"/>
              </w:rPr>
              <w:t>6,716,243.61</w:t>
            </w:r>
          </w:p>
        </w:tc>
        <w:tc>
          <w:tcPr>
            <w:tcW w:w="1693" w:type="dxa"/>
            <w:vAlign w:val="center"/>
          </w:tcPr>
          <w:p w:rsidR="00651D53" w:rsidRDefault="00702C7E">
            <w:pPr>
              <w:jc w:val="center"/>
            </w:pPr>
            <w:r>
              <w:rPr>
                <w:rFonts w:hint="eastAsia"/>
                <w:sz w:val="24"/>
              </w:rPr>
              <w:t>0.02%</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2019</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2019</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651D53">
        <w:tc>
          <w:tcPr>
            <w:tcW w:w="1800" w:type="dxa"/>
            <w:vAlign w:val="center"/>
          </w:tcPr>
          <w:p w:rsidR="00651D53" w:rsidRDefault="00702C7E">
            <w:pPr>
              <w:jc w:val="center"/>
            </w:pPr>
            <w:r>
              <w:rPr>
                <w:rFonts w:hint="eastAsia"/>
                <w:szCs w:val="21"/>
              </w:rPr>
              <w:t>交通银行</w:t>
            </w:r>
          </w:p>
        </w:tc>
        <w:tc>
          <w:tcPr>
            <w:tcW w:w="1800" w:type="dxa"/>
            <w:vAlign w:val="center"/>
          </w:tcPr>
          <w:p w:rsidR="00651D53" w:rsidRDefault="00702C7E">
            <w:pPr>
              <w:jc w:val="center"/>
            </w:pPr>
            <w:r>
              <w:rPr>
                <w:rFonts w:hint="eastAsia"/>
                <w:szCs w:val="21"/>
              </w:rPr>
              <w:t>2,962,946.53</w:t>
            </w:r>
          </w:p>
        </w:tc>
        <w:tc>
          <w:tcPr>
            <w:tcW w:w="1800" w:type="dxa"/>
            <w:vAlign w:val="center"/>
          </w:tcPr>
          <w:p w:rsidR="00651D53" w:rsidRDefault="00702C7E">
            <w:pPr>
              <w:jc w:val="center"/>
            </w:pPr>
            <w:r>
              <w:rPr>
                <w:rFonts w:hint="eastAsia"/>
                <w:szCs w:val="21"/>
              </w:rPr>
              <w:t>1,443,372.22</w:t>
            </w:r>
          </w:p>
        </w:tc>
        <w:tc>
          <w:tcPr>
            <w:tcW w:w="1800" w:type="dxa"/>
            <w:vAlign w:val="center"/>
          </w:tcPr>
          <w:p w:rsidR="00651D53" w:rsidRDefault="00702C7E">
            <w:pPr>
              <w:jc w:val="center"/>
            </w:pPr>
            <w:r>
              <w:rPr>
                <w:rFonts w:hint="eastAsia"/>
                <w:szCs w:val="21"/>
              </w:rPr>
              <w:t>2,514,829.56</w:t>
            </w:r>
          </w:p>
        </w:tc>
        <w:tc>
          <w:tcPr>
            <w:tcW w:w="1800" w:type="dxa"/>
            <w:vAlign w:val="center"/>
          </w:tcPr>
          <w:p w:rsidR="00651D53" w:rsidRDefault="00702C7E">
            <w:pPr>
              <w:jc w:val="center"/>
            </w:pPr>
            <w:r>
              <w:rPr>
                <w:rFonts w:hint="eastAsia"/>
                <w:szCs w:val="21"/>
              </w:rPr>
              <w:t>533,907.06</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注：本基金的银行存款账户开立在交通银行，按银行同业利率计息。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、交银活期通货币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436,388,077.79</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-634,854.76</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435,753,223.03</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交银活期通货币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545,670,349.24</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-73,954.95</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545,596,394.29</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2019</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本基金本报告期末无从事银行间债券正回购交易形成的卖出回购证券款余额。</w:t>
      </w:r>
    </w:p>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651D53" w:rsidRDefault="00702C7E">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651D53" w:rsidRDefault="00702C7E">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51D53" w:rsidRDefault="00702C7E">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651D53" w:rsidRDefault="00702C7E">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651D53" w:rsidRDefault="00702C7E">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交通银行，协议存款存放在广发银行股份有限公司、大连银行股份有限公司、盛京银行股份有限公司、恒丰银行股份有限公司、江苏江南农村商业银行股</w:t>
      </w:r>
      <w:r>
        <w:rPr>
          <w:rFonts w:hint="eastAsia"/>
          <w:kern w:val="0"/>
          <w:sz w:val="24"/>
        </w:rPr>
        <w:lastRenderedPageBreak/>
        <w:t>份有限公司、天津银行股份有限公司、华夏银行股份有限公司、中国民生银行股份有限公司、中原银行股份有限公司、中国光大银行股份有限公司、徽商银行股份有限公司和洛阳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因此违约风险可能性很小。</w:t>
      </w:r>
    </w:p>
    <w:p w:rsidR="00651D53" w:rsidRDefault="00702C7E">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671,676,827.36</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490,000,023.37</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5,921,319,508.74</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4,223,101,328.32</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6,592,996,336.10</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4,713,101,351.69</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注：未评级部分为国债、政策性金融债和企业超短期融资券。</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150,000,000.00</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150,000,000.00</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lastRenderedPageBreak/>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13,235,967,742.59</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22,959,703,218.22</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13,235,967,742.59</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22,959,703,218.22</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747,004,654.63</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651,028,234.99</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300,382,832.47</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1,398,032,889.62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300,382,832.47</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651D53" w:rsidRDefault="00702C7E">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51D53" w:rsidRDefault="00702C7E">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651D53" w:rsidRDefault="00702C7E">
      <w:pPr>
        <w:spacing w:before="29" w:line="288" w:lineRule="auto"/>
        <w:ind w:firstLine="42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日，本基金所承担的全部金融负债的合约约定到期日均为一个月以内且不计息，可赎回基金份额净值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651D53" w:rsidRDefault="00702C7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651D53" w:rsidRDefault="00702C7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651D53" w:rsidRDefault="00702C7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651D53" w:rsidRDefault="00702C7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651D53" w:rsidRDefault="00702C7E">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2019</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651D53">
        <w:tc>
          <w:tcPr>
            <w:tcW w:w="1666" w:type="dxa"/>
            <w:gridSpan w:val="2"/>
            <w:vAlign w:val="center"/>
          </w:tcPr>
          <w:p w:rsidR="00651D53" w:rsidRDefault="00702C7E">
            <w:pPr>
              <w:jc w:val="left"/>
            </w:pPr>
            <w:r>
              <w:rPr>
                <w:color w:val="000000"/>
                <w:sz w:val="18"/>
                <w:szCs w:val="18"/>
              </w:rPr>
              <w:t>银行存款</w:t>
            </w:r>
          </w:p>
        </w:tc>
        <w:tc>
          <w:tcPr>
            <w:tcW w:w="1265" w:type="dxa"/>
            <w:gridSpan w:val="2"/>
            <w:vAlign w:val="center"/>
          </w:tcPr>
          <w:p w:rsidR="00651D53" w:rsidRDefault="00702C7E">
            <w:pPr>
              <w:jc w:val="left"/>
            </w:pPr>
            <w:r>
              <w:rPr>
                <w:color w:val="000000"/>
                <w:sz w:val="18"/>
                <w:szCs w:val="18"/>
              </w:rPr>
              <w:t>1,802,962,946.53</w:t>
            </w:r>
          </w:p>
        </w:tc>
        <w:tc>
          <w:tcPr>
            <w:tcW w:w="1134" w:type="dxa"/>
            <w:gridSpan w:val="3"/>
            <w:vAlign w:val="center"/>
          </w:tcPr>
          <w:p w:rsidR="00651D53" w:rsidRDefault="00702C7E">
            <w:pPr>
              <w:jc w:val="left"/>
            </w:pPr>
            <w:r>
              <w:rPr>
                <w:color w:val="000000"/>
                <w:sz w:val="18"/>
                <w:szCs w:val="18"/>
              </w:rPr>
              <w:t>6,800,000,000.00</w:t>
            </w:r>
          </w:p>
        </w:tc>
        <w:tc>
          <w:tcPr>
            <w:tcW w:w="1142" w:type="dxa"/>
            <w:vAlign w:val="center"/>
          </w:tcPr>
          <w:p w:rsidR="00651D53" w:rsidRDefault="00702C7E">
            <w:pPr>
              <w:jc w:val="left"/>
            </w:pPr>
            <w:r>
              <w:rPr>
                <w:color w:val="000000"/>
                <w:sz w:val="18"/>
                <w:szCs w:val="18"/>
              </w:rPr>
              <w:t>2,300,000,000.00</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center"/>
            </w:pPr>
            <w:r>
              <w:rPr>
                <w:color w:val="000000"/>
                <w:sz w:val="18"/>
                <w:szCs w:val="18"/>
              </w:rPr>
              <w:t>-</w:t>
            </w:r>
          </w:p>
        </w:tc>
        <w:tc>
          <w:tcPr>
            <w:tcW w:w="982" w:type="dxa"/>
            <w:vAlign w:val="center"/>
          </w:tcPr>
          <w:p w:rsidR="00651D53" w:rsidRDefault="00702C7E">
            <w:pPr>
              <w:jc w:val="center"/>
            </w:pPr>
            <w:r>
              <w:rPr>
                <w:color w:val="000000"/>
                <w:sz w:val="18"/>
                <w:szCs w:val="18"/>
              </w:rPr>
              <w:t>-</w:t>
            </w:r>
          </w:p>
        </w:tc>
        <w:tc>
          <w:tcPr>
            <w:tcW w:w="1036" w:type="dxa"/>
            <w:gridSpan w:val="2"/>
            <w:vAlign w:val="center"/>
          </w:tcPr>
          <w:p w:rsidR="00651D53" w:rsidRDefault="00702C7E">
            <w:pPr>
              <w:jc w:val="center"/>
            </w:pPr>
            <w:r>
              <w:rPr>
                <w:color w:val="000000"/>
                <w:sz w:val="18"/>
                <w:szCs w:val="18"/>
              </w:rPr>
              <w:t>10,902,962,946.53</w:t>
            </w:r>
          </w:p>
        </w:tc>
      </w:tr>
      <w:tr w:rsidR="00651D53">
        <w:tc>
          <w:tcPr>
            <w:tcW w:w="1666" w:type="dxa"/>
            <w:gridSpan w:val="2"/>
            <w:vAlign w:val="center"/>
          </w:tcPr>
          <w:p w:rsidR="00651D53" w:rsidRDefault="00702C7E">
            <w:pPr>
              <w:jc w:val="left"/>
            </w:pPr>
            <w:r>
              <w:rPr>
                <w:color w:val="000000"/>
                <w:sz w:val="18"/>
                <w:szCs w:val="18"/>
              </w:rPr>
              <w:t>交易性金融资产</w:t>
            </w:r>
          </w:p>
        </w:tc>
        <w:tc>
          <w:tcPr>
            <w:tcW w:w="1265" w:type="dxa"/>
            <w:gridSpan w:val="2"/>
            <w:vAlign w:val="center"/>
          </w:tcPr>
          <w:p w:rsidR="00651D53" w:rsidRDefault="00702C7E">
            <w:pPr>
              <w:jc w:val="left"/>
            </w:pPr>
            <w:r>
              <w:rPr>
                <w:color w:val="000000"/>
                <w:sz w:val="18"/>
                <w:szCs w:val="18"/>
              </w:rPr>
              <w:t>289,906,449.84</w:t>
            </w:r>
          </w:p>
        </w:tc>
        <w:tc>
          <w:tcPr>
            <w:tcW w:w="1134" w:type="dxa"/>
            <w:gridSpan w:val="3"/>
            <w:vAlign w:val="center"/>
          </w:tcPr>
          <w:p w:rsidR="00651D53" w:rsidRDefault="00702C7E">
            <w:pPr>
              <w:jc w:val="left"/>
            </w:pPr>
            <w:r>
              <w:rPr>
                <w:color w:val="000000"/>
                <w:sz w:val="18"/>
                <w:szCs w:val="18"/>
              </w:rPr>
              <w:t>15,779,472,306.53</w:t>
            </w:r>
          </w:p>
        </w:tc>
        <w:tc>
          <w:tcPr>
            <w:tcW w:w="1142" w:type="dxa"/>
            <w:vAlign w:val="center"/>
          </w:tcPr>
          <w:p w:rsidR="00651D53" w:rsidRDefault="00702C7E">
            <w:pPr>
              <w:jc w:val="left"/>
            </w:pPr>
            <w:r>
              <w:rPr>
                <w:color w:val="000000"/>
                <w:sz w:val="18"/>
                <w:szCs w:val="18"/>
              </w:rPr>
              <w:t>5,227,618,211.94</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center"/>
            </w:pPr>
            <w:r>
              <w:rPr>
                <w:color w:val="000000"/>
                <w:sz w:val="18"/>
                <w:szCs w:val="18"/>
              </w:rPr>
              <w:t>-</w:t>
            </w:r>
          </w:p>
        </w:tc>
        <w:tc>
          <w:tcPr>
            <w:tcW w:w="982" w:type="dxa"/>
            <w:vAlign w:val="center"/>
          </w:tcPr>
          <w:p w:rsidR="00651D53" w:rsidRDefault="00702C7E">
            <w:pPr>
              <w:jc w:val="center"/>
            </w:pPr>
            <w:r>
              <w:rPr>
                <w:color w:val="000000"/>
                <w:sz w:val="18"/>
                <w:szCs w:val="18"/>
              </w:rPr>
              <w:t>-</w:t>
            </w:r>
          </w:p>
        </w:tc>
        <w:tc>
          <w:tcPr>
            <w:tcW w:w="1036" w:type="dxa"/>
            <w:gridSpan w:val="2"/>
            <w:vAlign w:val="center"/>
          </w:tcPr>
          <w:p w:rsidR="00651D53" w:rsidRDefault="00702C7E">
            <w:pPr>
              <w:jc w:val="center"/>
            </w:pPr>
            <w:r>
              <w:rPr>
                <w:color w:val="000000"/>
                <w:sz w:val="18"/>
                <w:szCs w:val="18"/>
              </w:rPr>
              <w:t>21,296,996,968.31</w:t>
            </w:r>
          </w:p>
        </w:tc>
      </w:tr>
      <w:tr w:rsidR="00651D53">
        <w:tc>
          <w:tcPr>
            <w:tcW w:w="1666" w:type="dxa"/>
            <w:gridSpan w:val="2"/>
            <w:vAlign w:val="center"/>
          </w:tcPr>
          <w:p w:rsidR="00651D53" w:rsidRDefault="00702C7E">
            <w:pPr>
              <w:jc w:val="left"/>
            </w:pPr>
            <w:r>
              <w:rPr>
                <w:color w:val="000000"/>
                <w:sz w:val="18"/>
                <w:szCs w:val="18"/>
              </w:rPr>
              <w:t>买入返售金融资产</w:t>
            </w:r>
          </w:p>
        </w:tc>
        <w:tc>
          <w:tcPr>
            <w:tcW w:w="1265" w:type="dxa"/>
            <w:gridSpan w:val="2"/>
            <w:vAlign w:val="center"/>
          </w:tcPr>
          <w:p w:rsidR="00651D53" w:rsidRDefault="00702C7E">
            <w:pPr>
              <w:jc w:val="left"/>
            </w:pPr>
            <w:r>
              <w:rPr>
                <w:color w:val="000000"/>
                <w:sz w:val="18"/>
                <w:szCs w:val="18"/>
              </w:rPr>
              <w:t>2,566,815,210.23</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center"/>
            </w:pPr>
            <w:r>
              <w:rPr>
                <w:color w:val="000000"/>
                <w:sz w:val="18"/>
                <w:szCs w:val="18"/>
              </w:rPr>
              <w:t>-</w:t>
            </w:r>
          </w:p>
        </w:tc>
        <w:tc>
          <w:tcPr>
            <w:tcW w:w="982" w:type="dxa"/>
            <w:vAlign w:val="center"/>
          </w:tcPr>
          <w:p w:rsidR="00651D53" w:rsidRDefault="00702C7E">
            <w:pPr>
              <w:jc w:val="center"/>
            </w:pPr>
            <w:r>
              <w:rPr>
                <w:color w:val="000000"/>
                <w:sz w:val="18"/>
                <w:szCs w:val="18"/>
              </w:rPr>
              <w:t>-</w:t>
            </w:r>
          </w:p>
        </w:tc>
        <w:tc>
          <w:tcPr>
            <w:tcW w:w="1036" w:type="dxa"/>
            <w:gridSpan w:val="2"/>
            <w:vAlign w:val="center"/>
          </w:tcPr>
          <w:p w:rsidR="00651D53" w:rsidRDefault="00702C7E">
            <w:pPr>
              <w:jc w:val="center"/>
            </w:pPr>
            <w:r>
              <w:rPr>
                <w:color w:val="000000"/>
                <w:sz w:val="18"/>
                <w:szCs w:val="18"/>
              </w:rPr>
              <w:t>2,566,815,210.23</w:t>
            </w:r>
          </w:p>
        </w:tc>
      </w:tr>
      <w:tr w:rsidR="00651D53">
        <w:tc>
          <w:tcPr>
            <w:tcW w:w="1666" w:type="dxa"/>
            <w:gridSpan w:val="2"/>
            <w:vAlign w:val="center"/>
          </w:tcPr>
          <w:p w:rsidR="00651D53" w:rsidRDefault="00702C7E">
            <w:pPr>
              <w:jc w:val="left"/>
            </w:pPr>
            <w:r>
              <w:rPr>
                <w:color w:val="000000"/>
                <w:sz w:val="18"/>
                <w:szCs w:val="18"/>
              </w:rPr>
              <w:t>应收利息</w:t>
            </w:r>
          </w:p>
        </w:tc>
        <w:tc>
          <w:tcPr>
            <w:tcW w:w="1265" w:type="dxa"/>
            <w:gridSpan w:val="2"/>
            <w:vAlign w:val="center"/>
          </w:tcPr>
          <w:p w:rsidR="00651D53" w:rsidRDefault="00702C7E">
            <w:pPr>
              <w:jc w:val="left"/>
            </w:pPr>
            <w:r>
              <w:rPr>
                <w:color w:val="000000"/>
                <w:sz w:val="18"/>
                <w:szCs w:val="18"/>
              </w:rPr>
              <w:t>-</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center"/>
            </w:pPr>
            <w:r>
              <w:rPr>
                <w:color w:val="000000"/>
                <w:sz w:val="18"/>
                <w:szCs w:val="18"/>
              </w:rPr>
              <w:t>-</w:t>
            </w:r>
          </w:p>
        </w:tc>
        <w:tc>
          <w:tcPr>
            <w:tcW w:w="982" w:type="dxa"/>
            <w:vAlign w:val="center"/>
          </w:tcPr>
          <w:p w:rsidR="00651D53" w:rsidRDefault="00702C7E">
            <w:pPr>
              <w:jc w:val="center"/>
            </w:pPr>
            <w:r>
              <w:rPr>
                <w:color w:val="000000"/>
                <w:sz w:val="18"/>
                <w:szCs w:val="18"/>
              </w:rPr>
              <w:t>120,282,235.47</w:t>
            </w:r>
          </w:p>
        </w:tc>
        <w:tc>
          <w:tcPr>
            <w:tcW w:w="1036" w:type="dxa"/>
            <w:gridSpan w:val="2"/>
            <w:vAlign w:val="center"/>
          </w:tcPr>
          <w:p w:rsidR="00651D53" w:rsidRDefault="00702C7E">
            <w:pPr>
              <w:jc w:val="center"/>
            </w:pPr>
            <w:r>
              <w:rPr>
                <w:color w:val="000000"/>
                <w:sz w:val="18"/>
                <w:szCs w:val="18"/>
              </w:rPr>
              <w:t>120,282,235.47</w:t>
            </w:r>
          </w:p>
        </w:tc>
      </w:tr>
      <w:tr w:rsidR="00651D53">
        <w:tc>
          <w:tcPr>
            <w:tcW w:w="1666" w:type="dxa"/>
            <w:gridSpan w:val="2"/>
            <w:vAlign w:val="center"/>
          </w:tcPr>
          <w:p w:rsidR="00651D53" w:rsidRDefault="00702C7E">
            <w:pPr>
              <w:jc w:val="left"/>
            </w:pPr>
            <w:r>
              <w:rPr>
                <w:color w:val="000000"/>
                <w:sz w:val="18"/>
                <w:szCs w:val="18"/>
              </w:rPr>
              <w:t>应收申购款</w:t>
            </w:r>
          </w:p>
        </w:tc>
        <w:tc>
          <w:tcPr>
            <w:tcW w:w="1265" w:type="dxa"/>
            <w:gridSpan w:val="2"/>
            <w:vAlign w:val="center"/>
          </w:tcPr>
          <w:p w:rsidR="00651D53" w:rsidRDefault="00702C7E">
            <w:pPr>
              <w:jc w:val="left"/>
            </w:pPr>
            <w:r>
              <w:rPr>
                <w:color w:val="000000"/>
                <w:sz w:val="18"/>
                <w:szCs w:val="18"/>
              </w:rPr>
              <w:t>-</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center"/>
            </w:pPr>
            <w:r>
              <w:rPr>
                <w:color w:val="000000"/>
                <w:sz w:val="18"/>
                <w:szCs w:val="18"/>
              </w:rPr>
              <w:t>-</w:t>
            </w:r>
          </w:p>
        </w:tc>
        <w:tc>
          <w:tcPr>
            <w:tcW w:w="982" w:type="dxa"/>
            <w:vAlign w:val="center"/>
          </w:tcPr>
          <w:p w:rsidR="00651D53" w:rsidRDefault="00702C7E">
            <w:pPr>
              <w:jc w:val="center"/>
            </w:pPr>
            <w:r>
              <w:rPr>
                <w:color w:val="000000"/>
                <w:sz w:val="18"/>
                <w:szCs w:val="18"/>
              </w:rPr>
              <w:t>13,327.47</w:t>
            </w:r>
          </w:p>
        </w:tc>
        <w:tc>
          <w:tcPr>
            <w:tcW w:w="1036" w:type="dxa"/>
            <w:gridSpan w:val="2"/>
            <w:vAlign w:val="center"/>
          </w:tcPr>
          <w:p w:rsidR="00651D53" w:rsidRDefault="00702C7E">
            <w:pPr>
              <w:jc w:val="center"/>
            </w:pPr>
            <w:r>
              <w:rPr>
                <w:color w:val="000000"/>
                <w:sz w:val="18"/>
                <w:szCs w:val="18"/>
              </w:rPr>
              <w:t>13,327.47</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4,659,684,606.60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22,579,472,306.53</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7,527,618,211.94</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120,295,562.94</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34,887,070,688.01</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651D53">
        <w:tc>
          <w:tcPr>
            <w:tcW w:w="1658" w:type="dxa"/>
            <w:vAlign w:val="center"/>
          </w:tcPr>
          <w:p w:rsidR="00651D53" w:rsidRDefault="00702C7E">
            <w:pPr>
              <w:jc w:val="left"/>
            </w:pPr>
            <w:r>
              <w:rPr>
                <w:color w:val="000000"/>
                <w:sz w:val="18"/>
                <w:szCs w:val="18"/>
              </w:rPr>
              <w:t>应付管理人报酬</w:t>
            </w:r>
          </w:p>
        </w:tc>
        <w:tc>
          <w:tcPr>
            <w:tcW w:w="1273" w:type="dxa"/>
            <w:gridSpan w:val="3"/>
            <w:vAlign w:val="center"/>
          </w:tcPr>
          <w:p w:rsidR="00651D53" w:rsidRDefault="00702C7E">
            <w:pPr>
              <w:jc w:val="left"/>
            </w:pPr>
            <w:r>
              <w:rPr>
                <w:color w:val="000000"/>
                <w:sz w:val="18"/>
                <w:szCs w:val="18"/>
              </w:rPr>
              <w:t>-</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82" w:type="dxa"/>
            <w:vAlign w:val="center"/>
          </w:tcPr>
          <w:p w:rsidR="00651D53" w:rsidRDefault="00702C7E">
            <w:pPr>
              <w:jc w:val="left"/>
            </w:pPr>
            <w:r>
              <w:rPr>
                <w:color w:val="000000"/>
                <w:sz w:val="18"/>
                <w:szCs w:val="18"/>
              </w:rPr>
              <w:t>8,892,827.69</w:t>
            </w:r>
          </w:p>
        </w:tc>
        <w:tc>
          <w:tcPr>
            <w:tcW w:w="1036" w:type="dxa"/>
            <w:gridSpan w:val="2"/>
            <w:vAlign w:val="center"/>
          </w:tcPr>
          <w:p w:rsidR="00651D53" w:rsidRDefault="00702C7E">
            <w:pPr>
              <w:jc w:val="left"/>
            </w:pPr>
            <w:r>
              <w:rPr>
                <w:color w:val="000000"/>
                <w:sz w:val="18"/>
                <w:szCs w:val="18"/>
              </w:rPr>
              <w:t>8,892,827.69</w:t>
            </w:r>
          </w:p>
        </w:tc>
      </w:tr>
      <w:tr w:rsidR="00651D53">
        <w:tc>
          <w:tcPr>
            <w:tcW w:w="1658" w:type="dxa"/>
            <w:vAlign w:val="center"/>
          </w:tcPr>
          <w:p w:rsidR="00651D53" w:rsidRDefault="00702C7E">
            <w:pPr>
              <w:jc w:val="left"/>
            </w:pPr>
            <w:r>
              <w:rPr>
                <w:color w:val="000000"/>
                <w:sz w:val="18"/>
                <w:szCs w:val="18"/>
              </w:rPr>
              <w:t>应付托管费</w:t>
            </w:r>
          </w:p>
        </w:tc>
        <w:tc>
          <w:tcPr>
            <w:tcW w:w="1273" w:type="dxa"/>
            <w:gridSpan w:val="3"/>
            <w:vAlign w:val="center"/>
          </w:tcPr>
          <w:p w:rsidR="00651D53" w:rsidRDefault="00702C7E">
            <w:pPr>
              <w:jc w:val="left"/>
            </w:pPr>
            <w:r>
              <w:rPr>
                <w:color w:val="000000"/>
                <w:sz w:val="18"/>
                <w:szCs w:val="18"/>
              </w:rPr>
              <w:t>-</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82" w:type="dxa"/>
            <w:vAlign w:val="center"/>
          </w:tcPr>
          <w:p w:rsidR="00651D53" w:rsidRDefault="00702C7E">
            <w:pPr>
              <w:jc w:val="left"/>
            </w:pPr>
            <w:r>
              <w:rPr>
                <w:color w:val="000000"/>
                <w:sz w:val="18"/>
                <w:szCs w:val="18"/>
              </w:rPr>
              <w:t>1,482,137.92</w:t>
            </w:r>
          </w:p>
        </w:tc>
        <w:tc>
          <w:tcPr>
            <w:tcW w:w="1036" w:type="dxa"/>
            <w:gridSpan w:val="2"/>
            <w:vAlign w:val="center"/>
          </w:tcPr>
          <w:p w:rsidR="00651D53" w:rsidRDefault="00702C7E">
            <w:pPr>
              <w:jc w:val="left"/>
            </w:pPr>
            <w:r>
              <w:rPr>
                <w:color w:val="000000"/>
                <w:sz w:val="18"/>
                <w:szCs w:val="18"/>
              </w:rPr>
              <w:t>1,482,137.92</w:t>
            </w:r>
          </w:p>
        </w:tc>
      </w:tr>
      <w:tr w:rsidR="00651D53">
        <w:tc>
          <w:tcPr>
            <w:tcW w:w="1658" w:type="dxa"/>
            <w:vAlign w:val="center"/>
          </w:tcPr>
          <w:p w:rsidR="00651D53" w:rsidRDefault="00702C7E">
            <w:pPr>
              <w:jc w:val="left"/>
            </w:pPr>
            <w:r>
              <w:rPr>
                <w:color w:val="000000"/>
                <w:sz w:val="18"/>
                <w:szCs w:val="18"/>
              </w:rPr>
              <w:t>应付销售服务费</w:t>
            </w:r>
          </w:p>
        </w:tc>
        <w:tc>
          <w:tcPr>
            <w:tcW w:w="1273" w:type="dxa"/>
            <w:gridSpan w:val="3"/>
            <w:vAlign w:val="center"/>
          </w:tcPr>
          <w:p w:rsidR="00651D53" w:rsidRDefault="00702C7E">
            <w:pPr>
              <w:jc w:val="left"/>
            </w:pPr>
            <w:r>
              <w:rPr>
                <w:color w:val="000000"/>
                <w:sz w:val="18"/>
                <w:szCs w:val="18"/>
              </w:rPr>
              <w:t>-</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82" w:type="dxa"/>
            <w:vAlign w:val="center"/>
          </w:tcPr>
          <w:p w:rsidR="00651D53" w:rsidRDefault="00702C7E">
            <w:pPr>
              <w:jc w:val="left"/>
            </w:pPr>
            <w:r>
              <w:rPr>
                <w:color w:val="000000"/>
                <w:sz w:val="18"/>
                <w:szCs w:val="18"/>
              </w:rPr>
              <w:t>3,525,258.</w:t>
            </w:r>
            <w:r>
              <w:rPr>
                <w:color w:val="000000"/>
                <w:sz w:val="18"/>
                <w:szCs w:val="18"/>
              </w:rPr>
              <w:lastRenderedPageBreak/>
              <w:t>34</w:t>
            </w:r>
          </w:p>
        </w:tc>
        <w:tc>
          <w:tcPr>
            <w:tcW w:w="1036" w:type="dxa"/>
            <w:gridSpan w:val="2"/>
            <w:vAlign w:val="center"/>
          </w:tcPr>
          <w:p w:rsidR="00651D53" w:rsidRDefault="00702C7E">
            <w:pPr>
              <w:jc w:val="left"/>
            </w:pPr>
            <w:r>
              <w:rPr>
                <w:color w:val="000000"/>
                <w:sz w:val="18"/>
                <w:szCs w:val="18"/>
              </w:rPr>
              <w:lastRenderedPageBreak/>
              <w:t>3,525,258.</w:t>
            </w:r>
            <w:r>
              <w:rPr>
                <w:color w:val="000000"/>
                <w:sz w:val="18"/>
                <w:szCs w:val="18"/>
              </w:rPr>
              <w:lastRenderedPageBreak/>
              <w:t>34</w:t>
            </w:r>
          </w:p>
        </w:tc>
      </w:tr>
      <w:tr w:rsidR="00651D53">
        <w:tc>
          <w:tcPr>
            <w:tcW w:w="1658" w:type="dxa"/>
            <w:vAlign w:val="center"/>
          </w:tcPr>
          <w:p w:rsidR="00651D53" w:rsidRDefault="00702C7E">
            <w:pPr>
              <w:jc w:val="left"/>
            </w:pPr>
            <w:r>
              <w:rPr>
                <w:color w:val="000000"/>
                <w:sz w:val="18"/>
                <w:szCs w:val="18"/>
              </w:rPr>
              <w:lastRenderedPageBreak/>
              <w:t>应付交易费用</w:t>
            </w:r>
          </w:p>
        </w:tc>
        <w:tc>
          <w:tcPr>
            <w:tcW w:w="1273" w:type="dxa"/>
            <w:gridSpan w:val="3"/>
            <w:vAlign w:val="center"/>
          </w:tcPr>
          <w:p w:rsidR="00651D53" w:rsidRDefault="00702C7E">
            <w:pPr>
              <w:jc w:val="left"/>
            </w:pPr>
            <w:r>
              <w:rPr>
                <w:color w:val="000000"/>
                <w:sz w:val="18"/>
                <w:szCs w:val="18"/>
              </w:rPr>
              <w:t>-</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82" w:type="dxa"/>
            <w:vAlign w:val="center"/>
          </w:tcPr>
          <w:p w:rsidR="00651D53" w:rsidRDefault="00702C7E">
            <w:pPr>
              <w:jc w:val="left"/>
            </w:pPr>
            <w:r>
              <w:rPr>
                <w:color w:val="000000"/>
                <w:sz w:val="18"/>
                <w:szCs w:val="18"/>
              </w:rPr>
              <w:t>348,322.90</w:t>
            </w:r>
          </w:p>
        </w:tc>
        <w:tc>
          <w:tcPr>
            <w:tcW w:w="1036" w:type="dxa"/>
            <w:gridSpan w:val="2"/>
            <w:vAlign w:val="center"/>
          </w:tcPr>
          <w:p w:rsidR="00651D53" w:rsidRDefault="00702C7E">
            <w:pPr>
              <w:jc w:val="left"/>
            </w:pPr>
            <w:r>
              <w:rPr>
                <w:color w:val="000000"/>
                <w:sz w:val="18"/>
                <w:szCs w:val="18"/>
              </w:rPr>
              <w:t>348,322.90</w:t>
            </w:r>
          </w:p>
        </w:tc>
      </w:tr>
      <w:tr w:rsidR="00651D53">
        <w:tc>
          <w:tcPr>
            <w:tcW w:w="1658" w:type="dxa"/>
            <w:vAlign w:val="center"/>
          </w:tcPr>
          <w:p w:rsidR="00651D53" w:rsidRDefault="00702C7E">
            <w:pPr>
              <w:jc w:val="left"/>
            </w:pPr>
            <w:r>
              <w:rPr>
                <w:color w:val="000000"/>
                <w:sz w:val="18"/>
                <w:szCs w:val="18"/>
              </w:rPr>
              <w:t>应交税费</w:t>
            </w:r>
          </w:p>
        </w:tc>
        <w:tc>
          <w:tcPr>
            <w:tcW w:w="1273" w:type="dxa"/>
            <w:gridSpan w:val="3"/>
            <w:vAlign w:val="center"/>
          </w:tcPr>
          <w:p w:rsidR="00651D53" w:rsidRDefault="00702C7E">
            <w:pPr>
              <w:jc w:val="left"/>
            </w:pPr>
            <w:r>
              <w:rPr>
                <w:color w:val="000000"/>
                <w:sz w:val="18"/>
                <w:szCs w:val="18"/>
              </w:rPr>
              <w:t>-</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82" w:type="dxa"/>
            <w:vAlign w:val="center"/>
          </w:tcPr>
          <w:p w:rsidR="00651D53" w:rsidRDefault="00702C7E">
            <w:pPr>
              <w:jc w:val="left"/>
            </w:pPr>
            <w:r>
              <w:rPr>
                <w:color w:val="000000"/>
                <w:sz w:val="18"/>
                <w:szCs w:val="18"/>
              </w:rPr>
              <w:t>865,627.73</w:t>
            </w:r>
          </w:p>
        </w:tc>
        <w:tc>
          <w:tcPr>
            <w:tcW w:w="1036" w:type="dxa"/>
            <w:gridSpan w:val="2"/>
            <w:vAlign w:val="center"/>
          </w:tcPr>
          <w:p w:rsidR="00651D53" w:rsidRDefault="00702C7E">
            <w:pPr>
              <w:jc w:val="left"/>
            </w:pPr>
            <w:r>
              <w:rPr>
                <w:color w:val="000000"/>
                <w:sz w:val="18"/>
                <w:szCs w:val="18"/>
              </w:rPr>
              <w:t>865,627.73</w:t>
            </w:r>
          </w:p>
        </w:tc>
      </w:tr>
      <w:tr w:rsidR="00651D53">
        <w:tc>
          <w:tcPr>
            <w:tcW w:w="1658" w:type="dxa"/>
            <w:vAlign w:val="center"/>
          </w:tcPr>
          <w:p w:rsidR="00651D53" w:rsidRDefault="00702C7E">
            <w:pPr>
              <w:jc w:val="left"/>
            </w:pPr>
            <w:r>
              <w:rPr>
                <w:color w:val="000000"/>
                <w:sz w:val="18"/>
                <w:szCs w:val="18"/>
              </w:rPr>
              <w:t>应付利润</w:t>
            </w:r>
          </w:p>
        </w:tc>
        <w:tc>
          <w:tcPr>
            <w:tcW w:w="1273" w:type="dxa"/>
            <w:gridSpan w:val="3"/>
            <w:vAlign w:val="center"/>
          </w:tcPr>
          <w:p w:rsidR="00651D53" w:rsidRDefault="00702C7E">
            <w:pPr>
              <w:jc w:val="left"/>
            </w:pPr>
            <w:r>
              <w:rPr>
                <w:color w:val="000000"/>
                <w:sz w:val="18"/>
                <w:szCs w:val="18"/>
              </w:rPr>
              <w:t>-</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82" w:type="dxa"/>
            <w:vAlign w:val="center"/>
          </w:tcPr>
          <w:p w:rsidR="00651D53" w:rsidRDefault="00702C7E">
            <w:pPr>
              <w:jc w:val="left"/>
            </w:pPr>
            <w:r>
              <w:rPr>
                <w:color w:val="000000"/>
                <w:sz w:val="18"/>
                <w:szCs w:val="18"/>
              </w:rPr>
              <w:t>2,420,419.24</w:t>
            </w:r>
          </w:p>
        </w:tc>
        <w:tc>
          <w:tcPr>
            <w:tcW w:w="1036" w:type="dxa"/>
            <w:gridSpan w:val="2"/>
            <w:vAlign w:val="center"/>
          </w:tcPr>
          <w:p w:rsidR="00651D53" w:rsidRDefault="00702C7E">
            <w:pPr>
              <w:jc w:val="left"/>
            </w:pPr>
            <w:r>
              <w:rPr>
                <w:color w:val="000000"/>
                <w:sz w:val="18"/>
                <w:szCs w:val="18"/>
              </w:rPr>
              <w:t>2,420,419.24</w:t>
            </w:r>
          </w:p>
        </w:tc>
      </w:tr>
      <w:tr w:rsidR="00651D53">
        <w:tc>
          <w:tcPr>
            <w:tcW w:w="1658" w:type="dxa"/>
            <w:vAlign w:val="center"/>
          </w:tcPr>
          <w:p w:rsidR="00651D53" w:rsidRDefault="00702C7E">
            <w:pPr>
              <w:jc w:val="left"/>
            </w:pPr>
            <w:r>
              <w:rPr>
                <w:color w:val="000000"/>
                <w:sz w:val="18"/>
                <w:szCs w:val="18"/>
              </w:rPr>
              <w:t>其他负债</w:t>
            </w:r>
          </w:p>
        </w:tc>
        <w:tc>
          <w:tcPr>
            <w:tcW w:w="1273" w:type="dxa"/>
            <w:gridSpan w:val="3"/>
            <w:vAlign w:val="center"/>
          </w:tcPr>
          <w:p w:rsidR="00651D53" w:rsidRDefault="00702C7E">
            <w:pPr>
              <w:jc w:val="left"/>
            </w:pPr>
            <w:r>
              <w:rPr>
                <w:color w:val="000000"/>
                <w:sz w:val="18"/>
                <w:szCs w:val="18"/>
              </w:rPr>
              <w:t>-</w:t>
            </w:r>
          </w:p>
        </w:tc>
        <w:tc>
          <w:tcPr>
            <w:tcW w:w="1134" w:type="dxa"/>
            <w:gridSpan w:val="3"/>
            <w:vAlign w:val="center"/>
          </w:tcPr>
          <w:p w:rsidR="00651D53" w:rsidRDefault="00702C7E">
            <w:pPr>
              <w:jc w:val="left"/>
            </w:pPr>
            <w:r>
              <w:rPr>
                <w:color w:val="000000"/>
                <w:sz w:val="18"/>
                <w:szCs w:val="18"/>
              </w:rPr>
              <w:t>-</w:t>
            </w:r>
          </w:p>
        </w:tc>
        <w:tc>
          <w:tcPr>
            <w:tcW w:w="1142" w:type="dxa"/>
            <w:vAlign w:val="center"/>
          </w:tcPr>
          <w:p w:rsidR="00651D53" w:rsidRDefault="00702C7E">
            <w:pPr>
              <w:jc w:val="left"/>
            </w:pPr>
            <w:r>
              <w:rPr>
                <w:color w:val="000000"/>
                <w:sz w:val="18"/>
                <w:szCs w:val="18"/>
              </w:rPr>
              <w:t>-</w:t>
            </w:r>
          </w:p>
        </w:tc>
        <w:tc>
          <w:tcPr>
            <w:tcW w:w="855"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82" w:type="dxa"/>
            <w:vAlign w:val="center"/>
          </w:tcPr>
          <w:p w:rsidR="00651D53" w:rsidRDefault="00702C7E">
            <w:pPr>
              <w:jc w:val="left"/>
            </w:pPr>
            <w:r>
              <w:rPr>
                <w:color w:val="000000"/>
                <w:sz w:val="18"/>
                <w:szCs w:val="18"/>
              </w:rPr>
              <w:t>282,300.00</w:t>
            </w:r>
          </w:p>
        </w:tc>
        <w:tc>
          <w:tcPr>
            <w:tcW w:w="1036" w:type="dxa"/>
            <w:gridSpan w:val="2"/>
            <w:vAlign w:val="center"/>
          </w:tcPr>
          <w:p w:rsidR="00651D53" w:rsidRDefault="00702C7E">
            <w:pPr>
              <w:jc w:val="left"/>
            </w:pPr>
            <w:r>
              <w:rPr>
                <w:color w:val="000000"/>
                <w:sz w:val="18"/>
                <w:szCs w:val="18"/>
              </w:rPr>
              <w:t>282,300.00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17,816,893.82</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17,816,893.82</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4,659,684,606.60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22,579,472,306.53</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7,527,618,211.94</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102,478,669.12</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34,869,253,794.19</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2018</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651D53">
        <w:tc>
          <w:tcPr>
            <w:tcW w:w="1670" w:type="dxa"/>
            <w:gridSpan w:val="3"/>
            <w:vAlign w:val="center"/>
          </w:tcPr>
          <w:p w:rsidR="00651D53" w:rsidRDefault="00702C7E">
            <w:pPr>
              <w:jc w:val="left"/>
            </w:pPr>
            <w:r>
              <w:rPr>
                <w:color w:val="000000"/>
                <w:sz w:val="18"/>
                <w:szCs w:val="18"/>
              </w:rPr>
              <w:t>银行存款</w:t>
            </w:r>
          </w:p>
        </w:tc>
        <w:tc>
          <w:tcPr>
            <w:tcW w:w="1273" w:type="dxa"/>
            <w:gridSpan w:val="2"/>
            <w:vAlign w:val="center"/>
          </w:tcPr>
          <w:p w:rsidR="00651D53" w:rsidRDefault="00702C7E">
            <w:pPr>
              <w:jc w:val="left"/>
            </w:pPr>
            <w:r>
              <w:rPr>
                <w:color w:val="000000"/>
                <w:sz w:val="18"/>
                <w:szCs w:val="18"/>
              </w:rPr>
              <w:t>2,002,514,829.56</w:t>
            </w:r>
          </w:p>
        </w:tc>
        <w:tc>
          <w:tcPr>
            <w:tcW w:w="1105" w:type="dxa"/>
            <w:vAlign w:val="center"/>
          </w:tcPr>
          <w:p w:rsidR="00651D53" w:rsidRDefault="00702C7E">
            <w:pPr>
              <w:jc w:val="left"/>
            </w:pPr>
            <w:r>
              <w:rPr>
                <w:color w:val="000000"/>
                <w:sz w:val="18"/>
                <w:szCs w:val="18"/>
              </w:rPr>
              <w:t>6,308,000,000.00</w:t>
            </w:r>
          </w:p>
        </w:tc>
        <w:tc>
          <w:tcPr>
            <w:tcW w:w="1163"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left"/>
            </w:pPr>
            <w:r>
              <w:rPr>
                <w:color w:val="000000"/>
                <w:sz w:val="18"/>
                <w:szCs w:val="18"/>
              </w:rPr>
              <w:t>-</w:t>
            </w:r>
          </w:p>
        </w:tc>
        <w:tc>
          <w:tcPr>
            <w:tcW w:w="1026" w:type="dxa"/>
            <w:vAlign w:val="center"/>
          </w:tcPr>
          <w:p w:rsidR="00651D53" w:rsidRDefault="00702C7E">
            <w:pPr>
              <w:jc w:val="left"/>
            </w:pPr>
            <w:r>
              <w:rPr>
                <w:color w:val="000000"/>
                <w:sz w:val="18"/>
                <w:szCs w:val="18"/>
              </w:rPr>
              <w:t>8,310,514,829.56</w:t>
            </w:r>
          </w:p>
        </w:tc>
      </w:tr>
      <w:tr w:rsidR="00651D53">
        <w:tc>
          <w:tcPr>
            <w:tcW w:w="1670" w:type="dxa"/>
            <w:gridSpan w:val="3"/>
            <w:vAlign w:val="center"/>
          </w:tcPr>
          <w:p w:rsidR="00651D53" w:rsidRDefault="00702C7E">
            <w:pPr>
              <w:jc w:val="left"/>
            </w:pPr>
            <w:r>
              <w:rPr>
                <w:color w:val="000000"/>
                <w:sz w:val="18"/>
                <w:szCs w:val="18"/>
              </w:rPr>
              <w:t>结算备付金</w:t>
            </w:r>
          </w:p>
        </w:tc>
        <w:tc>
          <w:tcPr>
            <w:tcW w:w="1273" w:type="dxa"/>
            <w:gridSpan w:val="2"/>
            <w:vAlign w:val="center"/>
          </w:tcPr>
          <w:p w:rsidR="00651D53" w:rsidRDefault="00702C7E">
            <w:pPr>
              <w:jc w:val="left"/>
            </w:pPr>
            <w:r>
              <w:rPr>
                <w:color w:val="000000"/>
                <w:sz w:val="18"/>
                <w:szCs w:val="18"/>
              </w:rPr>
              <w:t>26,272,727.28</w:t>
            </w:r>
          </w:p>
        </w:tc>
        <w:tc>
          <w:tcPr>
            <w:tcW w:w="1105" w:type="dxa"/>
            <w:vAlign w:val="center"/>
          </w:tcPr>
          <w:p w:rsidR="00651D53" w:rsidRDefault="00702C7E">
            <w:pPr>
              <w:jc w:val="left"/>
            </w:pPr>
            <w:r>
              <w:rPr>
                <w:color w:val="000000"/>
                <w:sz w:val="18"/>
                <w:szCs w:val="18"/>
              </w:rPr>
              <w:t>-</w:t>
            </w:r>
          </w:p>
        </w:tc>
        <w:tc>
          <w:tcPr>
            <w:tcW w:w="1163"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left"/>
            </w:pPr>
            <w:r>
              <w:rPr>
                <w:color w:val="000000"/>
                <w:sz w:val="18"/>
                <w:szCs w:val="18"/>
              </w:rPr>
              <w:t>-</w:t>
            </w:r>
          </w:p>
        </w:tc>
        <w:tc>
          <w:tcPr>
            <w:tcW w:w="1026" w:type="dxa"/>
            <w:vAlign w:val="center"/>
          </w:tcPr>
          <w:p w:rsidR="00651D53" w:rsidRDefault="00702C7E">
            <w:pPr>
              <w:jc w:val="left"/>
            </w:pPr>
            <w:r>
              <w:rPr>
                <w:color w:val="000000"/>
                <w:sz w:val="18"/>
                <w:szCs w:val="18"/>
              </w:rPr>
              <w:t>26,272,727.28</w:t>
            </w:r>
          </w:p>
        </w:tc>
      </w:tr>
      <w:tr w:rsidR="00651D53">
        <w:tc>
          <w:tcPr>
            <w:tcW w:w="1670" w:type="dxa"/>
            <w:gridSpan w:val="3"/>
            <w:vAlign w:val="center"/>
          </w:tcPr>
          <w:p w:rsidR="00651D53" w:rsidRDefault="00702C7E">
            <w:pPr>
              <w:jc w:val="left"/>
            </w:pPr>
            <w:r>
              <w:rPr>
                <w:color w:val="000000"/>
                <w:sz w:val="18"/>
                <w:szCs w:val="18"/>
              </w:rPr>
              <w:t>交易性金融资产</w:t>
            </w:r>
          </w:p>
        </w:tc>
        <w:tc>
          <w:tcPr>
            <w:tcW w:w="1273" w:type="dxa"/>
            <w:gridSpan w:val="2"/>
            <w:vAlign w:val="center"/>
          </w:tcPr>
          <w:p w:rsidR="00651D53" w:rsidRDefault="00702C7E">
            <w:pPr>
              <w:jc w:val="left"/>
            </w:pPr>
            <w:r>
              <w:rPr>
                <w:color w:val="000000"/>
                <w:sz w:val="18"/>
                <w:szCs w:val="18"/>
              </w:rPr>
              <w:t>2,018,424,906.69</w:t>
            </w:r>
          </w:p>
        </w:tc>
        <w:tc>
          <w:tcPr>
            <w:tcW w:w="1105" w:type="dxa"/>
            <w:vAlign w:val="center"/>
          </w:tcPr>
          <w:p w:rsidR="00651D53" w:rsidRDefault="00702C7E">
            <w:pPr>
              <w:jc w:val="left"/>
            </w:pPr>
            <w:r>
              <w:rPr>
                <w:color w:val="000000"/>
                <w:sz w:val="18"/>
                <w:szCs w:val="18"/>
              </w:rPr>
              <w:t>18,987,317,045.57</w:t>
            </w:r>
          </w:p>
        </w:tc>
        <w:tc>
          <w:tcPr>
            <w:tcW w:w="1163" w:type="dxa"/>
            <w:gridSpan w:val="2"/>
            <w:vAlign w:val="center"/>
          </w:tcPr>
          <w:p w:rsidR="00651D53" w:rsidRDefault="00702C7E">
            <w:pPr>
              <w:jc w:val="left"/>
            </w:pPr>
            <w:r>
              <w:rPr>
                <w:color w:val="000000"/>
                <w:sz w:val="18"/>
                <w:szCs w:val="18"/>
              </w:rPr>
              <w:t>7,117,445,450.12</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left"/>
            </w:pPr>
            <w:r>
              <w:rPr>
                <w:color w:val="000000"/>
                <w:sz w:val="18"/>
                <w:szCs w:val="18"/>
              </w:rPr>
              <w:t>-</w:t>
            </w:r>
          </w:p>
        </w:tc>
        <w:tc>
          <w:tcPr>
            <w:tcW w:w="1026" w:type="dxa"/>
            <w:vAlign w:val="center"/>
          </w:tcPr>
          <w:p w:rsidR="00651D53" w:rsidRDefault="00702C7E">
            <w:pPr>
              <w:jc w:val="left"/>
            </w:pPr>
            <w:r>
              <w:rPr>
                <w:color w:val="000000"/>
                <w:sz w:val="18"/>
                <w:szCs w:val="18"/>
              </w:rPr>
              <w:t>28,123,187,402.38</w:t>
            </w:r>
          </w:p>
        </w:tc>
      </w:tr>
      <w:tr w:rsidR="00651D53">
        <w:tc>
          <w:tcPr>
            <w:tcW w:w="1670" w:type="dxa"/>
            <w:gridSpan w:val="3"/>
            <w:vAlign w:val="center"/>
          </w:tcPr>
          <w:p w:rsidR="00651D53" w:rsidRDefault="00702C7E">
            <w:pPr>
              <w:jc w:val="left"/>
            </w:pPr>
            <w:r>
              <w:rPr>
                <w:color w:val="000000"/>
                <w:sz w:val="18"/>
                <w:szCs w:val="18"/>
              </w:rPr>
              <w:t>买入返售金融资产</w:t>
            </w:r>
          </w:p>
        </w:tc>
        <w:tc>
          <w:tcPr>
            <w:tcW w:w="1273" w:type="dxa"/>
            <w:gridSpan w:val="2"/>
            <w:vAlign w:val="center"/>
          </w:tcPr>
          <w:p w:rsidR="00651D53" w:rsidRDefault="00702C7E">
            <w:pPr>
              <w:jc w:val="left"/>
            </w:pPr>
            <w:r>
              <w:rPr>
                <w:color w:val="000000"/>
                <w:sz w:val="18"/>
                <w:szCs w:val="18"/>
              </w:rPr>
              <w:t>2,573,995,180.99</w:t>
            </w:r>
          </w:p>
        </w:tc>
        <w:tc>
          <w:tcPr>
            <w:tcW w:w="1105" w:type="dxa"/>
            <w:vAlign w:val="center"/>
          </w:tcPr>
          <w:p w:rsidR="00651D53" w:rsidRDefault="00702C7E">
            <w:pPr>
              <w:jc w:val="left"/>
            </w:pPr>
            <w:r>
              <w:rPr>
                <w:color w:val="000000"/>
                <w:sz w:val="18"/>
                <w:szCs w:val="18"/>
              </w:rPr>
              <w:t>-</w:t>
            </w:r>
          </w:p>
        </w:tc>
        <w:tc>
          <w:tcPr>
            <w:tcW w:w="1163"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left"/>
            </w:pPr>
            <w:r>
              <w:rPr>
                <w:color w:val="000000"/>
                <w:sz w:val="18"/>
                <w:szCs w:val="18"/>
              </w:rPr>
              <w:t>-</w:t>
            </w:r>
          </w:p>
        </w:tc>
        <w:tc>
          <w:tcPr>
            <w:tcW w:w="1026" w:type="dxa"/>
            <w:vAlign w:val="center"/>
          </w:tcPr>
          <w:p w:rsidR="00651D53" w:rsidRDefault="00702C7E">
            <w:pPr>
              <w:jc w:val="left"/>
            </w:pPr>
            <w:r>
              <w:rPr>
                <w:color w:val="000000"/>
                <w:sz w:val="18"/>
                <w:szCs w:val="18"/>
              </w:rPr>
              <w:t>2,573,995,180.99</w:t>
            </w:r>
          </w:p>
        </w:tc>
      </w:tr>
      <w:tr w:rsidR="00651D53">
        <w:tc>
          <w:tcPr>
            <w:tcW w:w="1670" w:type="dxa"/>
            <w:gridSpan w:val="3"/>
            <w:vAlign w:val="center"/>
          </w:tcPr>
          <w:p w:rsidR="00651D53" w:rsidRDefault="00702C7E">
            <w:pPr>
              <w:jc w:val="left"/>
            </w:pPr>
            <w:r>
              <w:rPr>
                <w:color w:val="000000"/>
                <w:sz w:val="18"/>
                <w:szCs w:val="18"/>
              </w:rPr>
              <w:t>应收利息</w:t>
            </w:r>
          </w:p>
        </w:tc>
        <w:tc>
          <w:tcPr>
            <w:tcW w:w="1273" w:type="dxa"/>
            <w:gridSpan w:val="2"/>
            <w:vAlign w:val="center"/>
          </w:tcPr>
          <w:p w:rsidR="00651D53" w:rsidRDefault="00702C7E">
            <w:pPr>
              <w:jc w:val="left"/>
            </w:pPr>
            <w:r>
              <w:rPr>
                <w:color w:val="000000"/>
                <w:sz w:val="18"/>
                <w:szCs w:val="18"/>
              </w:rPr>
              <w:t>-</w:t>
            </w:r>
          </w:p>
        </w:tc>
        <w:tc>
          <w:tcPr>
            <w:tcW w:w="1105" w:type="dxa"/>
            <w:vAlign w:val="center"/>
          </w:tcPr>
          <w:p w:rsidR="00651D53" w:rsidRDefault="00702C7E">
            <w:pPr>
              <w:jc w:val="left"/>
            </w:pPr>
            <w:r>
              <w:rPr>
                <w:color w:val="000000"/>
                <w:sz w:val="18"/>
                <w:szCs w:val="18"/>
              </w:rPr>
              <w:t>-</w:t>
            </w:r>
          </w:p>
        </w:tc>
        <w:tc>
          <w:tcPr>
            <w:tcW w:w="1163"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left"/>
            </w:pPr>
            <w:r>
              <w:rPr>
                <w:color w:val="000000"/>
                <w:sz w:val="18"/>
                <w:szCs w:val="18"/>
              </w:rPr>
              <w:t>80,907,357.13</w:t>
            </w:r>
          </w:p>
        </w:tc>
        <w:tc>
          <w:tcPr>
            <w:tcW w:w="1026" w:type="dxa"/>
            <w:vAlign w:val="center"/>
          </w:tcPr>
          <w:p w:rsidR="00651D53" w:rsidRDefault="00702C7E">
            <w:pPr>
              <w:jc w:val="left"/>
            </w:pPr>
            <w:r>
              <w:rPr>
                <w:color w:val="000000"/>
                <w:sz w:val="18"/>
                <w:szCs w:val="18"/>
              </w:rPr>
              <w:t>80,907,357.13</w:t>
            </w:r>
          </w:p>
        </w:tc>
      </w:tr>
      <w:tr w:rsidR="00651D53">
        <w:tc>
          <w:tcPr>
            <w:tcW w:w="1670" w:type="dxa"/>
            <w:gridSpan w:val="3"/>
            <w:vAlign w:val="center"/>
          </w:tcPr>
          <w:p w:rsidR="00651D53" w:rsidRDefault="00702C7E">
            <w:pPr>
              <w:jc w:val="left"/>
            </w:pPr>
            <w:r>
              <w:rPr>
                <w:color w:val="000000"/>
                <w:sz w:val="18"/>
                <w:szCs w:val="18"/>
              </w:rPr>
              <w:t>应收申购款</w:t>
            </w:r>
          </w:p>
        </w:tc>
        <w:tc>
          <w:tcPr>
            <w:tcW w:w="1273" w:type="dxa"/>
            <w:gridSpan w:val="2"/>
            <w:vAlign w:val="center"/>
          </w:tcPr>
          <w:p w:rsidR="00651D53" w:rsidRDefault="00702C7E">
            <w:pPr>
              <w:jc w:val="left"/>
            </w:pPr>
            <w:r>
              <w:rPr>
                <w:color w:val="000000"/>
                <w:sz w:val="18"/>
                <w:szCs w:val="18"/>
              </w:rPr>
              <w:t>-</w:t>
            </w:r>
          </w:p>
        </w:tc>
        <w:tc>
          <w:tcPr>
            <w:tcW w:w="1105" w:type="dxa"/>
            <w:vAlign w:val="center"/>
          </w:tcPr>
          <w:p w:rsidR="00651D53" w:rsidRDefault="00702C7E">
            <w:pPr>
              <w:jc w:val="left"/>
            </w:pPr>
            <w:r>
              <w:rPr>
                <w:color w:val="000000"/>
                <w:sz w:val="18"/>
                <w:szCs w:val="18"/>
              </w:rPr>
              <w:t>-</w:t>
            </w:r>
          </w:p>
        </w:tc>
        <w:tc>
          <w:tcPr>
            <w:tcW w:w="1163"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left"/>
            </w:pPr>
            <w:r>
              <w:rPr>
                <w:color w:val="000000"/>
                <w:sz w:val="18"/>
                <w:szCs w:val="18"/>
              </w:rPr>
              <w:t>5,046,696.76</w:t>
            </w:r>
          </w:p>
        </w:tc>
        <w:tc>
          <w:tcPr>
            <w:tcW w:w="1026" w:type="dxa"/>
            <w:vAlign w:val="center"/>
          </w:tcPr>
          <w:p w:rsidR="00651D53" w:rsidRDefault="00702C7E">
            <w:pPr>
              <w:jc w:val="left"/>
            </w:pPr>
            <w:r>
              <w:rPr>
                <w:color w:val="000000"/>
                <w:sz w:val="18"/>
                <w:szCs w:val="18"/>
              </w:rPr>
              <w:t>5,046,696.76</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6,621,207,644.52</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25,295,317,045.57</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7,117,445,450.12</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85,954,053.89</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39,119,924,194.10</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651D53">
        <w:tc>
          <w:tcPr>
            <w:tcW w:w="1672" w:type="dxa"/>
            <w:gridSpan w:val="3"/>
            <w:vAlign w:val="center"/>
          </w:tcPr>
          <w:p w:rsidR="00651D53" w:rsidRDefault="00702C7E">
            <w:pPr>
              <w:jc w:val="left"/>
            </w:pPr>
            <w:r>
              <w:rPr>
                <w:color w:val="000000"/>
                <w:sz w:val="18"/>
                <w:szCs w:val="18"/>
              </w:rPr>
              <w:t>卖出回购金融资产款</w:t>
            </w:r>
          </w:p>
        </w:tc>
        <w:tc>
          <w:tcPr>
            <w:tcW w:w="1271" w:type="dxa"/>
            <w:gridSpan w:val="2"/>
            <w:vAlign w:val="center"/>
          </w:tcPr>
          <w:p w:rsidR="00651D53" w:rsidRDefault="00702C7E">
            <w:pPr>
              <w:jc w:val="left"/>
            </w:pPr>
            <w:r>
              <w:rPr>
                <w:color w:val="000000"/>
                <w:sz w:val="18"/>
                <w:szCs w:val="18"/>
              </w:rPr>
              <w:t>400,036,079.95</w:t>
            </w:r>
          </w:p>
        </w:tc>
        <w:tc>
          <w:tcPr>
            <w:tcW w:w="1104" w:type="dxa"/>
            <w:vAlign w:val="center"/>
          </w:tcPr>
          <w:p w:rsidR="00651D53" w:rsidRDefault="00702C7E">
            <w:pPr>
              <w:jc w:val="left"/>
            </w:pPr>
            <w:r>
              <w:rPr>
                <w:color w:val="000000"/>
                <w:sz w:val="18"/>
                <w:szCs w:val="18"/>
              </w:rPr>
              <w:t>-</w:t>
            </w:r>
          </w:p>
        </w:tc>
        <w:tc>
          <w:tcPr>
            <w:tcW w:w="1164"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center"/>
            </w:pPr>
            <w:r>
              <w:rPr>
                <w:color w:val="000000"/>
                <w:sz w:val="18"/>
                <w:szCs w:val="18"/>
              </w:rPr>
              <w:t>-</w:t>
            </w:r>
          </w:p>
        </w:tc>
        <w:tc>
          <w:tcPr>
            <w:tcW w:w="1026" w:type="dxa"/>
            <w:vAlign w:val="center"/>
          </w:tcPr>
          <w:p w:rsidR="00651D53" w:rsidRDefault="00702C7E">
            <w:pPr>
              <w:jc w:val="left"/>
            </w:pPr>
            <w:r>
              <w:rPr>
                <w:color w:val="000000"/>
                <w:sz w:val="18"/>
                <w:szCs w:val="18"/>
              </w:rPr>
              <w:t>400,036,079.95</w:t>
            </w:r>
          </w:p>
        </w:tc>
      </w:tr>
      <w:tr w:rsidR="00651D53">
        <w:tc>
          <w:tcPr>
            <w:tcW w:w="1672" w:type="dxa"/>
            <w:gridSpan w:val="3"/>
            <w:vAlign w:val="center"/>
          </w:tcPr>
          <w:p w:rsidR="00651D53" w:rsidRDefault="00702C7E">
            <w:pPr>
              <w:jc w:val="left"/>
            </w:pPr>
            <w:r>
              <w:rPr>
                <w:color w:val="000000"/>
                <w:sz w:val="18"/>
                <w:szCs w:val="18"/>
              </w:rPr>
              <w:t>应付管理人报酬</w:t>
            </w:r>
          </w:p>
        </w:tc>
        <w:tc>
          <w:tcPr>
            <w:tcW w:w="1271" w:type="dxa"/>
            <w:gridSpan w:val="2"/>
            <w:vAlign w:val="center"/>
          </w:tcPr>
          <w:p w:rsidR="00651D53" w:rsidRDefault="00702C7E">
            <w:pPr>
              <w:jc w:val="left"/>
            </w:pPr>
            <w:r>
              <w:rPr>
                <w:color w:val="000000"/>
                <w:sz w:val="18"/>
                <w:szCs w:val="18"/>
              </w:rPr>
              <w:t>-</w:t>
            </w:r>
          </w:p>
        </w:tc>
        <w:tc>
          <w:tcPr>
            <w:tcW w:w="1104" w:type="dxa"/>
            <w:vAlign w:val="center"/>
          </w:tcPr>
          <w:p w:rsidR="00651D53" w:rsidRDefault="00702C7E">
            <w:pPr>
              <w:jc w:val="left"/>
            </w:pPr>
            <w:r>
              <w:rPr>
                <w:color w:val="000000"/>
                <w:sz w:val="18"/>
                <w:szCs w:val="18"/>
              </w:rPr>
              <w:t>-</w:t>
            </w:r>
          </w:p>
        </w:tc>
        <w:tc>
          <w:tcPr>
            <w:tcW w:w="1164"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center"/>
            </w:pPr>
            <w:r>
              <w:rPr>
                <w:color w:val="000000"/>
                <w:sz w:val="18"/>
                <w:szCs w:val="18"/>
              </w:rPr>
              <w:t>10,202,130.59</w:t>
            </w:r>
          </w:p>
        </w:tc>
        <w:tc>
          <w:tcPr>
            <w:tcW w:w="1026" w:type="dxa"/>
            <w:vAlign w:val="center"/>
          </w:tcPr>
          <w:p w:rsidR="00651D53" w:rsidRDefault="00702C7E">
            <w:pPr>
              <w:jc w:val="left"/>
            </w:pPr>
            <w:r>
              <w:rPr>
                <w:color w:val="000000"/>
                <w:sz w:val="18"/>
                <w:szCs w:val="18"/>
              </w:rPr>
              <w:t>10,202,130.59</w:t>
            </w:r>
          </w:p>
        </w:tc>
      </w:tr>
      <w:tr w:rsidR="00651D53">
        <w:tc>
          <w:tcPr>
            <w:tcW w:w="1672" w:type="dxa"/>
            <w:gridSpan w:val="3"/>
            <w:vAlign w:val="center"/>
          </w:tcPr>
          <w:p w:rsidR="00651D53" w:rsidRDefault="00702C7E">
            <w:pPr>
              <w:jc w:val="left"/>
            </w:pPr>
            <w:r>
              <w:rPr>
                <w:color w:val="000000"/>
                <w:sz w:val="18"/>
                <w:szCs w:val="18"/>
              </w:rPr>
              <w:t>应付托管费</w:t>
            </w:r>
          </w:p>
        </w:tc>
        <w:tc>
          <w:tcPr>
            <w:tcW w:w="1271" w:type="dxa"/>
            <w:gridSpan w:val="2"/>
            <w:vAlign w:val="center"/>
          </w:tcPr>
          <w:p w:rsidR="00651D53" w:rsidRDefault="00702C7E">
            <w:pPr>
              <w:jc w:val="left"/>
            </w:pPr>
            <w:r>
              <w:rPr>
                <w:color w:val="000000"/>
                <w:sz w:val="18"/>
                <w:szCs w:val="18"/>
              </w:rPr>
              <w:t>-</w:t>
            </w:r>
          </w:p>
        </w:tc>
        <w:tc>
          <w:tcPr>
            <w:tcW w:w="1104" w:type="dxa"/>
            <w:vAlign w:val="center"/>
          </w:tcPr>
          <w:p w:rsidR="00651D53" w:rsidRDefault="00702C7E">
            <w:pPr>
              <w:jc w:val="left"/>
            </w:pPr>
            <w:r>
              <w:rPr>
                <w:color w:val="000000"/>
                <w:sz w:val="18"/>
                <w:szCs w:val="18"/>
              </w:rPr>
              <w:t>-</w:t>
            </w:r>
          </w:p>
        </w:tc>
        <w:tc>
          <w:tcPr>
            <w:tcW w:w="1164"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center"/>
            </w:pPr>
            <w:r>
              <w:rPr>
                <w:color w:val="000000"/>
                <w:sz w:val="18"/>
                <w:szCs w:val="18"/>
              </w:rPr>
              <w:t>1,700,355.10</w:t>
            </w:r>
          </w:p>
        </w:tc>
        <w:tc>
          <w:tcPr>
            <w:tcW w:w="1026" w:type="dxa"/>
            <w:vAlign w:val="center"/>
          </w:tcPr>
          <w:p w:rsidR="00651D53" w:rsidRDefault="00702C7E">
            <w:pPr>
              <w:jc w:val="left"/>
            </w:pPr>
            <w:r>
              <w:rPr>
                <w:color w:val="000000"/>
                <w:sz w:val="18"/>
                <w:szCs w:val="18"/>
              </w:rPr>
              <w:t>1,700,355.10</w:t>
            </w:r>
          </w:p>
        </w:tc>
      </w:tr>
      <w:tr w:rsidR="00651D53">
        <w:tc>
          <w:tcPr>
            <w:tcW w:w="1672" w:type="dxa"/>
            <w:gridSpan w:val="3"/>
            <w:vAlign w:val="center"/>
          </w:tcPr>
          <w:p w:rsidR="00651D53" w:rsidRDefault="00702C7E">
            <w:pPr>
              <w:jc w:val="left"/>
            </w:pPr>
            <w:r>
              <w:rPr>
                <w:color w:val="000000"/>
                <w:sz w:val="18"/>
                <w:szCs w:val="18"/>
              </w:rPr>
              <w:t>应付销售服务费</w:t>
            </w:r>
          </w:p>
        </w:tc>
        <w:tc>
          <w:tcPr>
            <w:tcW w:w="1271" w:type="dxa"/>
            <w:gridSpan w:val="2"/>
            <w:vAlign w:val="center"/>
          </w:tcPr>
          <w:p w:rsidR="00651D53" w:rsidRDefault="00702C7E">
            <w:pPr>
              <w:jc w:val="left"/>
            </w:pPr>
            <w:r>
              <w:rPr>
                <w:color w:val="000000"/>
                <w:sz w:val="18"/>
                <w:szCs w:val="18"/>
              </w:rPr>
              <w:t>-</w:t>
            </w:r>
          </w:p>
        </w:tc>
        <w:tc>
          <w:tcPr>
            <w:tcW w:w="1104" w:type="dxa"/>
            <w:vAlign w:val="center"/>
          </w:tcPr>
          <w:p w:rsidR="00651D53" w:rsidRDefault="00702C7E">
            <w:pPr>
              <w:jc w:val="left"/>
            </w:pPr>
            <w:r>
              <w:rPr>
                <w:color w:val="000000"/>
                <w:sz w:val="18"/>
                <w:szCs w:val="18"/>
              </w:rPr>
              <w:t>-</w:t>
            </w:r>
          </w:p>
        </w:tc>
        <w:tc>
          <w:tcPr>
            <w:tcW w:w="1164"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center"/>
            </w:pPr>
            <w:r>
              <w:rPr>
                <w:color w:val="000000"/>
                <w:sz w:val="18"/>
                <w:szCs w:val="18"/>
              </w:rPr>
              <w:t>4,756,519.</w:t>
            </w:r>
            <w:r>
              <w:rPr>
                <w:color w:val="000000"/>
                <w:sz w:val="18"/>
                <w:szCs w:val="18"/>
              </w:rPr>
              <w:lastRenderedPageBreak/>
              <w:t>93</w:t>
            </w:r>
          </w:p>
        </w:tc>
        <w:tc>
          <w:tcPr>
            <w:tcW w:w="1026" w:type="dxa"/>
            <w:vAlign w:val="center"/>
          </w:tcPr>
          <w:p w:rsidR="00651D53" w:rsidRDefault="00702C7E">
            <w:pPr>
              <w:jc w:val="left"/>
            </w:pPr>
            <w:r>
              <w:rPr>
                <w:color w:val="000000"/>
                <w:sz w:val="18"/>
                <w:szCs w:val="18"/>
              </w:rPr>
              <w:lastRenderedPageBreak/>
              <w:t>4,756,519.</w:t>
            </w:r>
            <w:r>
              <w:rPr>
                <w:color w:val="000000"/>
                <w:sz w:val="18"/>
                <w:szCs w:val="18"/>
              </w:rPr>
              <w:lastRenderedPageBreak/>
              <w:t>93</w:t>
            </w:r>
          </w:p>
        </w:tc>
      </w:tr>
      <w:tr w:rsidR="00651D53">
        <w:tc>
          <w:tcPr>
            <w:tcW w:w="1672" w:type="dxa"/>
            <w:gridSpan w:val="3"/>
            <w:vAlign w:val="center"/>
          </w:tcPr>
          <w:p w:rsidR="00651D53" w:rsidRDefault="00702C7E">
            <w:pPr>
              <w:jc w:val="left"/>
            </w:pPr>
            <w:r>
              <w:rPr>
                <w:color w:val="000000"/>
                <w:sz w:val="18"/>
                <w:szCs w:val="18"/>
              </w:rPr>
              <w:lastRenderedPageBreak/>
              <w:t>应付交易费用</w:t>
            </w:r>
          </w:p>
        </w:tc>
        <w:tc>
          <w:tcPr>
            <w:tcW w:w="1271" w:type="dxa"/>
            <w:gridSpan w:val="2"/>
            <w:vAlign w:val="center"/>
          </w:tcPr>
          <w:p w:rsidR="00651D53" w:rsidRDefault="00702C7E">
            <w:pPr>
              <w:jc w:val="left"/>
            </w:pPr>
            <w:r>
              <w:rPr>
                <w:color w:val="000000"/>
                <w:sz w:val="18"/>
                <w:szCs w:val="18"/>
              </w:rPr>
              <w:t>-</w:t>
            </w:r>
          </w:p>
        </w:tc>
        <w:tc>
          <w:tcPr>
            <w:tcW w:w="1104" w:type="dxa"/>
            <w:vAlign w:val="center"/>
          </w:tcPr>
          <w:p w:rsidR="00651D53" w:rsidRDefault="00702C7E">
            <w:pPr>
              <w:jc w:val="left"/>
            </w:pPr>
            <w:r>
              <w:rPr>
                <w:color w:val="000000"/>
                <w:sz w:val="18"/>
                <w:szCs w:val="18"/>
              </w:rPr>
              <w:t>-</w:t>
            </w:r>
          </w:p>
        </w:tc>
        <w:tc>
          <w:tcPr>
            <w:tcW w:w="1164"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center"/>
            </w:pPr>
            <w:r>
              <w:rPr>
                <w:color w:val="000000"/>
                <w:sz w:val="18"/>
                <w:szCs w:val="18"/>
              </w:rPr>
              <w:t>241,347.00</w:t>
            </w:r>
          </w:p>
        </w:tc>
        <w:tc>
          <w:tcPr>
            <w:tcW w:w="1026" w:type="dxa"/>
            <w:vAlign w:val="center"/>
          </w:tcPr>
          <w:p w:rsidR="00651D53" w:rsidRDefault="00702C7E">
            <w:pPr>
              <w:jc w:val="left"/>
            </w:pPr>
            <w:r>
              <w:rPr>
                <w:color w:val="000000"/>
                <w:sz w:val="18"/>
                <w:szCs w:val="18"/>
              </w:rPr>
              <w:t>241,347.00</w:t>
            </w:r>
          </w:p>
        </w:tc>
      </w:tr>
      <w:tr w:rsidR="00651D53">
        <w:tc>
          <w:tcPr>
            <w:tcW w:w="1672" w:type="dxa"/>
            <w:gridSpan w:val="3"/>
            <w:vAlign w:val="center"/>
          </w:tcPr>
          <w:p w:rsidR="00651D53" w:rsidRDefault="00702C7E">
            <w:pPr>
              <w:jc w:val="left"/>
            </w:pPr>
            <w:r>
              <w:rPr>
                <w:color w:val="000000"/>
                <w:sz w:val="18"/>
                <w:szCs w:val="18"/>
              </w:rPr>
              <w:t>应交税费</w:t>
            </w:r>
          </w:p>
        </w:tc>
        <w:tc>
          <w:tcPr>
            <w:tcW w:w="1271" w:type="dxa"/>
            <w:gridSpan w:val="2"/>
            <w:vAlign w:val="center"/>
          </w:tcPr>
          <w:p w:rsidR="00651D53" w:rsidRDefault="00702C7E">
            <w:pPr>
              <w:jc w:val="left"/>
            </w:pPr>
            <w:r>
              <w:rPr>
                <w:color w:val="000000"/>
                <w:sz w:val="18"/>
                <w:szCs w:val="18"/>
              </w:rPr>
              <w:t>-</w:t>
            </w:r>
          </w:p>
        </w:tc>
        <w:tc>
          <w:tcPr>
            <w:tcW w:w="1104" w:type="dxa"/>
            <w:vAlign w:val="center"/>
          </w:tcPr>
          <w:p w:rsidR="00651D53" w:rsidRDefault="00702C7E">
            <w:pPr>
              <w:jc w:val="left"/>
            </w:pPr>
            <w:r>
              <w:rPr>
                <w:color w:val="000000"/>
                <w:sz w:val="18"/>
                <w:szCs w:val="18"/>
              </w:rPr>
              <w:t>-</w:t>
            </w:r>
          </w:p>
        </w:tc>
        <w:tc>
          <w:tcPr>
            <w:tcW w:w="1164"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center"/>
            </w:pPr>
            <w:r>
              <w:rPr>
                <w:color w:val="000000"/>
                <w:sz w:val="18"/>
                <w:szCs w:val="18"/>
              </w:rPr>
              <w:t>711,871.66</w:t>
            </w:r>
          </w:p>
        </w:tc>
        <w:tc>
          <w:tcPr>
            <w:tcW w:w="1026" w:type="dxa"/>
            <w:vAlign w:val="center"/>
          </w:tcPr>
          <w:p w:rsidR="00651D53" w:rsidRDefault="00702C7E">
            <w:pPr>
              <w:jc w:val="left"/>
            </w:pPr>
            <w:r>
              <w:rPr>
                <w:color w:val="000000"/>
                <w:sz w:val="18"/>
                <w:szCs w:val="18"/>
              </w:rPr>
              <w:t>711,871.66</w:t>
            </w:r>
          </w:p>
        </w:tc>
      </w:tr>
      <w:tr w:rsidR="00651D53">
        <w:tc>
          <w:tcPr>
            <w:tcW w:w="1672" w:type="dxa"/>
            <w:gridSpan w:val="3"/>
            <w:vAlign w:val="center"/>
          </w:tcPr>
          <w:p w:rsidR="00651D53" w:rsidRDefault="00702C7E">
            <w:pPr>
              <w:jc w:val="left"/>
            </w:pPr>
            <w:r>
              <w:rPr>
                <w:color w:val="000000"/>
                <w:sz w:val="18"/>
                <w:szCs w:val="18"/>
              </w:rPr>
              <w:t>应付利息</w:t>
            </w:r>
          </w:p>
        </w:tc>
        <w:tc>
          <w:tcPr>
            <w:tcW w:w="1271" w:type="dxa"/>
            <w:gridSpan w:val="2"/>
            <w:vAlign w:val="center"/>
          </w:tcPr>
          <w:p w:rsidR="00651D53" w:rsidRDefault="00702C7E">
            <w:pPr>
              <w:jc w:val="left"/>
            </w:pPr>
            <w:r>
              <w:rPr>
                <w:color w:val="000000"/>
                <w:sz w:val="18"/>
                <w:szCs w:val="18"/>
              </w:rPr>
              <w:t>-</w:t>
            </w:r>
          </w:p>
        </w:tc>
        <w:tc>
          <w:tcPr>
            <w:tcW w:w="1104" w:type="dxa"/>
            <w:vAlign w:val="center"/>
          </w:tcPr>
          <w:p w:rsidR="00651D53" w:rsidRDefault="00702C7E">
            <w:pPr>
              <w:jc w:val="left"/>
            </w:pPr>
            <w:r>
              <w:rPr>
                <w:color w:val="000000"/>
                <w:sz w:val="18"/>
                <w:szCs w:val="18"/>
              </w:rPr>
              <w:t>-</w:t>
            </w:r>
          </w:p>
        </w:tc>
        <w:tc>
          <w:tcPr>
            <w:tcW w:w="1164"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center"/>
            </w:pPr>
            <w:r>
              <w:rPr>
                <w:color w:val="000000"/>
                <w:sz w:val="18"/>
                <w:szCs w:val="18"/>
              </w:rPr>
              <w:t>350,695.54</w:t>
            </w:r>
          </w:p>
        </w:tc>
        <w:tc>
          <w:tcPr>
            <w:tcW w:w="1026" w:type="dxa"/>
            <w:vAlign w:val="center"/>
          </w:tcPr>
          <w:p w:rsidR="00651D53" w:rsidRDefault="00702C7E">
            <w:pPr>
              <w:jc w:val="left"/>
            </w:pPr>
            <w:r>
              <w:rPr>
                <w:color w:val="000000"/>
                <w:sz w:val="18"/>
                <w:szCs w:val="18"/>
              </w:rPr>
              <w:t>350,695.54</w:t>
            </w:r>
          </w:p>
        </w:tc>
      </w:tr>
      <w:tr w:rsidR="00651D53">
        <w:tc>
          <w:tcPr>
            <w:tcW w:w="1672" w:type="dxa"/>
            <w:gridSpan w:val="3"/>
            <w:vAlign w:val="center"/>
          </w:tcPr>
          <w:p w:rsidR="00651D53" w:rsidRDefault="00702C7E">
            <w:pPr>
              <w:jc w:val="left"/>
            </w:pPr>
            <w:r>
              <w:rPr>
                <w:color w:val="000000"/>
                <w:sz w:val="18"/>
                <w:szCs w:val="18"/>
              </w:rPr>
              <w:t>应付利润</w:t>
            </w:r>
          </w:p>
        </w:tc>
        <w:tc>
          <w:tcPr>
            <w:tcW w:w="1271" w:type="dxa"/>
            <w:gridSpan w:val="2"/>
            <w:vAlign w:val="center"/>
          </w:tcPr>
          <w:p w:rsidR="00651D53" w:rsidRDefault="00702C7E">
            <w:pPr>
              <w:jc w:val="left"/>
            </w:pPr>
            <w:r>
              <w:rPr>
                <w:color w:val="000000"/>
                <w:sz w:val="18"/>
                <w:szCs w:val="18"/>
              </w:rPr>
              <w:t>-</w:t>
            </w:r>
          </w:p>
        </w:tc>
        <w:tc>
          <w:tcPr>
            <w:tcW w:w="1104" w:type="dxa"/>
            <w:vAlign w:val="center"/>
          </w:tcPr>
          <w:p w:rsidR="00651D53" w:rsidRDefault="00702C7E">
            <w:pPr>
              <w:jc w:val="left"/>
            </w:pPr>
            <w:r>
              <w:rPr>
                <w:color w:val="000000"/>
                <w:sz w:val="18"/>
                <w:szCs w:val="18"/>
              </w:rPr>
              <w:t>-</w:t>
            </w:r>
          </w:p>
        </w:tc>
        <w:tc>
          <w:tcPr>
            <w:tcW w:w="1164"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center"/>
            </w:pPr>
            <w:r>
              <w:rPr>
                <w:color w:val="000000"/>
                <w:sz w:val="18"/>
                <w:szCs w:val="18"/>
              </w:rPr>
              <w:t>3,129,228.95</w:t>
            </w:r>
          </w:p>
        </w:tc>
        <w:tc>
          <w:tcPr>
            <w:tcW w:w="1026" w:type="dxa"/>
            <w:vAlign w:val="center"/>
          </w:tcPr>
          <w:p w:rsidR="00651D53" w:rsidRDefault="00702C7E">
            <w:pPr>
              <w:jc w:val="left"/>
            </w:pPr>
            <w:r>
              <w:rPr>
                <w:color w:val="000000"/>
                <w:sz w:val="18"/>
                <w:szCs w:val="18"/>
              </w:rPr>
              <w:t>3,129,228.95</w:t>
            </w:r>
          </w:p>
        </w:tc>
      </w:tr>
      <w:tr w:rsidR="00651D53">
        <w:tc>
          <w:tcPr>
            <w:tcW w:w="1672" w:type="dxa"/>
            <w:gridSpan w:val="3"/>
            <w:vAlign w:val="center"/>
          </w:tcPr>
          <w:p w:rsidR="00651D53" w:rsidRDefault="00702C7E">
            <w:pPr>
              <w:jc w:val="left"/>
            </w:pPr>
            <w:r>
              <w:rPr>
                <w:color w:val="000000"/>
                <w:sz w:val="18"/>
                <w:szCs w:val="18"/>
              </w:rPr>
              <w:t>其他负债</w:t>
            </w:r>
          </w:p>
        </w:tc>
        <w:tc>
          <w:tcPr>
            <w:tcW w:w="1271" w:type="dxa"/>
            <w:gridSpan w:val="2"/>
            <w:vAlign w:val="center"/>
          </w:tcPr>
          <w:p w:rsidR="00651D53" w:rsidRDefault="00702C7E">
            <w:pPr>
              <w:jc w:val="left"/>
            </w:pPr>
            <w:r>
              <w:rPr>
                <w:color w:val="000000"/>
                <w:sz w:val="18"/>
                <w:szCs w:val="18"/>
              </w:rPr>
              <w:t>-</w:t>
            </w:r>
          </w:p>
        </w:tc>
        <w:tc>
          <w:tcPr>
            <w:tcW w:w="1104" w:type="dxa"/>
            <w:vAlign w:val="center"/>
          </w:tcPr>
          <w:p w:rsidR="00651D53" w:rsidRDefault="00702C7E">
            <w:pPr>
              <w:jc w:val="left"/>
            </w:pPr>
            <w:r>
              <w:rPr>
                <w:color w:val="000000"/>
                <w:sz w:val="18"/>
                <w:szCs w:val="18"/>
              </w:rPr>
              <w:t>-</w:t>
            </w:r>
          </w:p>
        </w:tc>
        <w:tc>
          <w:tcPr>
            <w:tcW w:w="1164" w:type="dxa"/>
            <w:gridSpan w:val="2"/>
            <w:vAlign w:val="center"/>
          </w:tcPr>
          <w:p w:rsidR="00651D53" w:rsidRDefault="00702C7E">
            <w:pPr>
              <w:jc w:val="left"/>
            </w:pPr>
            <w:r>
              <w:rPr>
                <w:color w:val="000000"/>
                <w:sz w:val="18"/>
                <w:szCs w:val="18"/>
              </w:rPr>
              <w:t>-</w:t>
            </w:r>
          </w:p>
        </w:tc>
        <w:tc>
          <w:tcPr>
            <w:tcW w:w="851" w:type="dxa"/>
            <w:vAlign w:val="center"/>
          </w:tcPr>
          <w:p w:rsidR="00651D53" w:rsidRDefault="00702C7E">
            <w:pPr>
              <w:jc w:val="left"/>
            </w:pPr>
            <w:r>
              <w:rPr>
                <w:color w:val="000000"/>
                <w:sz w:val="18"/>
                <w:szCs w:val="18"/>
              </w:rPr>
              <w:t>-</w:t>
            </w:r>
          </w:p>
        </w:tc>
        <w:tc>
          <w:tcPr>
            <w:tcW w:w="992" w:type="dxa"/>
            <w:vAlign w:val="center"/>
          </w:tcPr>
          <w:p w:rsidR="00651D53" w:rsidRDefault="00702C7E">
            <w:pPr>
              <w:jc w:val="left"/>
            </w:pPr>
            <w:r>
              <w:rPr>
                <w:color w:val="000000"/>
                <w:sz w:val="18"/>
                <w:szCs w:val="18"/>
              </w:rPr>
              <w:t>-</w:t>
            </w:r>
          </w:p>
        </w:tc>
        <w:tc>
          <w:tcPr>
            <w:tcW w:w="992" w:type="dxa"/>
            <w:gridSpan w:val="2"/>
            <w:vAlign w:val="center"/>
          </w:tcPr>
          <w:p w:rsidR="00651D53" w:rsidRDefault="00702C7E">
            <w:pPr>
              <w:jc w:val="center"/>
            </w:pPr>
            <w:r>
              <w:rPr>
                <w:color w:val="000000"/>
                <w:sz w:val="18"/>
                <w:szCs w:val="18"/>
              </w:rPr>
              <w:t>299,300.00</w:t>
            </w:r>
          </w:p>
        </w:tc>
        <w:tc>
          <w:tcPr>
            <w:tcW w:w="1026" w:type="dxa"/>
            <w:vAlign w:val="center"/>
          </w:tcPr>
          <w:p w:rsidR="00651D53" w:rsidRDefault="00702C7E">
            <w:pPr>
              <w:jc w:val="left"/>
            </w:pPr>
            <w:r>
              <w:rPr>
                <w:color w:val="000000"/>
                <w:sz w:val="18"/>
                <w:szCs w:val="18"/>
              </w:rPr>
              <w:t>299,300.00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400,036,079.95</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21,391,448.77</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421,427,528.72</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6,221,171,564.57</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25,295,317,045.57</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7,117,445,450.12</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64,562,605.12</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38,698,496,665.38</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651D53">
        <w:tc>
          <w:tcPr>
            <w:tcW w:w="851" w:type="dxa"/>
            <w:vAlign w:val="center"/>
          </w:tcPr>
          <w:p w:rsidR="00651D53" w:rsidRDefault="00702C7E">
            <w:pPr>
              <w:jc w:val="left"/>
            </w:pPr>
            <w:r>
              <w:rPr>
                <w:rFonts w:hint="eastAsia"/>
                <w:sz w:val="24"/>
              </w:rPr>
              <w:t>假设</w:t>
            </w:r>
          </w:p>
        </w:tc>
        <w:tc>
          <w:tcPr>
            <w:tcW w:w="8221" w:type="dxa"/>
            <w:gridSpan w:val="3"/>
            <w:vAlign w:val="center"/>
          </w:tcPr>
          <w:p w:rsidR="00651D53" w:rsidRDefault="00702C7E">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651D53">
        <w:tc>
          <w:tcPr>
            <w:tcW w:w="851" w:type="dxa"/>
            <w:vMerge/>
          </w:tcPr>
          <w:p w:rsidR="00651D53" w:rsidRDefault="00651D53"/>
        </w:tc>
        <w:tc>
          <w:tcPr>
            <w:tcW w:w="2693" w:type="dxa"/>
            <w:vAlign w:val="center"/>
          </w:tcPr>
          <w:p w:rsidR="00651D53" w:rsidRDefault="00702C7E">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651D53" w:rsidRDefault="00702C7E">
            <w:pPr>
              <w:jc w:val="right"/>
            </w:pPr>
            <w:r>
              <w:rPr>
                <w:rFonts w:hint="eastAsia"/>
                <w:sz w:val="24"/>
              </w:rPr>
              <w:t>减少约</w:t>
            </w:r>
            <w:r>
              <w:rPr>
                <w:rFonts w:hint="eastAsia"/>
                <w:sz w:val="24"/>
              </w:rPr>
              <w:t>1,420</w:t>
            </w:r>
          </w:p>
        </w:tc>
        <w:tc>
          <w:tcPr>
            <w:tcW w:w="2751" w:type="dxa"/>
            <w:vAlign w:val="center"/>
          </w:tcPr>
          <w:p w:rsidR="00651D53" w:rsidRDefault="00702C7E">
            <w:pPr>
              <w:jc w:val="right"/>
            </w:pPr>
            <w:r>
              <w:rPr>
                <w:rFonts w:hint="eastAsia"/>
                <w:sz w:val="24"/>
              </w:rPr>
              <w:t>减少约</w:t>
            </w:r>
            <w:r>
              <w:rPr>
                <w:rFonts w:hint="eastAsia"/>
                <w:sz w:val="24"/>
              </w:rPr>
              <w:t>1,786</w:t>
            </w:r>
          </w:p>
        </w:tc>
      </w:tr>
      <w:tr w:rsidR="00651D53">
        <w:tc>
          <w:tcPr>
            <w:tcW w:w="851" w:type="dxa"/>
            <w:vMerge/>
          </w:tcPr>
          <w:p w:rsidR="00651D53" w:rsidRDefault="00651D53"/>
        </w:tc>
        <w:tc>
          <w:tcPr>
            <w:tcW w:w="2693" w:type="dxa"/>
            <w:vAlign w:val="center"/>
          </w:tcPr>
          <w:p w:rsidR="00651D53" w:rsidRDefault="00702C7E">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651D53" w:rsidRDefault="00702C7E">
            <w:pPr>
              <w:jc w:val="right"/>
            </w:pPr>
            <w:r>
              <w:rPr>
                <w:rFonts w:hint="eastAsia"/>
                <w:sz w:val="24"/>
              </w:rPr>
              <w:t>增加约</w:t>
            </w:r>
            <w:r>
              <w:rPr>
                <w:rFonts w:hint="eastAsia"/>
                <w:sz w:val="24"/>
              </w:rPr>
              <w:t>1,423</w:t>
            </w:r>
          </w:p>
        </w:tc>
        <w:tc>
          <w:tcPr>
            <w:tcW w:w="2751" w:type="dxa"/>
            <w:vAlign w:val="center"/>
          </w:tcPr>
          <w:p w:rsidR="00651D53" w:rsidRDefault="00702C7E">
            <w:pPr>
              <w:jc w:val="right"/>
            </w:pPr>
            <w:r>
              <w:rPr>
                <w:rFonts w:hint="eastAsia"/>
                <w:sz w:val="24"/>
              </w:rPr>
              <w:t>增加约</w:t>
            </w:r>
            <w:r>
              <w:rPr>
                <w:rFonts w:hint="eastAsia"/>
                <w:sz w:val="24"/>
              </w:rPr>
              <w:t>1,789</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lastRenderedPageBreak/>
        <w:t>7.4.</w:t>
      </w:r>
      <w:r w:rsidR="008A28D4" w:rsidRPr="003F0D5A">
        <w:rPr>
          <w:rFonts w:hint="eastAsia"/>
          <w:b/>
          <w:sz w:val="24"/>
        </w:rPr>
        <w:t>14</w:t>
      </w:r>
      <w:r w:rsidRPr="003F0D5A">
        <w:rPr>
          <w:rFonts w:hint="eastAsia"/>
          <w:b/>
          <w:sz w:val="24"/>
        </w:rPr>
        <w:t>有助于理解和分析会计报表需要说明的其他事项</w:t>
      </w:r>
    </w:p>
    <w:p w:rsidR="00651D53" w:rsidRDefault="00702C7E">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651D53" w:rsidRDefault="00702C7E">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651D53" w:rsidRDefault="00702C7E">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651D53" w:rsidRDefault="00702C7E">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651D53" w:rsidRDefault="00702C7E">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651D53" w:rsidRDefault="00702C7E">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651D53" w:rsidRDefault="00702C7E">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651D53" w:rsidRDefault="00702C7E">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651D53" w:rsidRDefault="00702C7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21,296,996,968.31</w:t>
      </w:r>
      <w:r>
        <w:rPr>
          <w:rFonts w:hint="eastAsia"/>
          <w:kern w:val="0"/>
          <w:sz w:val="24"/>
        </w:rPr>
        <w:t>元，无属于第一或第三层次的余额</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27,973,187,402.38</w:t>
      </w:r>
      <w:r>
        <w:rPr>
          <w:rFonts w:hint="eastAsia"/>
          <w:kern w:val="0"/>
          <w:sz w:val="24"/>
        </w:rPr>
        <w:t>元，第三层次</w:t>
      </w:r>
      <w:r>
        <w:rPr>
          <w:rFonts w:hint="eastAsia"/>
          <w:kern w:val="0"/>
          <w:sz w:val="24"/>
        </w:rPr>
        <w:t>150,000,000.00</w:t>
      </w:r>
      <w:r>
        <w:rPr>
          <w:rFonts w:hint="eastAsia"/>
          <w:kern w:val="0"/>
          <w:sz w:val="24"/>
        </w:rPr>
        <w:t>元，无第一层次</w:t>
      </w:r>
      <w:r>
        <w:rPr>
          <w:rFonts w:hint="eastAsia"/>
          <w:kern w:val="0"/>
          <w:sz w:val="24"/>
        </w:rPr>
        <w:t>)</w:t>
      </w:r>
      <w:r>
        <w:rPr>
          <w:rFonts w:hint="eastAsia"/>
          <w:kern w:val="0"/>
          <w:sz w:val="24"/>
        </w:rPr>
        <w:t>。</w:t>
      </w:r>
    </w:p>
    <w:p w:rsidR="00651D53" w:rsidRDefault="00702C7E">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651D53" w:rsidRDefault="00702C7E">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651D53" w:rsidRDefault="00702C7E">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651D53" w:rsidRDefault="00702C7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日，本基金未持有公允价值归属于第三层次的金融工具</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rFonts w:hint="eastAsia"/>
          <w:kern w:val="0"/>
          <w:sz w:val="24"/>
        </w:rPr>
        <w:t>150,000,000.00</w:t>
      </w:r>
      <w:r>
        <w:rPr>
          <w:rFonts w:hint="eastAsia"/>
          <w:kern w:val="0"/>
          <w:sz w:val="24"/>
        </w:rPr>
        <w:t>元</w:t>
      </w:r>
      <w:r>
        <w:rPr>
          <w:rFonts w:hint="eastAsia"/>
          <w:kern w:val="0"/>
          <w:sz w:val="24"/>
        </w:rPr>
        <w:t>)</w:t>
      </w:r>
      <w:r>
        <w:rPr>
          <w:rFonts w:hint="eastAsia"/>
          <w:kern w:val="0"/>
          <w:sz w:val="24"/>
        </w:rPr>
        <w:t>。本基金本年度无购买、转入或出售第三层次的金融工具，转出第三层次的金融工具的金额为</w:t>
      </w:r>
      <w:r>
        <w:rPr>
          <w:rFonts w:hint="eastAsia"/>
          <w:kern w:val="0"/>
          <w:sz w:val="24"/>
        </w:rPr>
        <w:t>150,000,000.00</w:t>
      </w:r>
      <w:r>
        <w:rPr>
          <w:rFonts w:hint="eastAsia"/>
          <w:kern w:val="0"/>
          <w:sz w:val="24"/>
        </w:rPr>
        <w:t>元</w:t>
      </w:r>
      <w:r>
        <w:rPr>
          <w:rFonts w:hint="eastAsia"/>
          <w:kern w:val="0"/>
          <w:sz w:val="24"/>
        </w:rPr>
        <w:t>(2018</w:t>
      </w:r>
      <w:r>
        <w:rPr>
          <w:rFonts w:hint="eastAsia"/>
          <w:kern w:val="0"/>
          <w:sz w:val="24"/>
        </w:rPr>
        <w:t>年度：购买第三层次的金融工具</w:t>
      </w:r>
      <w:r>
        <w:rPr>
          <w:rFonts w:hint="eastAsia"/>
          <w:kern w:val="0"/>
          <w:sz w:val="24"/>
        </w:rPr>
        <w:t>180,000,000.00</w:t>
      </w:r>
      <w:r>
        <w:rPr>
          <w:rFonts w:hint="eastAsia"/>
          <w:kern w:val="0"/>
          <w:sz w:val="24"/>
        </w:rPr>
        <w:t>元，出售第三层次的金融工具</w:t>
      </w:r>
      <w:r>
        <w:rPr>
          <w:rFonts w:hint="eastAsia"/>
          <w:kern w:val="0"/>
          <w:sz w:val="24"/>
        </w:rPr>
        <w:t>30,000,000.00</w:t>
      </w:r>
      <w:r>
        <w:rPr>
          <w:rFonts w:hint="eastAsia"/>
          <w:kern w:val="0"/>
          <w:sz w:val="24"/>
        </w:rPr>
        <w:t>元，无转入或转出第三层次的金融工具</w:t>
      </w:r>
      <w:r>
        <w:rPr>
          <w:rFonts w:hint="eastAsia"/>
          <w:kern w:val="0"/>
          <w:sz w:val="24"/>
        </w:rPr>
        <w:t>)</w:t>
      </w:r>
      <w:r>
        <w:rPr>
          <w:rFonts w:hint="eastAsia"/>
          <w:kern w:val="0"/>
          <w:sz w:val="24"/>
        </w:rPr>
        <w:t>，无计入损益的第三层次的金融工具公允价值变动或当期投资收益</w:t>
      </w:r>
      <w:r>
        <w:rPr>
          <w:rFonts w:hint="eastAsia"/>
          <w:kern w:val="0"/>
          <w:sz w:val="24"/>
        </w:rPr>
        <w:t>(2018</w:t>
      </w:r>
      <w:r>
        <w:rPr>
          <w:rFonts w:hint="eastAsia"/>
          <w:kern w:val="0"/>
          <w:sz w:val="24"/>
        </w:rPr>
        <w:t>年度：无</w:t>
      </w:r>
      <w:r>
        <w:rPr>
          <w:rFonts w:hint="eastAsia"/>
          <w:kern w:val="0"/>
          <w:sz w:val="24"/>
        </w:rPr>
        <w:t>)</w:t>
      </w:r>
      <w:r>
        <w:rPr>
          <w:rFonts w:hint="eastAsia"/>
          <w:kern w:val="0"/>
          <w:sz w:val="24"/>
        </w:rPr>
        <w:t>。</w:t>
      </w:r>
    </w:p>
    <w:p w:rsidR="00651D53" w:rsidRDefault="00702C7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日，本基金持有的第三层次的交易性金融资产</w:t>
      </w:r>
      <w:r>
        <w:rPr>
          <w:rFonts w:hint="eastAsia"/>
          <w:kern w:val="0"/>
          <w:sz w:val="24"/>
        </w:rPr>
        <w:t>(</w:t>
      </w:r>
      <w:r>
        <w:rPr>
          <w:rFonts w:hint="eastAsia"/>
          <w:kern w:val="0"/>
          <w:sz w:val="24"/>
        </w:rPr>
        <w:t>均为交易所资产支持证券投资</w:t>
      </w:r>
      <w:r>
        <w:rPr>
          <w:rFonts w:hint="eastAsia"/>
          <w:kern w:val="0"/>
          <w:sz w:val="24"/>
        </w:rPr>
        <w:t>)</w:t>
      </w:r>
      <w:r>
        <w:rPr>
          <w:rFonts w:hint="eastAsia"/>
          <w:kern w:val="0"/>
          <w:sz w:val="24"/>
        </w:rPr>
        <w:t>公允价值为</w:t>
      </w:r>
      <w:r>
        <w:rPr>
          <w:rFonts w:hint="eastAsia"/>
          <w:kern w:val="0"/>
          <w:sz w:val="24"/>
        </w:rPr>
        <w:t>150,000,000.00</w:t>
      </w:r>
      <w:r>
        <w:rPr>
          <w:rFonts w:hint="eastAsia"/>
          <w:kern w:val="0"/>
          <w:sz w:val="24"/>
        </w:rPr>
        <w:t>元，采用现金流量折现法估值技术，不可观察输入值为折现率，与公允价值之间呈负相关关系。</w:t>
      </w:r>
    </w:p>
    <w:p w:rsidR="00651D53" w:rsidRDefault="00702C7E">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651D53" w:rsidRDefault="00702C7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651D53" w:rsidRDefault="00702C7E">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651D53" w:rsidRDefault="00702C7E">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35962151"/>
      <w:r w:rsidRPr="00241227">
        <w:rPr>
          <w:rFonts w:hint="eastAsia"/>
          <w:b/>
          <w:bCs/>
          <w:szCs w:val="24"/>
          <w:lang w:val="en-US"/>
        </w:rPr>
        <w:lastRenderedPageBreak/>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35962152"/>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21,296,996,968.31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61.05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21,226,996,968.31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60.84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70,000,000.00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0.20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2,566,815,210.23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7.36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10,902,962,946.53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31.25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120,295,562.94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0.34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34,887,070,688.01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35962153"/>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4.80</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lastRenderedPageBreak/>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88</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103</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30</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13.36</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14.91</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48.98</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1.92</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20.53</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99.71</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35962154"/>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35962155"/>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w:t>
            </w:r>
            <w:r w:rsidRPr="000E4C40">
              <w:rPr>
                <w:rFonts w:hAnsi="宋体"/>
                <w:color w:val="000000"/>
                <w:sz w:val="24"/>
              </w:rPr>
              <w:lastRenderedPageBreak/>
              <w:t>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lastRenderedPageBreak/>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886,862,346.28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2.54</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1,011,058,160.36</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2.90</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1,011,058,160.36</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2.90</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5,346,104,064.45</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15.33</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747,004,654.63</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2.14</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13,235,967,742.59</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37.96</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21,226,996,968.31</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60.88</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35962156"/>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651D53">
        <w:trPr>
          <w:jc w:val="center"/>
        </w:trPr>
        <w:tc>
          <w:tcPr>
            <w:tcW w:w="768" w:type="dxa"/>
            <w:vAlign w:val="center"/>
          </w:tcPr>
          <w:p w:rsidR="00651D53" w:rsidRDefault="00702C7E">
            <w:pPr>
              <w:jc w:val="center"/>
            </w:pPr>
            <w:r>
              <w:rPr>
                <w:rFonts w:hint="eastAsia"/>
                <w:sz w:val="24"/>
              </w:rPr>
              <w:t>1</w:t>
            </w:r>
          </w:p>
        </w:tc>
        <w:tc>
          <w:tcPr>
            <w:tcW w:w="1329" w:type="dxa"/>
            <w:vAlign w:val="center"/>
          </w:tcPr>
          <w:p w:rsidR="00651D53" w:rsidRDefault="00702C7E">
            <w:pPr>
              <w:jc w:val="center"/>
            </w:pPr>
            <w:r>
              <w:rPr>
                <w:rFonts w:hint="eastAsia"/>
                <w:sz w:val="24"/>
              </w:rPr>
              <w:t>170302</w:t>
            </w:r>
          </w:p>
        </w:tc>
        <w:tc>
          <w:tcPr>
            <w:tcW w:w="1762" w:type="dxa"/>
            <w:vAlign w:val="center"/>
          </w:tcPr>
          <w:p w:rsidR="00651D53" w:rsidRDefault="00702C7E">
            <w:pPr>
              <w:jc w:val="center"/>
            </w:pPr>
            <w:r>
              <w:rPr>
                <w:rFonts w:hint="eastAsia"/>
                <w:sz w:val="24"/>
              </w:rPr>
              <w:t>17</w:t>
            </w:r>
            <w:r>
              <w:rPr>
                <w:rFonts w:hint="eastAsia"/>
                <w:sz w:val="24"/>
              </w:rPr>
              <w:t>进出</w:t>
            </w:r>
            <w:r>
              <w:rPr>
                <w:rFonts w:hint="eastAsia"/>
                <w:sz w:val="24"/>
              </w:rPr>
              <w:t>02</w:t>
            </w:r>
          </w:p>
        </w:tc>
        <w:tc>
          <w:tcPr>
            <w:tcW w:w="1731" w:type="dxa"/>
            <w:vAlign w:val="center"/>
          </w:tcPr>
          <w:p w:rsidR="00651D53" w:rsidRDefault="00702C7E">
            <w:pPr>
              <w:jc w:val="center"/>
            </w:pPr>
            <w:r>
              <w:rPr>
                <w:rFonts w:hint="eastAsia"/>
                <w:sz w:val="24"/>
              </w:rPr>
              <w:t>4,700,000</w:t>
            </w:r>
          </w:p>
        </w:tc>
        <w:tc>
          <w:tcPr>
            <w:tcW w:w="1980" w:type="dxa"/>
            <w:vAlign w:val="center"/>
          </w:tcPr>
          <w:p w:rsidR="00651D53" w:rsidRDefault="00702C7E">
            <w:pPr>
              <w:jc w:val="center"/>
            </w:pPr>
            <w:r>
              <w:rPr>
                <w:rFonts w:hint="eastAsia"/>
                <w:sz w:val="24"/>
              </w:rPr>
              <w:t>470,899,587.95</w:t>
            </w:r>
          </w:p>
        </w:tc>
        <w:tc>
          <w:tcPr>
            <w:tcW w:w="1520" w:type="dxa"/>
            <w:vAlign w:val="center"/>
          </w:tcPr>
          <w:p w:rsidR="00651D53" w:rsidRDefault="00702C7E">
            <w:pPr>
              <w:jc w:val="center"/>
            </w:pPr>
            <w:r>
              <w:rPr>
                <w:rFonts w:hint="eastAsia"/>
                <w:sz w:val="24"/>
              </w:rPr>
              <w:t>1.35</w:t>
            </w:r>
          </w:p>
        </w:tc>
      </w:tr>
      <w:tr w:rsidR="00651D53">
        <w:trPr>
          <w:jc w:val="center"/>
        </w:trPr>
        <w:tc>
          <w:tcPr>
            <w:tcW w:w="768" w:type="dxa"/>
            <w:vAlign w:val="center"/>
          </w:tcPr>
          <w:p w:rsidR="00651D53" w:rsidRDefault="00702C7E">
            <w:pPr>
              <w:jc w:val="center"/>
            </w:pPr>
            <w:r>
              <w:rPr>
                <w:rFonts w:hint="eastAsia"/>
                <w:sz w:val="24"/>
              </w:rPr>
              <w:t>2</w:t>
            </w:r>
          </w:p>
        </w:tc>
        <w:tc>
          <w:tcPr>
            <w:tcW w:w="1329" w:type="dxa"/>
            <w:vAlign w:val="center"/>
          </w:tcPr>
          <w:p w:rsidR="00651D53" w:rsidRDefault="00702C7E">
            <w:pPr>
              <w:jc w:val="center"/>
            </w:pPr>
            <w:r>
              <w:rPr>
                <w:rFonts w:hint="eastAsia"/>
                <w:sz w:val="24"/>
              </w:rPr>
              <w:t>111977570</w:t>
            </w:r>
          </w:p>
        </w:tc>
        <w:tc>
          <w:tcPr>
            <w:tcW w:w="1762" w:type="dxa"/>
            <w:vAlign w:val="center"/>
          </w:tcPr>
          <w:p w:rsidR="00651D53" w:rsidRDefault="00702C7E">
            <w:pPr>
              <w:jc w:val="center"/>
            </w:pPr>
            <w:r>
              <w:rPr>
                <w:rFonts w:hint="eastAsia"/>
                <w:sz w:val="24"/>
              </w:rPr>
              <w:t>19</w:t>
            </w:r>
            <w:r>
              <w:rPr>
                <w:rFonts w:hint="eastAsia"/>
                <w:sz w:val="24"/>
              </w:rPr>
              <w:t>江西银行</w:t>
            </w:r>
            <w:r>
              <w:rPr>
                <w:rFonts w:hint="eastAsia"/>
                <w:sz w:val="24"/>
              </w:rPr>
              <w:t>CD105</w:t>
            </w:r>
          </w:p>
        </w:tc>
        <w:tc>
          <w:tcPr>
            <w:tcW w:w="1731" w:type="dxa"/>
            <w:vAlign w:val="center"/>
          </w:tcPr>
          <w:p w:rsidR="00651D53" w:rsidRDefault="00702C7E">
            <w:pPr>
              <w:jc w:val="center"/>
            </w:pPr>
            <w:r>
              <w:rPr>
                <w:rFonts w:hint="eastAsia"/>
                <w:sz w:val="24"/>
              </w:rPr>
              <w:t>4,500,000</w:t>
            </w:r>
          </w:p>
        </w:tc>
        <w:tc>
          <w:tcPr>
            <w:tcW w:w="1980" w:type="dxa"/>
            <w:vAlign w:val="center"/>
          </w:tcPr>
          <w:p w:rsidR="00651D53" w:rsidRDefault="00702C7E">
            <w:pPr>
              <w:jc w:val="center"/>
            </w:pPr>
            <w:r>
              <w:rPr>
                <w:rFonts w:hint="eastAsia"/>
                <w:sz w:val="24"/>
              </w:rPr>
              <w:t>439,857,382.93</w:t>
            </w:r>
          </w:p>
        </w:tc>
        <w:tc>
          <w:tcPr>
            <w:tcW w:w="1520" w:type="dxa"/>
            <w:vAlign w:val="center"/>
          </w:tcPr>
          <w:p w:rsidR="00651D53" w:rsidRDefault="00702C7E">
            <w:pPr>
              <w:jc w:val="center"/>
            </w:pPr>
            <w:r>
              <w:rPr>
                <w:rFonts w:hint="eastAsia"/>
                <w:sz w:val="24"/>
              </w:rPr>
              <w:t>1.26</w:t>
            </w:r>
          </w:p>
        </w:tc>
      </w:tr>
      <w:tr w:rsidR="00651D53">
        <w:trPr>
          <w:jc w:val="center"/>
        </w:trPr>
        <w:tc>
          <w:tcPr>
            <w:tcW w:w="768" w:type="dxa"/>
            <w:vAlign w:val="center"/>
          </w:tcPr>
          <w:p w:rsidR="00651D53" w:rsidRDefault="00702C7E">
            <w:pPr>
              <w:jc w:val="center"/>
            </w:pPr>
            <w:r>
              <w:rPr>
                <w:rFonts w:hint="eastAsia"/>
                <w:sz w:val="24"/>
              </w:rPr>
              <w:t>3</w:t>
            </w:r>
          </w:p>
        </w:tc>
        <w:tc>
          <w:tcPr>
            <w:tcW w:w="1329" w:type="dxa"/>
            <w:vAlign w:val="center"/>
          </w:tcPr>
          <w:p w:rsidR="00651D53" w:rsidRDefault="00702C7E">
            <w:pPr>
              <w:jc w:val="center"/>
            </w:pPr>
            <w:r>
              <w:rPr>
                <w:rFonts w:hint="eastAsia"/>
                <w:sz w:val="24"/>
              </w:rPr>
              <w:t>011902126</w:t>
            </w:r>
          </w:p>
        </w:tc>
        <w:tc>
          <w:tcPr>
            <w:tcW w:w="1762" w:type="dxa"/>
            <w:vAlign w:val="center"/>
          </w:tcPr>
          <w:p w:rsidR="00651D53" w:rsidRDefault="00702C7E">
            <w:pPr>
              <w:jc w:val="center"/>
            </w:pPr>
            <w:r>
              <w:rPr>
                <w:rFonts w:hint="eastAsia"/>
                <w:sz w:val="24"/>
              </w:rPr>
              <w:t>19</w:t>
            </w:r>
            <w:r>
              <w:rPr>
                <w:rFonts w:hint="eastAsia"/>
                <w:sz w:val="24"/>
              </w:rPr>
              <w:t>铁塔股份</w:t>
            </w:r>
            <w:r>
              <w:rPr>
                <w:rFonts w:hint="eastAsia"/>
                <w:sz w:val="24"/>
              </w:rPr>
              <w:t>SCP004</w:t>
            </w:r>
          </w:p>
        </w:tc>
        <w:tc>
          <w:tcPr>
            <w:tcW w:w="1731" w:type="dxa"/>
            <w:vAlign w:val="center"/>
          </w:tcPr>
          <w:p w:rsidR="00651D53" w:rsidRDefault="00702C7E">
            <w:pPr>
              <w:jc w:val="center"/>
            </w:pPr>
            <w:r>
              <w:rPr>
                <w:rFonts w:hint="eastAsia"/>
                <w:sz w:val="24"/>
              </w:rPr>
              <w:t>4,000,000</w:t>
            </w:r>
          </w:p>
        </w:tc>
        <w:tc>
          <w:tcPr>
            <w:tcW w:w="1980" w:type="dxa"/>
            <w:vAlign w:val="center"/>
          </w:tcPr>
          <w:p w:rsidR="00651D53" w:rsidRDefault="00702C7E">
            <w:pPr>
              <w:jc w:val="center"/>
            </w:pPr>
            <w:r>
              <w:rPr>
                <w:rFonts w:hint="eastAsia"/>
                <w:sz w:val="24"/>
              </w:rPr>
              <w:t>399,519,826.13</w:t>
            </w:r>
          </w:p>
        </w:tc>
        <w:tc>
          <w:tcPr>
            <w:tcW w:w="1520" w:type="dxa"/>
            <w:vAlign w:val="center"/>
          </w:tcPr>
          <w:p w:rsidR="00651D53" w:rsidRDefault="00702C7E">
            <w:pPr>
              <w:jc w:val="center"/>
            </w:pPr>
            <w:r>
              <w:rPr>
                <w:rFonts w:hint="eastAsia"/>
                <w:sz w:val="24"/>
              </w:rPr>
              <w:t>1.15</w:t>
            </w:r>
          </w:p>
        </w:tc>
      </w:tr>
      <w:tr w:rsidR="00651D53">
        <w:trPr>
          <w:jc w:val="center"/>
        </w:trPr>
        <w:tc>
          <w:tcPr>
            <w:tcW w:w="768" w:type="dxa"/>
            <w:vAlign w:val="center"/>
          </w:tcPr>
          <w:p w:rsidR="00651D53" w:rsidRDefault="00702C7E">
            <w:pPr>
              <w:jc w:val="center"/>
            </w:pPr>
            <w:r>
              <w:rPr>
                <w:rFonts w:hint="eastAsia"/>
                <w:sz w:val="24"/>
              </w:rPr>
              <w:t>4</w:t>
            </w:r>
          </w:p>
        </w:tc>
        <w:tc>
          <w:tcPr>
            <w:tcW w:w="1329" w:type="dxa"/>
            <w:vAlign w:val="center"/>
          </w:tcPr>
          <w:p w:rsidR="00651D53" w:rsidRDefault="00702C7E">
            <w:pPr>
              <w:jc w:val="center"/>
            </w:pPr>
            <w:r>
              <w:rPr>
                <w:rFonts w:hint="eastAsia"/>
                <w:sz w:val="24"/>
              </w:rPr>
              <w:t>011901385</w:t>
            </w:r>
          </w:p>
        </w:tc>
        <w:tc>
          <w:tcPr>
            <w:tcW w:w="1762" w:type="dxa"/>
            <w:vAlign w:val="center"/>
          </w:tcPr>
          <w:p w:rsidR="00651D53" w:rsidRDefault="00702C7E">
            <w:pPr>
              <w:jc w:val="center"/>
            </w:pPr>
            <w:r>
              <w:rPr>
                <w:rFonts w:hint="eastAsia"/>
                <w:sz w:val="24"/>
              </w:rPr>
              <w:t>19</w:t>
            </w:r>
            <w:r>
              <w:rPr>
                <w:rFonts w:hint="eastAsia"/>
                <w:sz w:val="24"/>
              </w:rPr>
              <w:t>电网</w:t>
            </w:r>
            <w:r>
              <w:rPr>
                <w:rFonts w:hint="eastAsia"/>
                <w:sz w:val="24"/>
              </w:rPr>
              <w:t>SCP005</w:t>
            </w:r>
          </w:p>
        </w:tc>
        <w:tc>
          <w:tcPr>
            <w:tcW w:w="1731" w:type="dxa"/>
            <w:vAlign w:val="center"/>
          </w:tcPr>
          <w:p w:rsidR="00651D53" w:rsidRDefault="00702C7E">
            <w:pPr>
              <w:jc w:val="center"/>
            </w:pPr>
            <w:r>
              <w:rPr>
                <w:rFonts w:hint="eastAsia"/>
                <w:sz w:val="24"/>
              </w:rPr>
              <w:t>3,500,000</w:t>
            </w:r>
          </w:p>
        </w:tc>
        <w:tc>
          <w:tcPr>
            <w:tcW w:w="1980" w:type="dxa"/>
            <w:vAlign w:val="center"/>
          </w:tcPr>
          <w:p w:rsidR="00651D53" w:rsidRDefault="00702C7E">
            <w:pPr>
              <w:jc w:val="center"/>
            </w:pPr>
            <w:r>
              <w:rPr>
                <w:rFonts w:hint="eastAsia"/>
                <w:sz w:val="24"/>
              </w:rPr>
              <w:t>350,006,700.28</w:t>
            </w:r>
          </w:p>
        </w:tc>
        <w:tc>
          <w:tcPr>
            <w:tcW w:w="1520" w:type="dxa"/>
            <w:vAlign w:val="center"/>
          </w:tcPr>
          <w:p w:rsidR="00651D53" w:rsidRDefault="00702C7E">
            <w:pPr>
              <w:jc w:val="center"/>
            </w:pPr>
            <w:r>
              <w:rPr>
                <w:rFonts w:hint="eastAsia"/>
                <w:sz w:val="24"/>
              </w:rPr>
              <w:t>1.00</w:t>
            </w:r>
          </w:p>
        </w:tc>
      </w:tr>
      <w:tr w:rsidR="00651D53">
        <w:trPr>
          <w:jc w:val="center"/>
        </w:trPr>
        <w:tc>
          <w:tcPr>
            <w:tcW w:w="768" w:type="dxa"/>
            <w:vAlign w:val="center"/>
          </w:tcPr>
          <w:p w:rsidR="00651D53" w:rsidRDefault="00702C7E">
            <w:pPr>
              <w:jc w:val="center"/>
            </w:pPr>
            <w:r>
              <w:rPr>
                <w:rFonts w:hint="eastAsia"/>
                <w:sz w:val="24"/>
              </w:rPr>
              <w:t>5</w:t>
            </w:r>
          </w:p>
        </w:tc>
        <w:tc>
          <w:tcPr>
            <w:tcW w:w="1329" w:type="dxa"/>
            <w:vAlign w:val="center"/>
          </w:tcPr>
          <w:p w:rsidR="00651D53" w:rsidRDefault="00702C7E">
            <w:pPr>
              <w:jc w:val="center"/>
            </w:pPr>
            <w:r>
              <w:rPr>
                <w:rFonts w:hint="eastAsia"/>
                <w:sz w:val="24"/>
              </w:rPr>
              <w:t>111988462</w:t>
            </w:r>
          </w:p>
        </w:tc>
        <w:tc>
          <w:tcPr>
            <w:tcW w:w="1762" w:type="dxa"/>
            <w:vAlign w:val="center"/>
          </w:tcPr>
          <w:p w:rsidR="00651D53" w:rsidRDefault="00702C7E">
            <w:pPr>
              <w:jc w:val="center"/>
            </w:pPr>
            <w:r>
              <w:rPr>
                <w:rFonts w:hint="eastAsia"/>
                <w:sz w:val="24"/>
              </w:rPr>
              <w:t>19</w:t>
            </w:r>
            <w:r>
              <w:rPr>
                <w:rFonts w:hint="eastAsia"/>
                <w:sz w:val="24"/>
              </w:rPr>
              <w:t>郑州银行</w:t>
            </w:r>
            <w:r>
              <w:rPr>
                <w:rFonts w:hint="eastAsia"/>
                <w:sz w:val="24"/>
              </w:rPr>
              <w:t>CD205</w:t>
            </w:r>
          </w:p>
        </w:tc>
        <w:tc>
          <w:tcPr>
            <w:tcW w:w="1731" w:type="dxa"/>
            <w:vAlign w:val="center"/>
          </w:tcPr>
          <w:p w:rsidR="00651D53" w:rsidRDefault="00702C7E">
            <w:pPr>
              <w:jc w:val="center"/>
            </w:pPr>
            <w:r>
              <w:rPr>
                <w:rFonts w:hint="eastAsia"/>
                <w:sz w:val="24"/>
              </w:rPr>
              <w:t>3,500,000</w:t>
            </w:r>
          </w:p>
        </w:tc>
        <w:tc>
          <w:tcPr>
            <w:tcW w:w="1980" w:type="dxa"/>
            <w:vAlign w:val="center"/>
          </w:tcPr>
          <w:p w:rsidR="00651D53" w:rsidRDefault="00702C7E">
            <w:pPr>
              <w:jc w:val="center"/>
            </w:pPr>
            <w:r>
              <w:rPr>
                <w:rFonts w:hint="eastAsia"/>
                <w:sz w:val="24"/>
              </w:rPr>
              <w:t>347,816,804.94</w:t>
            </w:r>
          </w:p>
        </w:tc>
        <w:tc>
          <w:tcPr>
            <w:tcW w:w="1520" w:type="dxa"/>
            <w:vAlign w:val="center"/>
          </w:tcPr>
          <w:p w:rsidR="00651D53" w:rsidRDefault="00702C7E">
            <w:pPr>
              <w:jc w:val="center"/>
            </w:pPr>
            <w:r>
              <w:rPr>
                <w:rFonts w:hint="eastAsia"/>
                <w:sz w:val="24"/>
              </w:rPr>
              <w:t>1.00</w:t>
            </w:r>
          </w:p>
        </w:tc>
      </w:tr>
      <w:tr w:rsidR="00651D53">
        <w:trPr>
          <w:jc w:val="center"/>
        </w:trPr>
        <w:tc>
          <w:tcPr>
            <w:tcW w:w="768" w:type="dxa"/>
            <w:vAlign w:val="center"/>
          </w:tcPr>
          <w:p w:rsidR="00651D53" w:rsidRDefault="00702C7E">
            <w:pPr>
              <w:jc w:val="center"/>
            </w:pPr>
            <w:r>
              <w:rPr>
                <w:rFonts w:hint="eastAsia"/>
                <w:sz w:val="24"/>
              </w:rPr>
              <w:t>6</w:t>
            </w:r>
          </w:p>
        </w:tc>
        <w:tc>
          <w:tcPr>
            <w:tcW w:w="1329" w:type="dxa"/>
            <w:vAlign w:val="center"/>
          </w:tcPr>
          <w:p w:rsidR="00651D53" w:rsidRDefault="00702C7E">
            <w:pPr>
              <w:jc w:val="center"/>
            </w:pPr>
            <w:r>
              <w:rPr>
                <w:rFonts w:hint="eastAsia"/>
                <w:sz w:val="24"/>
              </w:rPr>
              <w:t>111909327</w:t>
            </w:r>
          </w:p>
        </w:tc>
        <w:tc>
          <w:tcPr>
            <w:tcW w:w="1762" w:type="dxa"/>
            <w:vAlign w:val="center"/>
          </w:tcPr>
          <w:p w:rsidR="00651D53" w:rsidRDefault="00702C7E">
            <w:pPr>
              <w:jc w:val="center"/>
            </w:pPr>
            <w:r>
              <w:rPr>
                <w:rFonts w:hint="eastAsia"/>
                <w:sz w:val="24"/>
              </w:rPr>
              <w:t>19</w:t>
            </w:r>
            <w:r>
              <w:rPr>
                <w:rFonts w:hint="eastAsia"/>
                <w:sz w:val="24"/>
              </w:rPr>
              <w:t>浦发银行</w:t>
            </w:r>
            <w:r>
              <w:rPr>
                <w:rFonts w:hint="eastAsia"/>
                <w:sz w:val="24"/>
              </w:rPr>
              <w:t>CD327</w:t>
            </w:r>
          </w:p>
        </w:tc>
        <w:tc>
          <w:tcPr>
            <w:tcW w:w="1731" w:type="dxa"/>
            <w:vAlign w:val="center"/>
          </w:tcPr>
          <w:p w:rsidR="00651D53" w:rsidRDefault="00702C7E">
            <w:pPr>
              <w:jc w:val="center"/>
            </w:pPr>
            <w:r>
              <w:rPr>
                <w:rFonts w:hint="eastAsia"/>
                <w:sz w:val="24"/>
              </w:rPr>
              <w:t>3,500,000</w:t>
            </w:r>
          </w:p>
        </w:tc>
        <w:tc>
          <w:tcPr>
            <w:tcW w:w="1980" w:type="dxa"/>
            <w:vAlign w:val="center"/>
          </w:tcPr>
          <w:p w:rsidR="00651D53" w:rsidRDefault="00702C7E">
            <w:pPr>
              <w:jc w:val="center"/>
            </w:pPr>
            <w:r>
              <w:rPr>
                <w:rFonts w:hint="eastAsia"/>
                <w:sz w:val="24"/>
              </w:rPr>
              <w:t>342,781,414.90</w:t>
            </w:r>
          </w:p>
        </w:tc>
        <w:tc>
          <w:tcPr>
            <w:tcW w:w="1520" w:type="dxa"/>
            <w:vAlign w:val="center"/>
          </w:tcPr>
          <w:p w:rsidR="00651D53" w:rsidRDefault="00702C7E">
            <w:pPr>
              <w:jc w:val="center"/>
            </w:pPr>
            <w:r>
              <w:rPr>
                <w:rFonts w:hint="eastAsia"/>
                <w:sz w:val="24"/>
              </w:rPr>
              <w:t>0.98</w:t>
            </w:r>
          </w:p>
        </w:tc>
      </w:tr>
      <w:tr w:rsidR="00651D53">
        <w:trPr>
          <w:jc w:val="center"/>
        </w:trPr>
        <w:tc>
          <w:tcPr>
            <w:tcW w:w="768" w:type="dxa"/>
            <w:vAlign w:val="center"/>
          </w:tcPr>
          <w:p w:rsidR="00651D53" w:rsidRDefault="00702C7E">
            <w:pPr>
              <w:jc w:val="center"/>
            </w:pPr>
            <w:r>
              <w:rPr>
                <w:rFonts w:hint="eastAsia"/>
                <w:sz w:val="24"/>
              </w:rPr>
              <w:t>7</w:t>
            </w:r>
          </w:p>
        </w:tc>
        <w:tc>
          <w:tcPr>
            <w:tcW w:w="1329" w:type="dxa"/>
            <w:vAlign w:val="center"/>
          </w:tcPr>
          <w:p w:rsidR="00651D53" w:rsidRDefault="00702C7E">
            <w:pPr>
              <w:jc w:val="center"/>
            </w:pPr>
            <w:r>
              <w:rPr>
                <w:rFonts w:hint="eastAsia"/>
                <w:sz w:val="24"/>
              </w:rPr>
              <w:t>111977507</w:t>
            </w:r>
          </w:p>
        </w:tc>
        <w:tc>
          <w:tcPr>
            <w:tcW w:w="1762" w:type="dxa"/>
            <w:vAlign w:val="center"/>
          </w:tcPr>
          <w:p w:rsidR="00651D53" w:rsidRDefault="00702C7E">
            <w:pPr>
              <w:jc w:val="center"/>
            </w:pPr>
            <w:r>
              <w:rPr>
                <w:rFonts w:hint="eastAsia"/>
                <w:sz w:val="24"/>
              </w:rPr>
              <w:t>19</w:t>
            </w:r>
            <w:r>
              <w:rPr>
                <w:rFonts w:hint="eastAsia"/>
                <w:sz w:val="24"/>
              </w:rPr>
              <w:t>贵阳银行</w:t>
            </w:r>
            <w:r>
              <w:rPr>
                <w:rFonts w:hint="eastAsia"/>
                <w:sz w:val="24"/>
              </w:rPr>
              <w:t>CD182</w:t>
            </w:r>
          </w:p>
        </w:tc>
        <w:tc>
          <w:tcPr>
            <w:tcW w:w="1731" w:type="dxa"/>
            <w:vAlign w:val="center"/>
          </w:tcPr>
          <w:p w:rsidR="00651D53" w:rsidRDefault="00702C7E">
            <w:pPr>
              <w:jc w:val="center"/>
            </w:pPr>
            <w:r>
              <w:rPr>
                <w:rFonts w:hint="eastAsia"/>
                <w:sz w:val="24"/>
              </w:rPr>
              <w:t>3,500,000</w:t>
            </w:r>
          </w:p>
        </w:tc>
        <w:tc>
          <w:tcPr>
            <w:tcW w:w="1980" w:type="dxa"/>
            <w:vAlign w:val="center"/>
          </w:tcPr>
          <w:p w:rsidR="00651D53" w:rsidRDefault="00702C7E">
            <w:pPr>
              <w:jc w:val="center"/>
            </w:pPr>
            <w:r>
              <w:rPr>
                <w:rFonts w:hint="eastAsia"/>
                <w:sz w:val="24"/>
              </w:rPr>
              <w:t>342,111,297.83</w:t>
            </w:r>
          </w:p>
        </w:tc>
        <w:tc>
          <w:tcPr>
            <w:tcW w:w="1520" w:type="dxa"/>
            <w:vAlign w:val="center"/>
          </w:tcPr>
          <w:p w:rsidR="00651D53" w:rsidRDefault="00702C7E">
            <w:pPr>
              <w:jc w:val="center"/>
            </w:pPr>
            <w:r>
              <w:rPr>
                <w:rFonts w:hint="eastAsia"/>
                <w:sz w:val="24"/>
              </w:rPr>
              <w:t>0.98</w:t>
            </w:r>
          </w:p>
        </w:tc>
      </w:tr>
      <w:tr w:rsidR="00651D53">
        <w:trPr>
          <w:jc w:val="center"/>
        </w:trPr>
        <w:tc>
          <w:tcPr>
            <w:tcW w:w="768" w:type="dxa"/>
            <w:vAlign w:val="center"/>
          </w:tcPr>
          <w:p w:rsidR="00651D53" w:rsidRDefault="00702C7E">
            <w:pPr>
              <w:jc w:val="center"/>
            </w:pPr>
            <w:r>
              <w:rPr>
                <w:rFonts w:hint="eastAsia"/>
                <w:sz w:val="24"/>
              </w:rPr>
              <w:t>8</w:t>
            </w:r>
          </w:p>
        </w:tc>
        <w:tc>
          <w:tcPr>
            <w:tcW w:w="1329" w:type="dxa"/>
            <w:vAlign w:val="center"/>
          </w:tcPr>
          <w:p w:rsidR="00651D53" w:rsidRDefault="00702C7E">
            <w:pPr>
              <w:jc w:val="center"/>
            </w:pPr>
            <w:r>
              <w:rPr>
                <w:rFonts w:hint="eastAsia"/>
                <w:sz w:val="24"/>
              </w:rPr>
              <w:t>111913075</w:t>
            </w:r>
          </w:p>
        </w:tc>
        <w:tc>
          <w:tcPr>
            <w:tcW w:w="1762" w:type="dxa"/>
            <w:vAlign w:val="center"/>
          </w:tcPr>
          <w:p w:rsidR="00651D53" w:rsidRDefault="00702C7E">
            <w:pPr>
              <w:jc w:val="center"/>
            </w:pPr>
            <w:r>
              <w:rPr>
                <w:rFonts w:hint="eastAsia"/>
                <w:sz w:val="24"/>
              </w:rPr>
              <w:t>19</w:t>
            </w:r>
            <w:r>
              <w:rPr>
                <w:rFonts w:hint="eastAsia"/>
                <w:sz w:val="24"/>
              </w:rPr>
              <w:t>浙商银行</w:t>
            </w:r>
            <w:r>
              <w:rPr>
                <w:rFonts w:hint="eastAsia"/>
                <w:sz w:val="24"/>
              </w:rPr>
              <w:t>CD075</w:t>
            </w:r>
          </w:p>
        </w:tc>
        <w:tc>
          <w:tcPr>
            <w:tcW w:w="1731" w:type="dxa"/>
            <w:vAlign w:val="center"/>
          </w:tcPr>
          <w:p w:rsidR="00651D53" w:rsidRDefault="00702C7E">
            <w:pPr>
              <w:jc w:val="center"/>
            </w:pPr>
            <w:r>
              <w:rPr>
                <w:rFonts w:hint="eastAsia"/>
                <w:sz w:val="24"/>
              </w:rPr>
              <w:t>3,300,000</w:t>
            </w:r>
          </w:p>
        </w:tc>
        <w:tc>
          <w:tcPr>
            <w:tcW w:w="1980" w:type="dxa"/>
            <w:vAlign w:val="center"/>
          </w:tcPr>
          <w:p w:rsidR="00651D53" w:rsidRDefault="00702C7E">
            <w:pPr>
              <w:jc w:val="center"/>
            </w:pPr>
            <w:r>
              <w:rPr>
                <w:rFonts w:hint="eastAsia"/>
                <w:sz w:val="24"/>
              </w:rPr>
              <w:t>328,032,832.68</w:t>
            </w:r>
          </w:p>
        </w:tc>
        <w:tc>
          <w:tcPr>
            <w:tcW w:w="1520" w:type="dxa"/>
            <w:vAlign w:val="center"/>
          </w:tcPr>
          <w:p w:rsidR="00651D53" w:rsidRDefault="00702C7E">
            <w:pPr>
              <w:jc w:val="center"/>
            </w:pPr>
            <w:r>
              <w:rPr>
                <w:rFonts w:hint="eastAsia"/>
                <w:sz w:val="24"/>
              </w:rPr>
              <w:t>0.94</w:t>
            </w:r>
          </w:p>
        </w:tc>
      </w:tr>
      <w:tr w:rsidR="00651D53">
        <w:trPr>
          <w:jc w:val="center"/>
        </w:trPr>
        <w:tc>
          <w:tcPr>
            <w:tcW w:w="768" w:type="dxa"/>
            <w:vAlign w:val="center"/>
          </w:tcPr>
          <w:p w:rsidR="00651D53" w:rsidRDefault="00702C7E">
            <w:pPr>
              <w:jc w:val="center"/>
            </w:pPr>
            <w:r>
              <w:rPr>
                <w:rFonts w:hint="eastAsia"/>
                <w:sz w:val="24"/>
              </w:rPr>
              <w:t>9</w:t>
            </w:r>
          </w:p>
        </w:tc>
        <w:tc>
          <w:tcPr>
            <w:tcW w:w="1329" w:type="dxa"/>
            <w:vAlign w:val="center"/>
          </w:tcPr>
          <w:p w:rsidR="00651D53" w:rsidRDefault="00702C7E">
            <w:pPr>
              <w:jc w:val="center"/>
            </w:pPr>
            <w:r>
              <w:rPr>
                <w:rFonts w:hint="eastAsia"/>
                <w:sz w:val="24"/>
              </w:rPr>
              <w:t>111988009</w:t>
            </w:r>
          </w:p>
        </w:tc>
        <w:tc>
          <w:tcPr>
            <w:tcW w:w="1762" w:type="dxa"/>
            <w:vAlign w:val="center"/>
          </w:tcPr>
          <w:p w:rsidR="00651D53" w:rsidRDefault="00702C7E">
            <w:pPr>
              <w:jc w:val="center"/>
            </w:pPr>
            <w:r>
              <w:rPr>
                <w:rFonts w:hint="eastAsia"/>
                <w:sz w:val="24"/>
              </w:rPr>
              <w:t>19</w:t>
            </w:r>
            <w:r>
              <w:rPr>
                <w:rFonts w:hint="eastAsia"/>
                <w:sz w:val="24"/>
              </w:rPr>
              <w:t>东莞农村商业银行</w:t>
            </w:r>
            <w:r>
              <w:rPr>
                <w:rFonts w:hint="eastAsia"/>
                <w:sz w:val="24"/>
              </w:rPr>
              <w:t>CD071</w:t>
            </w:r>
          </w:p>
        </w:tc>
        <w:tc>
          <w:tcPr>
            <w:tcW w:w="1731" w:type="dxa"/>
            <w:vAlign w:val="center"/>
          </w:tcPr>
          <w:p w:rsidR="00651D53" w:rsidRDefault="00702C7E">
            <w:pPr>
              <w:jc w:val="center"/>
            </w:pPr>
            <w:r>
              <w:rPr>
                <w:rFonts w:hint="eastAsia"/>
                <w:sz w:val="24"/>
              </w:rPr>
              <w:t>3,300,000</w:t>
            </w:r>
          </w:p>
        </w:tc>
        <w:tc>
          <w:tcPr>
            <w:tcW w:w="1980" w:type="dxa"/>
            <w:vAlign w:val="center"/>
          </w:tcPr>
          <w:p w:rsidR="00651D53" w:rsidRDefault="00702C7E">
            <w:pPr>
              <w:jc w:val="center"/>
            </w:pPr>
            <w:r>
              <w:rPr>
                <w:rFonts w:hint="eastAsia"/>
                <w:sz w:val="24"/>
              </w:rPr>
              <w:t>327,979,189.54</w:t>
            </w:r>
          </w:p>
        </w:tc>
        <w:tc>
          <w:tcPr>
            <w:tcW w:w="1520" w:type="dxa"/>
            <w:vAlign w:val="center"/>
          </w:tcPr>
          <w:p w:rsidR="00651D53" w:rsidRDefault="00702C7E">
            <w:pPr>
              <w:jc w:val="center"/>
            </w:pPr>
            <w:r>
              <w:rPr>
                <w:rFonts w:hint="eastAsia"/>
                <w:sz w:val="24"/>
              </w:rPr>
              <w:t>0.94</w:t>
            </w:r>
          </w:p>
        </w:tc>
      </w:tr>
      <w:tr w:rsidR="00651D53">
        <w:trPr>
          <w:jc w:val="center"/>
        </w:trPr>
        <w:tc>
          <w:tcPr>
            <w:tcW w:w="768" w:type="dxa"/>
            <w:vAlign w:val="center"/>
          </w:tcPr>
          <w:p w:rsidR="00651D53" w:rsidRDefault="00702C7E">
            <w:pPr>
              <w:jc w:val="center"/>
            </w:pPr>
            <w:r>
              <w:rPr>
                <w:rFonts w:hint="eastAsia"/>
                <w:sz w:val="24"/>
              </w:rPr>
              <w:t>10</w:t>
            </w:r>
          </w:p>
        </w:tc>
        <w:tc>
          <w:tcPr>
            <w:tcW w:w="1329" w:type="dxa"/>
            <w:vAlign w:val="center"/>
          </w:tcPr>
          <w:p w:rsidR="00651D53" w:rsidRDefault="00702C7E">
            <w:pPr>
              <w:jc w:val="center"/>
            </w:pPr>
            <w:r>
              <w:rPr>
                <w:rFonts w:hint="eastAsia"/>
                <w:sz w:val="24"/>
              </w:rPr>
              <w:t>111988014</w:t>
            </w:r>
          </w:p>
        </w:tc>
        <w:tc>
          <w:tcPr>
            <w:tcW w:w="1762" w:type="dxa"/>
            <w:vAlign w:val="center"/>
          </w:tcPr>
          <w:p w:rsidR="00651D53" w:rsidRDefault="00702C7E">
            <w:pPr>
              <w:jc w:val="center"/>
            </w:pPr>
            <w:r>
              <w:rPr>
                <w:rFonts w:hint="eastAsia"/>
                <w:sz w:val="24"/>
              </w:rPr>
              <w:t>19</w:t>
            </w:r>
            <w:r>
              <w:rPr>
                <w:rFonts w:hint="eastAsia"/>
                <w:sz w:val="24"/>
              </w:rPr>
              <w:t>华融湘江银行</w:t>
            </w:r>
            <w:r>
              <w:rPr>
                <w:rFonts w:hint="eastAsia"/>
                <w:sz w:val="24"/>
              </w:rPr>
              <w:t>CD129</w:t>
            </w:r>
          </w:p>
        </w:tc>
        <w:tc>
          <w:tcPr>
            <w:tcW w:w="1731" w:type="dxa"/>
            <w:vAlign w:val="center"/>
          </w:tcPr>
          <w:p w:rsidR="00651D53" w:rsidRDefault="00702C7E">
            <w:pPr>
              <w:jc w:val="center"/>
            </w:pPr>
            <w:r>
              <w:rPr>
                <w:rFonts w:hint="eastAsia"/>
                <w:sz w:val="24"/>
              </w:rPr>
              <w:t>3,300,000</w:t>
            </w:r>
          </w:p>
        </w:tc>
        <w:tc>
          <w:tcPr>
            <w:tcW w:w="1980" w:type="dxa"/>
            <w:vAlign w:val="center"/>
          </w:tcPr>
          <w:p w:rsidR="00651D53" w:rsidRDefault="00702C7E">
            <w:pPr>
              <w:jc w:val="center"/>
            </w:pPr>
            <w:r>
              <w:rPr>
                <w:rFonts w:hint="eastAsia"/>
                <w:sz w:val="24"/>
              </w:rPr>
              <w:t>325,361,282.07</w:t>
            </w:r>
          </w:p>
        </w:tc>
        <w:tc>
          <w:tcPr>
            <w:tcW w:w="1520" w:type="dxa"/>
            <w:vAlign w:val="center"/>
          </w:tcPr>
          <w:p w:rsidR="00651D53" w:rsidRDefault="00702C7E">
            <w:pPr>
              <w:jc w:val="center"/>
            </w:pPr>
            <w:r>
              <w:rPr>
                <w:rFonts w:hint="eastAsia"/>
                <w:sz w:val="24"/>
              </w:rPr>
              <w:t>0.93</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35962157"/>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lastRenderedPageBreak/>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0.0938%</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0.0066%</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0.0404%</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35962158"/>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0D553C" w:rsidP="009770D6">
            <w:pPr>
              <w:spacing w:before="29" w:line="288" w:lineRule="auto"/>
              <w:jc w:val="center"/>
              <w:rPr>
                <w:sz w:val="24"/>
              </w:rPr>
            </w:pPr>
            <w:r>
              <w:rPr>
                <w:rFonts w:hint="eastAsia"/>
                <w:sz w:val="24"/>
              </w:rPr>
              <w:t>摊余成本</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651D53">
        <w:tc>
          <w:tcPr>
            <w:tcW w:w="1257" w:type="dxa"/>
            <w:vAlign w:val="center"/>
          </w:tcPr>
          <w:p w:rsidR="00651D53" w:rsidRDefault="00702C7E">
            <w:pPr>
              <w:jc w:val="center"/>
            </w:pPr>
            <w:r>
              <w:rPr>
                <w:rFonts w:hint="eastAsia"/>
                <w:sz w:val="24"/>
              </w:rPr>
              <w:t>1</w:t>
            </w:r>
          </w:p>
        </w:tc>
        <w:tc>
          <w:tcPr>
            <w:tcW w:w="1355" w:type="dxa"/>
            <w:vAlign w:val="center"/>
          </w:tcPr>
          <w:p w:rsidR="00651D53" w:rsidRDefault="00702C7E">
            <w:pPr>
              <w:jc w:val="center"/>
            </w:pPr>
            <w:r>
              <w:rPr>
                <w:rFonts w:hint="eastAsia"/>
                <w:sz w:val="24"/>
              </w:rPr>
              <w:t>165334</w:t>
            </w:r>
          </w:p>
        </w:tc>
        <w:tc>
          <w:tcPr>
            <w:tcW w:w="1405" w:type="dxa"/>
            <w:vAlign w:val="center"/>
          </w:tcPr>
          <w:p w:rsidR="00651D53" w:rsidRDefault="00702C7E">
            <w:pPr>
              <w:jc w:val="center"/>
            </w:pPr>
            <w:r>
              <w:rPr>
                <w:rFonts w:hint="eastAsia"/>
                <w:sz w:val="24"/>
              </w:rPr>
              <w:t>信泽</w:t>
            </w:r>
            <w:r>
              <w:rPr>
                <w:rFonts w:hint="eastAsia"/>
                <w:sz w:val="24"/>
              </w:rPr>
              <w:t>06A1</w:t>
            </w:r>
          </w:p>
        </w:tc>
        <w:tc>
          <w:tcPr>
            <w:tcW w:w="1566" w:type="dxa"/>
            <w:vAlign w:val="center"/>
          </w:tcPr>
          <w:p w:rsidR="00651D53" w:rsidRDefault="00702C7E">
            <w:pPr>
              <w:jc w:val="right"/>
            </w:pPr>
            <w:r>
              <w:rPr>
                <w:rFonts w:hint="eastAsia"/>
                <w:sz w:val="24"/>
              </w:rPr>
              <w:t>500,000</w:t>
            </w:r>
          </w:p>
        </w:tc>
        <w:tc>
          <w:tcPr>
            <w:tcW w:w="1689" w:type="dxa"/>
            <w:vAlign w:val="center"/>
          </w:tcPr>
          <w:p w:rsidR="00651D53" w:rsidRDefault="00702C7E">
            <w:pPr>
              <w:jc w:val="right"/>
            </w:pPr>
            <w:r>
              <w:rPr>
                <w:rFonts w:hint="eastAsia"/>
                <w:sz w:val="24"/>
              </w:rPr>
              <w:t>50,000,000.00</w:t>
            </w:r>
          </w:p>
        </w:tc>
        <w:tc>
          <w:tcPr>
            <w:tcW w:w="1726" w:type="dxa"/>
            <w:vAlign w:val="center"/>
          </w:tcPr>
          <w:p w:rsidR="00651D53" w:rsidRDefault="00702C7E">
            <w:pPr>
              <w:jc w:val="right"/>
            </w:pPr>
            <w:r>
              <w:rPr>
                <w:rFonts w:hint="eastAsia"/>
                <w:sz w:val="24"/>
              </w:rPr>
              <w:t>0.14</w:t>
            </w:r>
          </w:p>
        </w:tc>
      </w:tr>
      <w:tr w:rsidR="00651D53">
        <w:tc>
          <w:tcPr>
            <w:tcW w:w="1257" w:type="dxa"/>
            <w:vAlign w:val="center"/>
          </w:tcPr>
          <w:p w:rsidR="00651D53" w:rsidRDefault="00702C7E">
            <w:pPr>
              <w:jc w:val="center"/>
            </w:pPr>
            <w:r>
              <w:rPr>
                <w:rFonts w:hint="eastAsia"/>
                <w:sz w:val="24"/>
              </w:rPr>
              <w:t>2</w:t>
            </w:r>
          </w:p>
        </w:tc>
        <w:tc>
          <w:tcPr>
            <w:tcW w:w="1355" w:type="dxa"/>
            <w:vAlign w:val="center"/>
          </w:tcPr>
          <w:p w:rsidR="00651D53" w:rsidRDefault="00702C7E">
            <w:pPr>
              <w:jc w:val="center"/>
            </w:pPr>
            <w:r>
              <w:rPr>
                <w:rFonts w:hint="eastAsia"/>
                <w:sz w:val="24"/>
              </w:rPr>
              <w:t>138222</w:t>
            </w:r>
          </w:p>
        </w:tc>
        <w:tc>
          <w:tcPr>
            <w:tcW w:w="1405" w:type="dxa"/>
            <w:vAlign w:val="center"/>
          </w:tcPr>
          <w:p w:rsidR="00651D53" w:rsidRDefault="00702C7E">
            <w:pPr>
              <w:jc w:val="center"/>
            </w:pPr>
            <w:r>
              <w:rPr>
                <w:rFonts w:hint="eastAsia"/>
                <w:sz w:val="24"/>
              </w:rPr>
              <w:t>煦日</w:t>
            </w:r>
            <w:r>
              <w:rPr>
                <w:rFonts w:hint="eastAsia"/>
                <w:sz w:val="24"/>
              </w:rPr>
              <w:t>03A1</w:t>
            </w:r>
          </w:p>
        </w:tc>
        <w:tc>
          <w:tcPr>
            <w:tcW w:w="1566" w:type="dxa"/>
            <w:vAlign w:val="center"/>
          </w:tcPr>
          <w:p w:rsidR="00651D53" w:rsidRDefault="00702C7E">
            <w:pPr>
              <w:jc w:val="right"/>
            </w:pPr>
            <w:r>
              <w:rPr>
                <w:rFonts w:hint="eastAsia"/>
                <w:sz w:val="24"/>
              </w:rPr>
              <w:t>200,000</w:t>
            </w:r>
          </w:p>
        </w:tc>
        <w:tc>
          <w:tcPr>
            <w:tcW w:w="1689" w:type="dxa"/>
            <w:vAlign w:val="center"/>
          </w:tcPr>
          <w:p w:rsidR="00651D53" w:rsidRDefault="00702C7E">
            <w:pPr>
              <w:jc w:val="right"/>
            </w:pPr>
            <w:r>
              <w:rPr>
                <w:rFonts w:hint="eastAsia"/>
                <w:sz w:val="24"/>
              </w:rPr>
              <w:t>20,000,000.00</w:t>
            </w:r>
          </w:p>
        </w:tc>
        <w:tc>
          <w:tcPr>
            <w:tcW w:w="1726" w:type="dxa"/>
            <w:vAlign w:val="center"/>
          </w:tcPr>
          <w:p w:rsidR="00651D53" w:rsidRDefault="00702C7E">
            <w:pPr>
              <w:jc w:val="right"/>
            </w:pPr>
            <w:r>
              <w:rPr>
                <w:rFonts w:hint="eastAsia"/>
                <w:sz w:val="24"/>
              </w:rPr>
              <w:t>0.06</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35962159"/>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120,282,235.47</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13,327.47</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lastRenderedPageBreak/>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120,295,562.94</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35962160"/>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35962161"/>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交银活期通货币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2,290,742</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6,852.47</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662,725.44</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15,696,580,346.75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100.00%</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交银活期通货币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89</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215,415,850.81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19,171,982,686.37</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28,035.63</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0.00%</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2,290,831</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15,221.22</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19,172,645,411.81</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54.98%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15,696,608,382.38</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45.02%</w:t>
            </w:r>
          </w:p>
        </w:tc>
      </w:tr>
    </w:tbl>
    <w:p w:rsidR="00A66BB5" w:rsidRPr="000108F8" w:rsidRDefault="00A66BB5" w:rsidP="004B36C2">
      <w:pPr>
        <w:spacing w:line="360" w:lineRule="auto"/>
        <w:rPr>
          <w:rFonts w:asciiTheme="minorEastAsia" w:eastAsiaTheme="minorEastAsia" w:hAnsiTheme="minorEastAsia"/>
          <w:szCs w:val="21"/>
        </w:rPr>
      </w:pPr>
    </w:p>
    <w:p w:rsidR="001B0E7B" w:rsidRPr="002379AA" w:rsidRDefault="001B0E7B" w:rsidP="002379AA">
      <w:pPr>
        <w:pStyle w:val="20"/>
        <w:spacing w:before="29" w:after="0" w:line="288" w:lineRule="auto"/>
        <w:rPr>
          <w:rFonts w:ascii="Times New Roman" w:hAnsi="Times New Roman" w:cs="Times New Roman"/>
          <w:kern w:val="0"/>
          <w:szCs w:val="24"/>
        </w:rPr>
      </w:pPr>
      <w:bookmarkStart w:id="98" w:name="_Toc35962162"/>
      <w:r w:rsidRPr="002379AA">
        <w:rPr>
          <w:rFonts w:ascii="Times New Roman" w:hAnsi="Times New Roman" w:cs="Times New Roman"/>
          <w:kern w:val="0"/>
          <w:szCs w:val="24"/>
        </w:rPr>
        <w:t xml:space="preserve">9.2 </w:t>
      </w:r>
      <w:r w:rsidRPr="002379AA">
        <w:rPr>
          <w:rFonts w:ascii="Times New Roman" w:hAnsi="Times New Roman" w:cs="Times New Roman" w:hint="eastAsia"/>
          <w:kern w:val="0"/>
          <w:szCs w:val="24"/>
        </w:rPr>
        <w:t>期末货币市场基金前十名份额持有人情况</w:t>
      </w:r>
      <w:bookmarkEnd w:id="98"/>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651D53">
        <w:tc>
          <w:tcPr>
            <w:tcW w:w="0" w:type="auto"/>
            <w:vAlign w:val="center"/>
          </w:tcPr>
          <w:p w:rsidR="00651D53" w:rsidRDefault="00702C7E">
            <w:pPr>
              <w:jc w:val="right"/>
            </w:pPr>
            <w:r>
              <w:rPr>
                <w:rFonts w:eastAsiaTheme="minorEastAsia"/>
                <w:color w:val="000000" w:themeColor="text1"/>
                <w:szCs w:val="21"/>
              </w:rPr>
              <w:t>1</w:t>
            </w:r>
          </w:p>
        </w:tc>
        <w:tc>
          <w:tcPr>
            <w:tcW w:w="0" w:type="auto"/>
            <w:vAlign w:val="center"/>
          </w:tcPr>
          <w:p w:rsidR="00651D53" w:rsidRDefault="00702C7E">
            <w:pPr>
              <w:jc w:val="right"/>
            </w:pPr>
            <w:r>
              <w:rPr>
                <w:rFonts w:eastAsiaTheme="minorEastAsia"/>
                <w:color w:val="000000" w:themeColor="text1"/>
                <w:szCs w:val="21"/>
              </w:rPr>
              <w:t>银行类机构</w:t>
            </w:r>
          </w:p>
        </w:tc>
        <w:tc>
          <w:tcPr>
            <w:tcW w:w="0" w:type="auto"/>
            <w:vAlign w:val="center"/>
          </w:tcPr>
          <w:p w:rsidR="00651D53" w:rsidRDefault="00702C7E">
            <w:pPr>
              <w:jc w:val="right"/>
            </w:pPr>
            <w:r>
              <w:rPr>
                <w:rFonts w:eastAsiaTheme="minorEastAsia"/>
                <w:color w:val="000000" w:themeColor="text1"/>
                <w:szCs w:val="21"/>
              </w:rPr>
              <w:t>6,054,405,317.19</w:t>
            </w:r>
          </w:p>
        </w:tc>
        <w:tc>
          <w:tcPr>
            <w:tcW w:w="0" w:type="auto"/>
            <w:vAlign w:val="center"/>
          </w:tcPr>
          <w:p w:rsidR="00651D53" w:rsidRDefault="00702C7E">
            <w:pPr>
              <w:jc w:val="right"/>
            </w:pPr>
            <w:r>
              <w:rPr>
                <w:rFonts w:eastAsiaTheme="minorEastAsia"/>
                <w:color w:val="000000" w:themeColor="text1"/>
                <w:szCs w:val="21"/>
              </w:rPr>
              <w:t>17.36%</w:t>
            </w:r>
          </w:p>
        </w:tc>
      </w:tr>
      <w:tr w:rsidR="00651D53">
        <w:tc>
          <w:tcPr>
            <w:tcW w:w="0" w:type="auto"/>
            <w:vAlign w:val="center"/>
          </w:tcPr>
          <w:p w:rsidR="00651D53" w:rsidRDefault="00702C7E">
            <w:pPr>
              <w:jc w:val="right"/>
            </w:pPr>
            <w:r>
              <w:rPr>
                <w:rFonts w:eastAsiaTheme="minorEastAsia"/>
                <w:color w:val="000000" w:themeColor="text1"/>
                <w:szCs w:val="21"/>
              </w:rPr>
              <w:t>2</w:t>
            </w:r>
          </w:p>
        </w:tc>
        <w:tc>
          <w:tcPr>
            <w:tcW w:w="0" w:type="auto"/>
            <w:vAlign w:val="center"/>
          </w:tcPr>
          <w:p w:rsidR="00651D53" w:rsidRDefault="00702C7E">
            <w:pPr>
              <w:jc w:val="right"/>
            </w:pPr>
            <w:r>
              <w:rPr>
                <w:rFonts w:eastAsiaTheme="minorEastAsia"/>
                <w:color w:val="000000" w:themeColor="text1"/>
                <w:szCs w:val="21"/>
              </w:rPr>
              <w:t>银行类机构</w:t>
            </w:r>
          </w:p>
        </w:tc>
        <w:tc>
          <w:tcPr>
            <w:tcW w:w="0" w:type="auto"/>
            <w:vAlign w:val="center"/>
          </w:tcPr>
          <w:p w:rsidR="00651D53" w:rsidRDefault="00702C7E">
            <w:pPr>
              <w:jc w:val="right"/>
            </w:pPr>
            <w:r>
              <w:rPr>
                <w:rFonts w:eastAsiaTheme="minorEastAsia"/>
                <w:color w:val="000000" w:themeColor="text1"/>
                <w:szCs w:val="21"/>
              </w:rPr>
              <w:t>2,015,282,684.70</w:t>
            </w:r>
          </w:p>
        </w:tc>
        <w:tc>
          <w:tcPr>
            <w:tcW w:w="0" w:type="auto"/>
            <w:vAlign w:val="center"/>
          </w:tcPr>
          <w:p w:rsidR="00651D53" w:rsidRDefault="00702C7E">
            <w:pPr>
              <w:jc w:val="right"/>
            </w:pPr>
            <w:r>
              <w:rPr>
                <w:rFonts w:eastAsiaTheme="minorEastAsia"/>
                <w:color w:val="000000" w:themeColor="text1"/>
                <w:szCs w:val="21"/>
              </w:rPr>
              <w:t>5.78%</w:t>
            </w:r>
          </w:p>
        </w:tc>
      </w:tr>
      <w:tr w:rsidR="00651D53">
        <w:tc>
          <w:tcPr>
            <w:tcW w:w="0" w:type="auto"/>
            <w:vAlign w:val="center"/>
          </w:tcPr>
          <w:p w:rsidR="00651D53" w:rsidRDefault="00702C7E">
            <w:pPr>
              <w:jc w:val="right"/>
            </w:pPr>
            <w:r>
              <w:rPr>
                <w:rFonts w:eastAsiaTheme="minorEastAsia"/>
                <w:color w:val="000000" w:themeColor="text1"/>
                <w:szCs w:val="21"/>
              </w:rPr>
              <w:t>3</w:t>
            </w:r>
          </w:p>
        </w:tc>
        <w:tc>
          <w:tcPr>
            <w:tcW w:w="0" w:type="auto"/>
            <w:vAlign w:val="center"/>
          </w:tcPr>
          <w:p w:rsidR="00651D53" w:rsidRDefault="00702C7E">
            <w:pPr>
              <w:jc w:val="right"/>
            </w:pPr>
            <w:r>
              <w:rPr>
                <w:rFonts w:eastAsiaTheme="minorEastAsia"/>
                <w:color w:val="000000" w:themeColor="text1"/>
                <w:szCs w:val="21"/>
              </w:rPr>
              <w:t>银行类机构</w:t>
            </w:r>
          </w:p>
        </w:tc>
        <w:tc>
          <w:tcPr>
            <w:tcW w:w="0" w:type="auto"/>
            <w:vAlign w:val="center"/>
          </w:tcPr>
          <w:p w:rsidR="00651D53" w:rsidRDefault="00702C7E">
            <w:pPr>
              <w:jc w:val="right"/>
            </w:pPr>
            <w:r>
              <w:rPr>
                <w:rFonts w:eastAsiaTheme="minorEastAsia"/>
                <w:color w:val="000000" w:themeColor="text1"/>
                <w:szCs w:val="21"/>
              </w:rPr>
              <w:t>1,428,919,601.63</w:t>
            </w:r>
          </w:p>
        </w:tc>
        <w:tc>
          <w:tcPr>
            <w:tcW w:w="0" w:type="auto"/>
            <w:vAlign w:val="center"/>
          </w:tcPr>
          <w:p w:rsidR="00651D53" w:rsidRDefault="00702C7E">
            <w:pPr>
              <w:jc w:val="right"/>
            </w:pPr>
            <w:r>
              <w:rPr>
                <w:rFonts w:eastAsiaTheme="minorEastAsia"/>
                <w:color w:val="000000" w:themeColor="text1"/>
                <w:szCs w:val="21"/>
              </w:rPr>
              <w:t>4.10%</w:t>
            </w:r>
          </w:p>
        </w:tc>
      </w:tr>
      <w:tr w:rsidR="00651D53">
        <w:tc>
          <w:tcPr>
            <w:tcW w:w="0" w:type="auto"/>
            <w:vAlign w:val="center"/>
          </w:tcPr>
          <w:p w:rsidR="00651D53" w:rsidRDefault="00702C7E">
            <w:pPr>
              <w:jc w:val="right"/>
            </w:pPr>
            <w:r>
              <w:rPr>
                <w:rFonts w:eastAsiaTheme="minorEastAsia"/>
                <w:color w:val="000000" w:themeColor="text1"/>
                <w:szCs w:val="21"/>
              </w:rPr>
              <w:t>4</w:t>
            </w:r>
          </w:p>
        </w:tc>
        <w:tc>
          <w:tcPr>
            <w:tcW w:w="0" w:type="auto"/>
            <w:vAlign w:val="center"/>
          </w:tcPr>
          <w:p w:rsidR="00651D53" w:rsidRDefault="00702C7E">
            <w:pPr>
              <w:jc w:val="right"/>
            </w:pPr>
            <w:r>
              <w:rPr>
                <w:rFonts w:eastAsiaTheme="minorEastAsia"/>
                <w:color w:val="000000" w:themeColor="text1"/>
                <w:szCs w:val="21"/>
              </w:rPr>
              <w:t>银行类机构</w:t>
            </w:r>
          </w:p>
        </w:tc>
        <w:tc>
          <w:tcPr>
            <w:tcW w:w="0" w:type="auto"/>
            <w:vAlign w:val="center"/>
          </w:tcPr>
          <w:p w:rsidR="00651D53" w:rsidRDefault="00702C7E">
            <w:pPr>
              <w:jc w:val="right"/>
            </w:pPr>
            <w:r>
              <w:rPr>
                <w:rFonts w:eastAsiaTheme="minorEastAsia"/>
                <w:color w:val="000000" w:themeColor="text1"/>
                <w:szCs w:val="21"/>
              </w:rPr>
              <w:t>1,016,323,093.47</w:t>
            </w:r>
          </w:p>
        </w:tc>
        <w:tc>
          <w:tcPr>
            <w:tcW w:w="0" w:type="auto"/>
            <w:vAlign w:val="center"/>
          </w:tcPr>
          <w:p w:rsidR="00651D53" w:rsidRDefault="00702C7E">
            <w:pPr>
              <w:jc w:val="right"/>
            </w:pPr>
            <w:r>
              <w:rPr>
                <w:rFonts w:eastAsiaTheme="minorEastAsia"/>
                <w:color w:val="000000" w:themeColor="text1"/>
                <w:szCs w:val="21"/>
              </w:rPr>
              <w:t>2.91%</w:t>
            </w:r>
          </w:p>
        </w:tc>
      </w:tr>
      <w:tr w:rsidR="00651D53">
        <w:tc>
          <w:tcPr>
            <w:tcW w:w="0" w:type="auto"/>
            <w:vAlign w:val="center"/>
          </w:tcPr>
          <w:p w:rsidR="00651D53" w:rsidRDefault="00702C7E">
            <w:pPr>
              <w:jc w:val="right"/>
            </w:pPr>
            <w:r>
              <w:rPr>
                <w:rFonts w:eastAsiaTheme="minorEastAsia"/>
                <w:color w:val="000000" w:themeColor="text1"/>
                <w:szCs w:val="21"/>
              </w:rPr>
              <w:t>5</w:t>
            </w:r>
          </w:p>
        </w:tc>
        <w:tc>
          <w:tcPr>
            <w:tcW w:w="0" w:type="auto"/>
            <w:vAlign w:val="center"/>
          </w:tcPr>
          <w:p w:rsidR="00651D53" w:rsidRDefault="00702C7E">
            <w:pPr>
              <w:jc w:val="right"/>
            </w:pPr>
            <w:r>
              <w:rPr>
                <w:rFonts w:eastAsiaTheme="minorEastAsia"/>
                <w:color w:val="000000" w:themeColor="text1"/>
                <w:szCs w:val="21"/>
              </w:rPr>
              <w:t>银行类机构</w:t>
            </w:r>
          </w:p>
        </w:tc>
        <w:tc>
          <w:tcPr>
            <w:tcW w:w="0" w:type="auto"/>
            <w:vAlign w:val="center"/>
          </w:tcPr>
          <w:p w:rsidR="00651D53" w:rsidRDefault="00702C7E">
            <w:pPr>
              <w:jc w:val="right"/>
            </w:pPr>
            <w:r>
              <w:rPr>
                <w:rFonts w:eastAsiaTheme="minorEastAsia"/>
                <w:color w:val="000000" w:themeColor="text1"/>
                <w:szCs w:val="21"/>
              </w:rPr>
              <w:t>1,013,560,779.98</w:t>
            </w:r>
          </w:p>
        </w:tc>
        <w:tc>
          <w:tcPr>
            <w:tcW w:w="0" w:type="auto"/>
            <w:vAlign w:val="center"/>
          </w:tcPr>
          <w:p w:rsidR="00651D53" w:rsidRDefault="00702C7E">
            <w:pPr>
              <w:jc w:val="right"/>
            </w:pPr>
            <w:r>
              <w:rPr>
                <w:rFonts w:eastAsiaTheme="minorEastAsia"/>
                <w:color w:val="000000" w:themeColor="text1"/>
                <w:szCs w:val="21"/>
              </w:rPr>
              <w:t>2.91%</w:t>
            </w:r>
          </w:p>
        </w:tc>
      </w:tr>
      <w:tr w:rsidR="00651D53">
        <w:tc>
          <w:tcPr>
            <w:tcW w:w="0" w:type="auto"/>
            <w:vAlign w:val="center"/>
          </w:tcPr>
          <w:p w:rsidR="00651D53" w:rsidRDefault="00702C7E">
            <w:pPr>
              <w:jc w:val="right"/>
            </w:pPr>
            <w:r>
              <w:rPr>
                <w:rFonts w:eastAsiaTheme="minorEastAsia"/>
                <w:color w:val="000000" w:themeColor="text1"/>
                <w:szCs w:val="21"/>
              </w:rPr>
              <w:t>6</w:t>
            </w:r>
          </w:p>
        </w:tc>
        <w:tc>
          <w:tcPr>
            <w:tcW w:w="0" w:type="auto"/>
            <w:vAlign w:val="center"/>
          </w:tcPr>
          <w:p w:rsidR="00651D53" w:rsidRDefault="00702C7E">
            <w:pPr>
              <w:jc w:val="right"/>
            </w:pPr>
            <w:r>
              <w:rPr>
                <w:rFonts w:eastAsiaTheme="minorEastAsia"/>
                <w:color w:val="000000" w:themeColor="text1"/>
                <w:szCs w:val="21"/>
              </w:rPr>
              <w:t>银行类机构</w:t>
            </w:r>
          </w:p>
        </w:tc>
        <w:tc>
          <w:tcPr>
            <w:tcW w:w="0" w:type="auto"/>
            <w:vAlign w:val="center"/>
          </w:tcPr>
          <w:p w:rsidR="00651D53" w:rsidRDefault="00702C7E">
            <w:pPr>
              <w:jc w:val="right"/>
            </w:pPr>
            <w:r>
              <w:rPr>
                <w:rFonts w:eastAsiaTheme="minorEastAsia"/>
                <w:color w:val="000000" w:themeColor="text1"/>
                <w:szCs w:val="21"/>
              </w:rPr>
              <w:t>901,945,978.33</w:t>
            </w:r>
          </w:p>
        </w:tc>
        <w:tc>
          <w:tcPr>
            <w:tcW w:w="0" w:type="auto"/>
            <w:vAlign w:val="center"/>
          </w:tcPr>
          <w:p w:rsidR="00651D53" w:rsidRDefault="00702C7E">
            <w:pPr>
              <w:jc w:val="right"/>
            </w:pPr>
            <w:r>
              <w:rPr>
                <w:rFonts w:eastAsiaTheme="minorEastAsia"/>
                <w:color w:val="000000" w:themeColor="text1"/>
                <w:szCs w:val="21"/>
              </w:rPr>
              <w:t>2.59%</w:t>
            </w:r>
          </w:p>
        </w:tc>
      </w:tr>
      <w:tr w:rsidR="00651D53">
        <w:tc>
          <w:tcPr>
            <w:tcW w:w="0" w:type="auto"/>
            <w:vAlign w:val="center"/>
          </w:tcPr>
          <w:p w:rsidR="00651D53" w:rsidRDefault="00702C7E">
            <w:pPr>
              <w:jc w:val="right"/>
            </w:pPr>
            <w:r>
              <w:rPr>
                <w:rFonts w:eastAsiaTheme="minorEastAsia"/>
                <w:color w:val="000000" w:themeColor="text1"/>
                <w:szCs w:val="21"/>
              </w:rPr>
              <w:t>7</w:t>
            </w:r>
          </w:p>
        </w:tc>
        <w:tc>
          <w:tcPr>
            <w:tcW w:w="0" w:type="auto"/>
            <w:vAlign w:val="center"/>
          </w:tcPr>
          <w:p w:rsidR="00651D53" w:rsidRDefault="00702C7E">
            <w:pPr>
              <w:jc w:val="right"/>
            </w:pPr>
            <w:r>
              <w:rPr>
                <w:rFonts w:eastAsiaTheme="minorEastAsia"/>
                <w:color w:val="000000" w:themeColor="text1"/>
                <w:szCs w:val="21"/>
              </w:rPr>
              <w:t>银行类机构</w:t>
            </w:r>
          </w:p>
        </w:tc>
        <w:tc>
          <w:tcPr>
            <w:tcW w:w="0" w:type="auto"/>
            <w:vAlign w:val="center"/>
          </w:tcPr>
          <w:p w:rsidR="00651D53" w:rsidRDefault="00702C7E">
            <w:pPr>
              <w:jc w:val="right"/>
            </w:pPr>
            <w:r>
              <w:rPr>
                <w:rFonts w:eastAsiaTheme="minorEastAsia"/>
                <w:color w:val="000000" w:themeColor="text1"/>
                <w:szCs w:val="21"/>
              </w:rPr>
              <w:t>660,309,619.71</w:t>
            </w:r>
          </w:p>
        </w:tc>
        <w:tc>
          <w:tcPr>
            <w:tcW w:w="0" w:type="auto"/>
            <w:vAlign w:val="center"/>
          </w:tcPr>
          <w:p w:rsidR="00651D53" w:rsidRDefault="00702C7E">
            <w:pPr>
              <w:jc w:val="right"/>
            </w:pPr>
            <w:r>
              <w:rPr>
                <w:rFonts w:eastAsiaTheme="minorEastAsia"/>
                <w:color w:val="000000" w:themeColor="text1"/>
                <w:szCs w:val="21"/>
              </w:rPr>
              <w:t>1.89%</w:t>
            </w:r>
          </w:p>
        </w:tc>
      </w:tr>
      <w:tr w:rsidR="00651D53">
        <w:tc>
          <w:tcPr>
            <w:tcW w:w="0" w:type="auto"/>
            <w:vAlign w:val="center"/>
          </w:tcPr>
          <w:p w:rsidR="00651D53" w:rsidRDefault="00702C7E">
            <w:pPr>
              <w:jc w:val="right"/>
            </w:pPr>
            <w:r>
              <w:rPr>
                <w:rFonts w:eastAsiaTheme="minorEastAsia"/>
                <w:color w:val="000000" w:themeColor="text1"/>
                <w:szCs w:val="21"/>
              </w:rPr>
              <w:t>8</w:t>
            </w:r>
          </w:p>
        </w:tc>
        <w:tc>
          <w:tcPr>
            <w:tcW w:w="0" w:type="auto"/>
            <w:vAlign w:val="center"/>
          </w:tcPr>
          <w:p w:rsidR="00651D53" w:rsidRDefault="00702C7E">
            <w:pPr>
              <w:jc w:val="right"/>
            </w:pPr>
            <w:r>
              <w:rPr>
                <w:rFonts w:eastAsiaTheme="minorEastAsia"/>
                <w:color w:val="000000" w:themeColor="text1"/>
                <w:szCs w:val="21"/>
              </w:rPr>
              <w:t>银行类机构</w:t>
            </w:r>
          </w:p>
        </w:tc>
        <w:tc>
          <w:tcPr>
            <w:tcW w:w="0" w:type="auto"/>
            <w:vAlign w:val="center"/>
          </w:tcPr>
          <w:p w:rsidR="00651D53" w:rsidRDefault="00702C7E">
            <w:pPr>
              <w:jc w:val="right"/>
            </w:pPr>
            <w:r>
              <w:rPr>
                <w:rFonts w:eastAsiaTheme="minorEastAsia"/>
                <w:color w:val="000000" w:themeColor="text1"/>
                <w:szCs w:val="21"/>
              </w:rPr>
              <w:t>500,229,179.54</w:t>
            </w:r>
          </w:p>
        </w:tc>
        <w:tc>
          <w:tcPr>
            <w:tcW w:w="0" w:type="auto"/>
            <w:vAlign w:val="center"/>
          </w:tcPr>
          <w:p w:rsidR="00651D53" w:rsidRDefault="00702C7E">
            <w:pPr>
              <w:jc w:val="right"/>
            </w:pPr>
            <w:r>
              <w:rPr>
                <w:rFonts w:eastAsiaTheme="minorEastAsia"/>
                <w:color w:val="000000" w:themeColor="text1"/>
                <w:szCs w:val="21"/>
              </w:rPr>
              <w:t>1.43%</w:t>
            </w:r>
          </w:p>
        </w:tc>
      </w:tr>
      <w:tr w:rsidR="00651D53">
        <w:tc>
          <w:tcPr>
            <w:tcW w:w="0" w:type="auto"/>
            <w:vAlign w:val="center"/>
          </w:tcPr>
          <w:p w:rsidR="00651D53" w:rsidRDefault="00702C7E">
            <w:pPr>
              <w:jc w:val="right"/>
            </w:pPr>
            <w:r>
              <w:rPr>
                <w:rFonts w:eastAsiaTheme="minorEastAsia"/>
                <w:color w:val="000000" w:themeColor="text1"/>
                <w:szCs w:val="21"/>
              </w:rPr>
              <w:t>9</w:t>
            </w:r>
          </w:p>
        </w:tc>
        <w:tc>
          <w:tcPr>
            <w:tcW w:w="0" w:type="auto"/>
            <w:vAlign w:val="center"/>
          </w:tcPr>
          <w:p w:rsidR="00651D53" w:rsidRDefault="00702C7E">
            <w:pPr>
              <w:jc w:val="right"/>
            </w:pPr>
            <w:r>
              <w:rPr>
                <w:rFonts w:eastAsiaTheme="minorEastAsia"/>
                <w:color w:val="000000" w:themeColor="text1"/>
                <w:szCs w:val="21"/>
              </w:rPr>
              <w:t>银行类机构</w:t>
            </w:r>
          </w:p>
        </w:tc>
        <w:tc>
          <w:tcPr>
            <w:tcW w:w="0" w:type="auto"/>
            <w:vAlign w:val="center"/>
          </w:tcPr>
          <w:p w:rsidR="00651D53" w:rsidRDefault="00702C7E">
            <w:pPr>
              <w:jc w:val="right"/>
            </w:pPr>
            <w:r>
              <w:rPr>
                <w:rFonts w:eastAsiaTheme="minorEastAsia"/>
                <w:color w:val="000000" w:themeColor="text1"/>
                <w:szCs w:val="21"/>
              </w:rPr>
              <w:t>500,229,179.54</w:t>
            </w:r>
          </w:p>
        </w:tc>
        <w:tc>
          <w:tcPr>
            <w:tcW w:w="0" w:type="auto"/>
            <w:vAlign w:val="center"/>
          </w:tcPr>
          <w:p w:rsidR="00651D53" w:rsidRDefault="00702C7E">
            <w:pPr>
              <w:jc w:val="right"/>
            </w:pPr>
            <w:r>
              <w:rPr>
                <w:rFonts w:eastAsiaTheme="minorEastAsia"/>
                <w:color w:val="000000" w:themeColor="text1"/>
                <w:szCs w:val="21"/>
              </w:rPr>
              <w:t>1.43%</w:t>
            </w:r>
          </w:p>
        </w:tc>
      </w:tr>
      <w:tr w:rsidR="00651D53">
        <w:tc>
          <w:tcPr>
            <w:tcW w:w="0" w:type="auto"/>
            <w:vAlign w:val="center"/>
          </w:tcPr>
          <w:p w:rsidR="00651D53" w:rsidRDefault="00702C7E">
            <w:pPr>
              <w:jc w:val="right"/>
            </w:pPr>
            <w:r>
              <w:rPr>
                <w:rFonts w:eastAsiaTheme="minorEastAsia"/>
                <w:color w:val="000000" w:themeColor="text1"/>
                <w:szCs w:val="21"/>
              </w:rPr>
              <w:t>10</w:t>
            </w:r>
          </w:p>
        </w:tc>
        <w:tc>
          <w:tcPr>
            <w:tcW w:w="0" w:type="auto"/>
            <w:vAlign w:val="center"/>
          </w:tcPr>
          <w:p w:rsidR="00651D53" w:rsidRDefault="00702C7E">
            <w:pPr>
              <w:jc w:val="right"/>
            </w:pPr>
            <w:r>
              <w:rPr>
                <w:rFonts w:eastAsiaTheme="minorEastAsia"/>
                <w:color w:val="000000" w:themeColor="text1"/>
                <w:szCs w:val="21"/>
              </w:rPr>
              <w:t>其他机构</w:t>
            </w:r>
          </w:p>
        </w:tc>
        <w:tc>
          <w:tcPr>
            <w:tcW w:w="0" w:type="auto"/>
            <w:vAlign w:val="center"/>
          </w:tcPr>
          <w:p w:rsidR="00651D53" w:rsidRDefault="00702C7E">
            <w:pPr>
              <w:jc w:val="right"/>
            </w:pPr>
            <w:r>
              <w:rPr>
                <w:rFonts w:eastAsiaTheme="minorEastAsia"/>
                <w:color w:val="000000" w:themeColor="text1"/>
                <w:szCs w:val="21"/>
              </w:rPr>
              <w:t>426,431,041.25</w:t>
            </w:r>
          </w:p>
        </w:tc>
        <w:tc>
          <w:tcPr>
            <w:tcW w:w="0" w:type="auto"/>
            <w:vAlign w:val="center"/>
          </w:tcPr>
          <w:p w:rsidR="00651D53" w:rsidRDefault="00702C7E">
            <w:pPr>
              <w:jc w:val="right"/>
            </w:pPr>
            <w:r>
              <w:rPr>
                <w:rFonts w:eastAsiaTheme="minorEastAsia"/>
                <w:color w:val="000000" w:themeColor="text1"/>
                <w:szCs w:val="21"/>
              </w:rPr>
              <w:t>1.22%</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9" w:name="_Toc331410113"/>
      <w:bookmarkStart w:id="100" w:name="_Toc35962163"/>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w:t>
            </w:r>
            <w:r w:rsidRPr="00640CFF">
              <w:rPr>
                <w:rFonts w:hint="eastAsia"/>
                <w:color w:val="000000"/>
                <w:sz w:val="24"/>
              </w:rPr>
              <w:lastRenderedPageBreak/>
              <w:t>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lastRenderedPageBreak/>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交银活期通货币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2,661,068.59</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0.02%</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交银活期通货币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2,661,068.59</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0.01%</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1" w:name="_Toc35962164"/>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交银活期通货币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10~50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交银活期通货币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10~50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交银活期通货币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交银活期通货币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2" w:name="_Toc331410115"/>
      <w:bookmarkStart w:id="103" w:name="_Toc225500053"/>
      <w:bookmarkStart w:id="104" w:name="_Toc35962165"/>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2"/>
      <w:bookmarkEnd w:id="103"/>
      <w:bookmarkEnd w:id="104"/>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交银活期通货币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交银活期通货币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7</w:t>
            </w:r>
            <w:r w:rsidRPr="00A24201">
              <w:rPr>
                <w:rFonts w:hint="eastAsia"/>
                <w:sz w:val="24"/>
              </w:rPr>
              <w:t>月</w:t>
            </w:r>
            <w:r w:rsidRPr="00A24201">
              <w:rPr>
                <w:rFonts w:hint="eastAsia"/>
                <w:sz w:val="24"/>
              </w:rPr>
              <w:t>27</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70,925.35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210,009,450.00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21,397,072,050.70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17,301,424,614.68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68,293,079,416.52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51,153,278,052.55</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73,992,908,395.03</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49,282,691,945.23</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15,697,243,072.19</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19,172,010,722.00</w:t>
            </w:r>
          </w:p>
        </w:tc>
      </w:tr>
    </w:tbl>
    <w:p w:rsidR="00651D53" w:rsidRDefault="00702C7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5" w:name="_Toc331410116"/>
      <w:bookmarkStart w:id="106" w:name="_Toc225500054"/>
      <w:bookmarkStart w:id="107" w:name="_Toc35962166"/>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5"/>
      <w:bookmarkEnd w:id="106"/>
      <w:bookmarkEnd w:id="107"/>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331410117"/>
      <w:bookmarkStart w:id="109" w:name="_Toc35962167"/>
      <w:r w:rsidRPr="00191E1C">
        <w:rPr>
          <w:rFonts w:ascii="Times New Roman" w:hAnsi="Times New Roman" w:cs="Times New Roman" w:hint="eastAsia"/>
          <w:kern w:val="0"/>
          <w:szCs w:val="24"/>
        </w:rPr>
        <w:lastRenderedPageBreak/>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8"/>
      <w:bookmarkEnd w:id="109"/>
    </w:p>
    <w:p w:rsidR="006D141C" w:rsidRDefault="006D141C" w:rsidP="00191E1C">
      <w:pPr>
        <w:tabs>
          <w:tab w:val="left" w:pos="426"/>
        </w:tabs>
        <w:spacing w:before="29" w:line="288" w:lineRule="auto"/>
        <w:ind w:firstLineChars="200" w:firstLine="480"/>
        <w:rPr>
          <w:kern w:val="0"/>
          <w:sz w:val="24"/>
        </w:rPr>
      </w:pPr>
      <w:bookmarkStart w:id="110"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35962168"/>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0"/>
      <w:bookmarkEnd w:id="111"/>
    </w:p>
    <w:p w:rsidR="00651D53" w:rsidRDefault="00702C7E">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日本基金管理人发布公告，经公司第五届董事会第五次会议审议通过，选举谢卫先生担任公司总经理。</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3596216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5A5558" w:rsidRDefault="00F3331A" w:rsidP="00F3331A">
      <w:pPr>
        <w:autoSpaceDE w:val="0"/>
        <w:autoSpaceDN w:val="0"/>
        <w:adjustRightInd w:val="0"/>
        <w:snapToGrid w:val="0"/>
        <w:spacing w:before="29" w:line="288" w:lineRule="auto"/>
        <w:jc w:val="left"/>
        <w:rPr>
          <w:b/>
          <w:bCs/>
          <w:kern w:val="0"/>
          <w:sz w:val="24"/>
        </w:rPr>
      </w:pPr>
      <w:bookmarkStart w:id="115" w:name="_Toc374448153"/>
      <w:r w:rsidRPr="005A5558">
        <w:rPr>
          <w:rFonts w:hint="eastAsia"/>
          <w:b/>
          <w:bCs/>
          <w:kern w:val="0"/>
          <w:sz w:val="24"/>
        </w:rPr>
        <w:t xml:space="preserve">11.4 </w:t>
      </w:r>
      <w:r w:rsidRPr="005A5558">
        <w:rPr>
          <w:rFonts w:hint="eastAsia"/>
          <w:b/>
          <w:bCs/>
          <w:kern w:val="0"/>
          <w:sz w:val="24"/>
        </w:rPr>
        <w:t>基金投资策略的改变</w:t>
      </w:r>
      <w:bookmarkEnd w:id="115"/>
    </w:p>
    <w:p w:rsidR="00F3331A" w:rsidRPr="00ED19BE" w:rsidRDefault="00F3331A" w:rsidP="00F3331A">
      <w:pPr>
        <w:tabs>
          <w:tab w:val="left" w:pos="426"/>
        </w:tabs>
        <w:spacing w:before="29" w:line="288" w:lineRule="auto"/>
        <w:ind w:firstLineChars="200" w:firstLine="480"/>
        <w:rPr>
          <w:kern w:val="0"/>
          <w:sz w:val="24"/>
        </w:rPr>
      </w:pPr>
      <w:bookmarkStart w:id="116" w:name="_Toc331410121"/>
      <w:r w:rsidRPr="00ED19BE">
        <w:rPr>
          <w:rFonts w:hint="eastAsia"/>
          <w:kern w:val="0"/>
          <w:sz w:val="24"/>
        </w:rPr>
        <w:t>本基金本报告期内投资策略未发生改变。</w:t>
      </w:r>
    </w:p>
    <w:bookmarkEnd w:id="116"/>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7" w:name="_Toc374448154"/>
      <w:bookmarkStart w:id="118" w:name="_Toc249760071"/>
      <w:bookmarkStart w:id="119" w:name="_Toc35962170"/>
      <w:bookmarkEnd w:id="114"/>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7"/>
      <w:bookmarkEnd w:id="119"/>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0" w:name="OLE_LINK3"/>
      <w:bookmarkStart w:id="121" w:name="_Toc331410122"/>
      <w:r w:rsidRPr="00544061">
        <w:rPr>
          <w:rFonts w:eastAsiaTheme="minorEastAsia"/>
          <w:color w:val="000000" w:themeColor="text1"/>
          <w:sz w:val="24"/>
        </w:rPr>
        <w:t>本报告期内，为本基金提供审计服务的会计师事务所为普华永道中天会计师事务所</w:t>
      </w:r>
      <w:r w:rsidRPr="00544061">
        <w:rPr>
          <w:rFonts w:eastAsiaTheme="minorEastAsia"/>
          <w:color w:val="000000" w:themeColor="text1"/>
          <w:sz w:val="24"/>
        </w:rPr>
        <w:t>(</w:t>
      </w:r>
      <w:r w:rsidRPr="00544061">
        <w:rPr>
          <w:rFonts w:eastAsiaTheme="minorEastAsia"/>
          <w:color w:val="000000" w:themeColor="text1"/>
          <w:sz w:val="24"/>
        </w:rPr>
        <w:t>特殊普通合伙</w:t>
      </w:r>
      <w:r w:rsidRPr="00544061">
        <w:rPr>
          <w:rFonts w:eastAsiaTheme="minorEastAsia"/>
          <w:color w:val="000000" w:themeColor="text1"/>
          <w:sz w:val="24"/>
        </w:rPr>
        <w:t>)</w:t>
      </w:r>
      <w:r w:rsidRPr="00544061">
        <w:rPr>
          <w:rFonts w:eastAsiaTheme="minorEastAsia"/>
          <w:color w:val="000000" w:themeColor="text1"/>
          <w:sz w:val="24"/>
        </w:rPr>
        <w:t>，本期审计费用为</w:t>
      </w:r>
      <w:r w:rsidRPr="00544061">
        <w:rPr>
          <w:rFonts w:eastAsiaTheme="minorEastAsia"/>
          <w:color w:val="000000" w:themeColor="text1"/>
          <w:sz w:val="24"/>
        </w:rPr>
        <w:t>153,000.00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2" w:name="_Toc374448155"/>
      <w:bookmarkStart w:id="123" w:name="_Toc35962171"/>
      <w:bookmarkEnd w:id="120"/>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1"/>
      <w:bookmarkEnd w:id="122"/>
      <w:bookmarkEnd w:id="123"/>
    </w:p>
    <w:p w:rsidR="00651D53" w:rsidRDefault="00702C7E">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51D53" w:rsidRDefault="00702C7E">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651D53" w:rsidRDefault="00702C7E">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651D53" w:rsidRDefault="00702C7E">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4"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5" w:name="_Toc374448156"/>
      <w:bookmarkStart w:id="126" w:name="_Toc35962172"/>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4"/>
      <w:bookmarkEnd w:id="125"/>
      <w:bookmarkEnd w:id="126"/>
    </w:p>
    <w:p w:rsidR="00C8763A" w:rsidRPr="00544061" w:rsidRDefault="00C8763A" w:rsidP="00C8763A">
      <w:pPr>
        <w:spacing w:line="360" w:lineRule="auto"/>
        <w:rPr>
          <w:rFonts w:eastAsiaTheme="minorEastAsia"/>
          <w:b/>
          <w:color w:val="000000" w:themeColor="text1"/>
          <w:sz w:val="24"/>
        </w:rPr>
      </w:pPr>
      <w:bookmarkStart w:id="127"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7"/>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651D53">
        <w:tc>
          <w:tcPr>
            <w:tcW w:w="1560" w:type="dxa"/>
            <w:vAlign w:val="center"/>
          </w:tcPr>
          <w:p w:rsidR="00651D53" w:rsidRDefault="00702C7E">
            <w:pPr>
              <w:jc w:val="left"/>
            </w:pPr>
            <w:r>
              <w:rPr>
                <w:rFonts w:eastAsiaTheme="minorEastAsia"/>
                <w:color w:val="000000" w:themeColor="text1"/>
                <w:sz w:val="24"/>
              </w:rPr>
              <w:t>海通证券股份有限公司</w:t>
            </w:r>
          </w:p>
        </w:tc>
        <w:tc>
          <w:tcPr>
            <w:tcW w:w="780" w:type="dxa"/>
            <w:vAlign w:val="center"/>
          </w:tcPr>
          <w:p w:rsidR="00651D53" w:rsidRDefault="00702C7E">
            <w:pPr>
              <w:jc w:val="right"/>
            </w:pPr>
            <w:r>
              <w:rPr>
                <w:rFonts w:eastAsiaTheme="minorEastAsia"/>
                <w:color w:val="000000" w:themeColor="text1"/>
                <w:sz w:val="24"/>
              </w:rPr>
              <w:t>2</w:t>
            </w:r>
          </w:p>
        </w:tc>
        <w:tc>
          <w:tcPr>
            <w:tcW w:w="1800" w:type="dxa"/>
            <w:vAlign w:val="center"/>
          </w:tcPr>
          <w:p w:rsidR="00651D53" w:rsidRDefault="00702C7E">
            <w:pPr>
              <w:jc w:val="right"/>
            </w:pPr>
            <w:r>
              <w:rPr>
                <w:rFonts w:eastAsiaTheme="minorEastAsia"/>
                <w:color w:val="000000" w:themeColor="text1"/>
                <w:sz w:val="24"/>
              </w:rPr>
              <w:t>-</w:t>
            </w:r>
          </w:p>
        </w:tc>
        <w:tc>
          <w:tcPr>
            <w:tcW w:w="1080" w:type="dxa"/>
            <w:vAlign w:val="center"/>
          </w:tcPr>
          <w:p w:rsidR="00651D53" w:rsidRDefault="00702C7E">
            <w:pPr>
              <w:jc w:val="right"/>
            </w:pPr>
            <w:r>
              <w:rPr>
                <w:rFonts w:eastAsiaTheme="minorEastAsia"/>
                <w:color w:val="000000" w:themeColor="text1"/>
                <w:sz w:val="24"/>
              </w:rPr>
              <w:t>-</w:t>
            </w:r>
          </w:p>
        </w:tc>
        <w:tc>
          <w:tcPr>
            <w:tcW w:w="1620" w:type="dxa"/>
            <w:vAlign w:val="center"/>
          </w:tcPr>
          <w:p w:rsidR="00651D53" w:rsidRDefault="00702C7E">
            <w:pPr>
              <w:jc w:val="right"/>
            </w:pPr>
            <w:r>
              <w:rPr>
                <w:rFonts w:eastAsiaTheme="minorEastAsia"/>
                <w:color w:val="000000" w:themeColor="text1"/>
                <w:sz w:val="24"/>
              </w:rPr>
              <w:t>-</w:t>
            </w:r>
          </w:p>
        </w:tc>
        <w:tc>
          <w:tcPr>
            <w:tcW w:w="1080" w:type="dxa"/>
            <w:vAlign w:val="center"/>
          </w:tcPr>
          <w:p w:rsidR="00651D53" w:rsidRDefault="00702C7E">
            <w:pPr>
              <w:jc w:val="right"/>
            </w:pPr>
            <w:r>
              <w:rPr>
                <w:rFonts w:eastAsiaTheme="minorEastAsia"/>
                <w:color w:val="000000" w:themeColor="text1"/>
                <w:sz w:val="24"/>
              </w:rPr>
              <w:t>-</w:t>
            </w:r>
          </w:p>
        </w:tc>
        <w:tc>
          <w:tcPr>
            <w:tcW w:w="1080" w:type="dxa"/>
            <w:vAlign w:val="center"/>
          </w:tcPr>
          <w:p w:rsidR="00651D53" w:rsidRDefault="00702C7E">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18"/>
    </w:p>
    <w:p w:rsidR="006D141C" w:rsidRPr="00544061" w:rsidRDefault="00644AB5" w:rsidP="001606C0">
      <w:pPr>
        <w:spacing w:before="29" w:line="288" w:lineRule="auto"/>
        <w:ind w:firstLine="420"/>
        <w:jc w:val="right"/>
        <w:rPr>
          <w:sz w:val="24"/>
        </w:rPr>
      </w:pPr>
      <w:bookmarkStart w:id="128" w:name="_Toc249707408"/>
      <w:r w:rsidRPr="00544061">
        <w:rPr>
          <w:rFonts w:hint="eastAsia"/>
          <w:sz w:val="24"/>
        </w:rPr>
        <w:t>金额单位</w:t>
      </w:r>
      <w:r w:rsidR="006D141C" w:rsidRPr="00544061">
        <w:rPr>
          <w:rFonts w:hint="eastAsia"/>
          <w:sz w:val="24"/>
        </w:rPr>
        <w:t>：人民币元</w:t>
      </w:r>
      <w:bookmarkEnd w:id="12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651D53">
        <w:tc>
          <w:tcPr>
            <w:tcW w:w="1560" w:type="dxa"/>
            <w:vAlign w:val="center"/>
          </w:tcPr>
          <w:p w:rsidR="00651D53" w:rsidRDefault="00702C7E">
            <w:pPr>
              <w:jc w:val="center"/>
            </w:pPr>
            <w:r>
              <w:rPr>
                <w:rFonts w:hint="eastAsia"/>
                <w:sz w:val="24"/>
              </w:rPr>
              <w:t>海通证券股份有限公司</w:t>
            </w:r>
          </w:p>
        </w:tc>
        <w:tc>
          <w:tcPr>
            <w:tcW w:w="1320" w:type="dxa"/>
            <w:vAlign w:val="center"/>
          </w:tcPr>
          <w:p w:rsidR="00651D53" w:rsidRDefault="00702C7E">
            <w:pPr>
              <w:jc w:val="right"/>
            </w:pPr>
            <w:r>
              <w:rPr>
                <w:rFonts w:hint="eastAsia"/>
                <w:sz w:val="24"/>
              </w:rPr>
              <w:t>-</w:t>
            </w:r>
          </w:p>
        </w:tc>
        <w:tc>
          <w:tcPr>
            <w:tcW w:w="1080" w:type="dxa"/>
            <w:vAlign w:val="center"/>
          </w:tcPr>
          <w:p w:rsidR="00651D53" w:rsidRDefault="00702C7E">
            <w:pPr>
              <w:jc w:val="right"/>
            </w:pPr>
            <w:r>
              <w:rPr>
                <w:rFonts w:hint="eastAsia"/>
                <w:sz w:val="24"/>
              </w:rPr>
              <w:t>-</w:t>
            </w:r>
          </w:p>
        </w:tc>
        <w:tc>
          <w:tcPr>
            <w:tcW w:w="1080" w:type="dxa"/>
            <w:vAlign w:val="center"/>
          </w:tcPr>
          <w:p w:rsidR="00651D53" w:rsidRDefault="00702C7E">
            <w:pPr>
              <w:jc w:val="right"/>
            </w:pPr>
            <w:r>
              <w:rPr>
                <w:rFonts w:hint="eastAsia"/>
                <w:sz w:val="24"/>
              </w:rPr>
              <w:t>55,252,400,000.00</w:t>
            </w:r>
          </w:p>
        </w:tc>
        <w:tc>
          <w:tcPr>
            <w:tcW w:w="1260" w:type="dxa"/>
            <w:vAlign w:val="center"/>
          </w:tcPr>
          <w:p w:rsidR="00651D53" w:rsidRDefault="00702C7E">
            <w:pPr>
              <w:jc w:val="right"/>
            </w:pPr>
            <w:r>
              <w:rPr>
                <w:rFonts w:hint="eastAsia"/>
                <w:sz w:val="24"/>
              </w:rPr>
              <w:t>100.00%</w:t>
            </w:r>
          </w:p>
        </w:tc>
        <w:tc>
          <w:tcPr>
            <w:tcW w:w="1260" w:type="dxa"/>
            <w:vAlign w:val="center"/>
          </w:tcPr>
          <w:p w:rsidR="00651D53" w:rsidRDefault="00702C7E">
            <w:pPr>
              <w:jc w:val="right"/>
            </w:pPr>
            <w:r>
              <w:rPr>
                <w:rFonts w:hint="eastAsia"/>
                <w:sz w:val="24"/>
              </w:rPr>
              <w:t>-</w:t>
            </w:r>
          </w:p>
        </w:tc>
        <w:tc>
          <w:tcPr>
            <w:tcW w:w="1440" w:type="dxa"/>
            <w:vAlign w:val="center"/>
          </w:tcPr>
          <w:p w:rsidR="00651D53" w:rsidRDefault="00702C7E">
            <w:pPr>
              <w:jc w:val="right"/>
            </w:pPr>
            <w:r>
              <w:rPr>
                <w:rFonts w:hint="eastAsia"/>
                <w:sz w:val="24"/>
              </w:rPr>
              <w:t>-</w:t>
            </w:r>
          </w:p>
        </w:tc>
      </w:tr>
    </w:tbl>
    <w:p w:rsidR="00651D53" w:rsidRDefault="00702C7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651D53" w:rsidRDefault="00702C7E">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29" w:name="_Toc35962173"/>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29"/>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0" w:name="_Toc331410124"/>
      <w:bookmarkStart w:id="131" w:name="_Toc35962174"/>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0"/>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651D53">
        <w:tc>
          <w:tcPr>
            <w:tcW w:w="720" w:type="dxa"/>
            <w:vAlign w:val="center"/>
          </w:tcPr>
          <w:p w:rsidR="00651D53" w:rsidRDefault="00702C7E">
            <w:pPr>
              <w:jc w:val="center"/>
            </w:pPr>
            <w:r>
              <w:rPr>
                <w:rFonts w:hint="eastAsia"/>
                <w:sz w:val="24"/>
              </w:rPr>
              <w:t>1</w:t>
            </w:r>
          </w:p>
        </w:tc>
        <w:tc>
          <w:tcPr>
            <w:tcW w:w="4320" w:type="dxa"/>
            <w:vAlign w:val="center"/>
          </w:tcPr>
          <w:p w:rsidR="00651D53" w:rsidRDefault="00702C7E">
            <w:pPr>
              <w:jc w:val="left"/>
            </w:pPr>
            <w:r>
              <w:rPr>
                <w:rFonts w:hint="eastAsia"/>
                <w:sz w:val="24"/>
              </w:rPr>
              <w:t>交银施罗德活期通货币市场基金</w:t>
            </w:r>
            <w:r>
              <w:rPr>
                <w:rFonts w:hint="eastAsia"/>
                <w:sz w:val="24"/>
              </w:rPr>
              <w:t>2018</w:t>
            </w:r>
            <w:r>
              <w:rPr>
                <w:rFonts w:hint="eastAsia"/>
                <w:sz w:val="24"/>
              </w:rPr>
              <w:t>年第</w:t>
            </w:r>
            <w:r>
              <w:rPr>
                <w:rFonts w:hint="eastAsia"/>
                <w:sz w:val="24"/>
              </w:rPr>
              <w:t>4</w:t>
            </w:r>
            <w:r>
              <w:rPr>
                <w:rFonts w:hint="eastAsia"/>
                <w:sz w:val="24"/>
              </w:rPr>
              <w:t>季度报告</w:t>
            </w:r>
          </w:p>
        </w:tc>
        <w:tc>
          <w:tcPr>
            <w:tcW w:w="2520" w:type="dxa"/>
            <w:vAlign w:val="center"/>
          </w:tcPr>
          <w:p w:rsidR="00651D53" w:rsidRDefault="00702C7E">
            <w:pPr>
              <w:jc w:val="center"/>
            </w:pPr>
            <w:r>
              <w:rPr>
                <w:rFonts w:hint="eastAsia"/>
                <w:sz w:val="24"/>
              </w:rPr>
              <w:t>中国证券报</w:t>
            </w:r>
          </w:p>
        </w:tc>
        <w:tc>
          <w:tcPr>
            <w:tcW w:w="1440" w:type="dxa"/>
            <w:vAlign w:val="center"/>
          </w:tcPr>
          <w:p w:rsidR="00651D53" w:rsidRDefault="00702C7E">
            <w:pPr>
              <w:jc w:val="center"/>
            </w:pPr>
            <w:r>
              <w:rPr>
                <w:rFonts w:hint="eastAsia"/>
                <w:sz w:val="24"/>
              </w:rPr>
              <w:t>2019-01-21</w:t>
            </w:r>
          </w:p>
        </w:tc>
      </w:tr>
      <w:tr w:rsidR="00651D53">
        <w:tc>
          <w:tcPr>
            <w:tcW w:w="720" w:type="dxa"/>
            <w:vAlign w:val="center"/>
          </w:tcPr>
          <w:p w:rsidR="00651D53" w:rsidRDefault="00702C7E">
            <w:pPr>
              <w:jc w:val="center"/>
            </w:pPr>
            <w:r>
              <w:rPr>
                <w:rFonts w:hint="eastAsia"/>
                <w:sz w:val="24"/>
              </w:rPr>
              <w:t>2</w:t>
            </w:r>
          </w:p>
        </w:tc>
        <w:tc>
          <w:tcPr>
            <w:tcW w:w="4320" w:type="dxa"/>
            <w:vAlign w:val="center"/>
          </w:tcPr>
          <w:p w:rsidR="00651D53" w:rsidRDefault="00702C7E">
            <w:pPr>
              <w:jc w:val="left"/>
            </w:pPr>
            <w:r>
              <w:rPr>
                <w:rFonts w:hint="eastAsia"/>
                <w:sz w:val="24"/>
              </w:rPr>
              <w:t>交银施罗德基金管理有限公司关于交银施罗德活期通货币市场基金于</w:t>
            </w:r>
            <w:r>
              <w:rPr>
                <w:rFonts w:hint="eastAsia"/>
                <w:sz w:val="24"/>
              </w:rPr>
              <w:t>2019</w:t>
            </w:r>
            <w:r>
              <w:rPr>
                <w:rFonts w:hint="eastAsia"/>
                <w:sz w:val="24"/>
              </w:rPr>
              <w:t>年“春节”假期前暂停及节后恢复大额申购（转换转入、定期定额投资）业务公</w:t>
            </w:r>
            <w:r>
              <w:rPr>
                <w:rFonts w:hint="eastAsia"/>
                <w:sz w:val="24"/>
              </w:rPr>
              <w:lastRenderedPageBreak/>
              <w:t>告</w:t>
            </w:r>
          </w:p>
        </w:tc>
        <w:tc>
          <w:tcPr>
            <w:tcW w:w="2520" w:type="dxa"/>
            <w:vAlign w:val="center"/>
          </w:tcPr>
          <w:p w:rsidR="00651D53" w:rsidRDefault="00702C7E">
            <w:pPr>
              <w:jc w:val="center"/>
            </w:pPr>
            <w:r>
              <w:rPr>
                <w:rFonts w:hint="eastAsia"/>
                <w:sz w:val="24"/>
              </w:rPr>
              <w:lastRenderedPageBreak/>
              <w:t>中国证券报</w:t>
            </w:r>
          </w:p>
        </w:tc>
        <w:tc>
          <w:tcPr>
            <w:tcW w:w="1440" w:type="dxa"/>
            <w:vAlign w:val="center"/>
          </w:tcPr>
          <w:p w:rsidR="00651D53" w:rsidRDefault="00702C7E">
            <w:pPr>
              <w:jc w:val="center"/>
            </w:pPr>
            <w:r>
              <w:rPr>
                <w:rFonts w:hint="eastAsia"/>
                <w:sz w:val="24"/>
              </w:rPr>
              <w:t>2019-01-31</w:t>
            </w:r>
          </w:p>
        </w:tc>
      </w:tr>
      <w:tr w:rsidR="00651D53">
        <w:tc>
          <w:tcPr>
            <w:tcW w:w="720" w:type="dxa"/>
            <w:vAlign w:val="center"/>
          </w:tcPr>
          <w:p w:rsidR="00651D53" w:rsidRDefault="00702C7E">
            <w:pPr>
              <w:jc w:val="center"/>
            </w:pPr>
            <w:r>
              <w:rPr>
                <w:rFonts w:hint="eastAsia"/>
                <w:sz w:val="24"/>
              </w:rPr>
              <w:t>3</w:t>
            </w:r>
          </w:p>
        </w:tc>
        <w:tc>
          <w:tcPr>
            <w:tcW w:w="4320" w:type="dxa"/>
            <w:vAlign w:val="center"/>
          </w:tcPr>
          <w:p w:rsidR="00651D53" w:rsidRDefault="00702C7E">
            <w:pPr>
              <w:jc w:val="left"/>
            </w:pPr>
            <w:r>
              <w:rPr>
                <w:rFonts w:hint="eastAsia"/>
                <w:sz w:val="24"/>
              </w:rPr>
              <w:t>交银施罗德基金管理有限公司关于总经理变更的公告</w:t>
            </w:r>
          </w:p>
        </w:tc>
        <w:tc>
          <w:tcPr>
            <w:tcW w:w="2520" w:type="dxa"/>
            <w:vAlign w:val="center"/>
          </w:tcPr>
          <w:p w:rsidR="00651D53" w:rsidRDefault="00702C7E">
            <w:pPr>
              <w:jc w:val="center"/>
            </w:pPr>
            <w:r>
              <w:rPr>
                <w:rFonts w:hint="eastAsia"/>
                <w:sz w:val="24"/>
              </w:rPr>
              <w:t>中国证券报、上海证券报、证券时报</w:t>
            </w:r>
          </w:p>
        </w:tc>
        <w:tc>
          <w:tcPr>
            <w:tcW w:w="1440" w:type="dxa"/>
            <w:vAlign w:val="center"/>
          </w:tcPr>
          <w:p w:rsidR="00651D53" w:rsidRDefault="00702C7E">
            <w:pPr>
              <w:jc w:val="center"/>
            </w:pPr>
            <w:r>
              <w:rPr>
                <w:rFonts w:hint="eastAsia"/>
                <w:sz w:val="24"/>
              </w:rPr>
              <w:t>2019-02-28</w:t>
            </w:r>
          </w:p>
        </w:tc>
      </w:tr>
      <w:tr w:rsidR="00651D53">
        <w:tc>
          <w:tcPr>
            <w:tcW w:w="720" w:type="dxa"/>
            <w:vAlign w:val="center"/>
          </w:tcPr>
          <w:p w:rsidR="00651D53" w:rsidRDefault="00702C7E">
            <w:pPr>
              <w:jc w:val="center"/>
            </w:pPr>
            <w:r>
              <w:rPr>
                <w:rFonts w:hint="eastAsia"/>
                <w:sz w:val="24"/>
              </w:rPr>
              <w:t>4</w:t>
            </w:r>
          </w:p>
        </w:tc>
        <w:tc>
          <w:tcPr>
            <w:tcW w:w="4320" w:type="dxa"/>
            <w:vAlign w:val="center"/>
          </w:tcPr>
          <w:p w:rsidR="00651D53" w:rsidRDefault="00702C7E">
            <w:pPr>
              <w:jc w:val="left"/>
            </w:pPr>
            <w:r>
              <w:rPr>
                <w:rFonts w:hint="eastAsia"/>
                <w:sz w:val="24"/>
              </w:rPr>
              <w:t>交银施罗德活期通货币市场基金（更新）招募说明书摘要（</w:t>
            </w:r>
            <w:r>
              <w:rPr>
                <w:rFonts w:hint="eastAsia"/>
                <w:sz w:val="24"/>
              </w:rPr>
              <w:t>2019</w:t>
            </w:r>
            <w:r>
              <w:rPr>
                <w:rFonts w:hint="eastAsia"/>
                <w:sz w:val="24"/>
              </w:rPr>
              <w:t>年第</w:t>
            </w:r>
            <w:r>
              <w:rPr>
                <w:rFonts w:hint="eastAsia"/>
                <w:sz w:val="24"/>
              </w:rPr>
              <w:t>1</w:t>
            </w:r>
            <w:r>
              <w:rPr>
                <w:rFonts w:hint="eastAsia"/>
                <w:sz w:val="24"/>
              </w:rPr>
              <w:t>号）</w:t>
            </w:r>
          </w:p>
        </w:tc>
        <w:tc>
          <w:tcPr>
            <w:tcW w:w="2520" w:type="dxa"/>
            <w:vAlign w:val="center"/>
          </w:tcPr>
          <w:p w:rsidR="00651D53" w:rsidRDefault="00702C7E">
            <w:pPr>
              <w:jc w:val="center"/>
            </w:pPr>
            <w:r>
              <w:rPr>
                <w:rFonts w:hint="eastAsia"/>
                <w:sz w:val="24"/>
              </w:rPr>
              <w:t>中国证券报</w:t>
            </w:r>
          </w:p>
        </w:tc>
        <w:tc>
          <w:tcPr>
            <w:tcW w:w="1440" w:type="dxa"/>
            <w:vAlign w:val="center"/>
          </w:tcPr>
          <w:p w:rsidR="00651D53" w:rsidRDefault="00702C7E">
            <w:pPr>
              <w:jc w:val="center"/>
            </w:pPr>
            <w:r>
              <w:rPr>
                <w:rFonts w:hint="eastAsia"/>
                <w:sz w:val="24"/>
              </w:rPr>
              <w:t>2019-03-13</w:t>
            </w:r>
          </w:p>
        </w:tc>
      </w:tr>
      <w:tr w:rsidR="00651D53">
        <w:tc>
          <w:tcPr>
            <w:tcW w:w="720" w:type="dxa"/>
            <w:vAlign w:val="center"/>
          </w:tcPr>
          <w:p w:rsidR="00651D53" w:rsidRDefault="00702C7E">
            <w:pPr>
              <w:jc w:val="center"/>
            </w:pPr>
            <w:r>
              <w:rPr>
                <w:rFonts w:hint="eastAsia"/>
                <w:sz w:val="24"/>
              </w:rPr>
              <w:t>5</w:t>
            </w:r>
          </w:p>
        </w:tc>
        <w:tc>
          <w:tcPr>
            <w:tcW w:w="4320" w:type="dxa"/>
            <w:vAlign w:val="center"/>
          </w:tcPr>
          <w:p w:rsidR="00651D53" w:rsidRDefault="00702C7E">
            <w:pPr>
              <w:jc w:val="left"/>
            </w:pPr>
            <w:r>
              <w:rPr>
                <w:rFonts w:hint="eastAsia"/>
                <w:sz w:val="24"/>
              </w:rPr>
              <w:t>交银施罗德活期通货币市场基金</w:t>
            </w:r>
            <w:r>
              <w:rPr>
                <w:rFonts w:hint="eastAsia"/>
                <w:sz w:val="24"/>
              </w:rPr>
              <w:t>2018</w:t>
            </w:r>
            <w:r>
              <w:rPr>
                <w:rFonts w:hint="eastAsia"/>
                <w:sz w:val="24"/>
              </w:rPr>
              <w:t>年年度报告摘要</w:t>
            </w:r>
          </w:p>
        </w:tc>
        <w:tc>
          <w:tcPr>
            <w:tcW w:w="2520" w:type="dxa"/>
            <w:vAlign w:val="center"/>
          </w:tcPr>
          <w:p w:rsidR="00651D53" w:rsidRDefault="00702C7E">
            <w:pPr>
              <w:jc w:val="center"/>
            </w:pPr>
            <w:r>
              <w:rPr>
                <w:rFonts w:hint="eastAsia"/>
                <w:sz w:val="24"/>
              </w:rPr>
              <w:t>中国证券报</w:t>
            </w:r>
          </w:p>
        </w:tc>
        <w:tc>
          <w:tcPr>
            <w:tcW w:w="1440" w:type="dxa"/>
            <w:vAlign w:val="center"/>
          </w:tcPr>
          <w:p w:rsidR="00651D53" w:rsidRDefault="00702C7E">
            <w:pPr>
              <w:jc w:val="center"/>
            </w:pPr>
            <w:r>
              <w:rPr>
                <w:rFonts w:hint="eastAsia"/>
                <w:sz w:val="24"/>
              </w:rPr>
              <w:t>2019-03-27</w:t>
            </w:r>
          </w:p>
        </w:tc>
      </w:tr>
      <w:tr w:rsidR="00651D53">
        <w:tc>
          <w:tcPr>
            <w:tcW w:w="720" w:type="dxa"/>
            <w:vAlign w:val="center"/>
          </w:tcPr>
          <w:p w:rsidR="00651D53" w:rsidRDefault="00702C7E">
            <w:pPr>
              <w:jc w:val="center"/>
            </w:pPr>
            <w:r>
              <w:rPr>
                <w:rFonts w:hint="eastAsia"/>
                <w:sz w:val="24"/>
              </w:rPr>
              <w:t>6</w:t>
            </w:r>
          </w:p>
        </w:tc>
        <w:tc>
          <w:tcPr>
            <w:tcW w:w="4320" w:type="dxa"/>
            <w:vAlign w:val="center"/>
          </w:tcPr>
          <w:p w:rsidR="00651D53" w:rsidRDefault="00702C7E">
            <w:pPr>
              <w:jc w:val="left"/>
            </w:pPr>
            <w:r>
              <w:rPr>
                <w:rFonts w:hint="eastAsia"/>
                <w:sz w:val="24"/>
              </w:rPr>
              <w:t>交银施罗德基金管理有限公司关于取消纸质对账单寄送的公告</w:t>
            </w:r>
          </w:p>
        </w:tc>
        <w:tc>
          <w:tcPr>
            <w:tcW w:w="2520" w:type="dxa"/>
            <w:vAlign w:val="center"/>
          </w:tcPr>
          <w:p w:rsidR="00651D53" w:rsidRDefault="00702C7E">
            <w:pPr>
              <w:jc w:val="center"/>
            </w:pPr>
            <w:r>
              <w:rPr>
                <w:rFonts w:hint="eastAsia"/>
                <w:sz w:val="24"/>
              </w:rPr>
              <w:t>中国证券报、上海证券报、证券时报</w:t>
            </w:r>
          </w:p>
        </w:tc>
        <w:tc>
          <w:tcPr>
            <w:tcW w:w="1440" w:type="dxa"/>
            <w:vAlign w:val="center"/>
          </w:tcPr>
          <w:p w:rsidR="00651D53" w:rsidRDefault="00702C7E">
            <w:pPr>
              <w:jc w:val="center"/>
            </w:pPr>
            <w:r>
              <w:rPr>
                <w:rFonts w:hint="eastAsia"/>
                <w:sz w:val="24"/>
              </w:rPr>
              <w:t>2019-04-12</w:t>
            </w:r>
          </w:p>
        </w:tc>
      </w:tr>
      <w:tr w:rsidR="00651D53">
        <w:tc>
          <w:tcPr>
            <w:tcW w:w="720" w:type="dxa"/>
            <w:vAlign w:val="center"/>
          </w:tcPr>
          <w:p w:rsidR="00651D53" w:rsidRDefault="00702C7E">
            <w:pPr>
              <w:jc w:val="center"/>
            </w:pPr>
            <w:r>
              <w:rPr>
                <w:rFonts w:hint="eastAsia"/>
                <w:sz w:val="24"/>
              </w:rPr>
              <w:t>7</w:t>
            </w:r>
          </w:p>
        </w:tc>
        <w:tc>
          <w:tcPr>
            <w:tcW w:w="4320" w:type="dxa"/>
            <w:vAlign w:val="center"/>
          </w:tcPr>
          <w:p w:rsidR="00651D53" w:rsidRDefault="00702C7E">
            <w:pPr>
              <w:jc w:val="left"/>
            </w:pPr>
            <w:r>
              <w:rPr>
                <w:rFonts w:hint="eastAsia"/>
                <w:sz w:val="24"/>
              </w:rPr>
              <w:t>交银施罗德活期通货币市场基金</w:t>
            </w:r>
            <w:r>
              <w:rPr>
                <w:rFonts w:hint="eastAsia"/>
                <w:sz w:val="24"/>
              </w:rPr>
              <w:t>2019</w:t>
            </w:r>
            <w:r>
              <w:rPr>
                <w:rFonts w:hint="eastAsia"/>
                <w:sz w:val="24"/>
              </w:rPr>
              <w:t>年第</w:t>
            </w:r>
            <w:r>
              <w:rPr>
                <w:rFonts w:hint="eastAsia"/>
                <w:sz w:val="24"/>
              </w:rPr>
              <w:t>1</w:t>
            </w:r>
            <w:r>
              <w:rPr>
                <w:rFonts w:hint="eastAsia"/>
                <w:sz w:val="24"/>
              </w:rPr>
              <w:t>季度报告</w:t>
            </w:r>
          </w:p>
        </w:tc>
        <w:tc>
          <w:tcPr>
            <w:tcW w:w="2520" w:type="dxa"/>
            <w:vAlign w:val="center"/>
          </w:tcPr>
          <w:p w:rsidR="00651D53" w:rsidRDefault="00702C7E">
            <w:pPr>
              <w:jc w:val="center"/>
            </w:pPr>
            <w:r>
              <w:rPr>
                <w:rFonts w:hint="eastAsia"/>
                <w:sz w:val="24"/>
              </w:rPr>
              <w:t>中国证券报</w:t>
            </w:r>
          </w:p>
        </w:tc>
        <w:tc>
          <w:tcPr>
            <w:tcW w:w="1440" w:type="dxa"/>
            <w:vAlign w:val="center"/>
          </w:tcPr>
          <w:p w:rsidR="00651D53" w:rsidRDefault="00702C7E">
            <w:pPr>
              <w:jc w:val="center"/>
            </w:pPr>
            <w:r>
              <w:rPr>
                <w:rFonts w:hint="eastAsia"/>
                <w:sz w:val="24"/>
              </w:rPr>
              <w:t>2019-04-20</w:t>
            </w:r>
          </w:p>
        </w:tc>
      </w:tr>
      <w:tr w:rsidR="00651D53">
        <w:tc>
          <w:tcPr>
            <w:tcW w:w="720" w:type="dxa"/>
            <w:vAlign w:val="center"/>
          </w:tcPr>
          <w:p w:rsidR="00651D53" w:rsidRDefault="00702C7E">
            <w:pPr>
              <w:jc w:val="center"/>
            </w:pPr>
            <w:r>
              <w:rPr>
                <w:rFonts w:hint="eastAsia"/>
                <w:sz w:val="24"/>
              </w:rPr>
              <w:t>8</w:t>
            </w:r>
          </w:p>
        </w:tc>
        <w:tc>
          <w:tcPr>
            <w:tcW w:w="4320" w:type="dxa"/>
            <w:vAlign w:val="center"/>
          </w:tcPr>
          <w:p w:rsidR="00651D53" w:rsidRDefault="00702C7E">
            <w:pPr>
              <w:jc w:val="left"/>
            </w:pPr>
            <w:r>
              <w:rPr>
                <w:rFonts w:hint="eastAsia"/>
                <w:sz w:val="24"/>
              </w:rPr>
              <w:t>交银施罗德基金管理有限公司关于增加上海天天基金销售有限公司为旗下部分货币市场基金的场外销售机构的公告</w:t>
            </w:r>
          </w:p>
        </w:tc>
        <w:tc>
          <w:tcPr>
            <w:tcW w:w="2520" w:type="dxa"/>
            <w:vAlign w:val="center"/>
          </w:tcPr>
          <w:p w:rsidR="00651D53" w:rsidRDefault="00702C7E">
            <w:pPr>
              <w:jc w:val="center"/>
            </w:pPr>
            <w:r>
              <w:rPr>
                <w:rFonts w:hint="eastAsia"/>
                <w:sz w:val="24"/>
              </w:rPr>
              <w:t>中国证券报、上海证券报、证券时报</w:t>
            </w:r>
          </w:p>
        </w:tc>
        <w:tc>
          <w:tcPr>
            <w:tcW w:w="1440" w:type="dxa"/>
            <w:vAlign w:val="center"/>
          </w:tcPr>
          <w:p w:rsidR="00651D53" w:rsidRDefault="00702C7E">
            <w:pPr>
              <w:jc w:val="center"/>
            </w:pPr>
            <w:r>
              <w:rPr>
                <w:rFonts w:hint="eastAsia"/>
                <w:sz w:val="24"/>
              </w:rPr>
              <w:t>2019-04-24</w:t>
            </w:r>
          </w:p>
        </w:tc>
      </w:tr>
      <w:tr w:rsidR="00651D53">
        <w:tc>
          <w:tcPr>
            <w:tcW w:w="720" w:type="dxa"/>
            <w:vAlign w:val="center"/>
          </w:tcPr>
          <w:p w:rsidR="00651D53" w:rsidRDefault="00702C7E">
            <w:pPr>
              <w:jc w:val="center"/>
            </w:pPr>
            <w:r>
              <w:rPr>
                <w:rFonts w:hint="eastAsia"/>
                <w:sz w:val="24"/>
              </w:rPr>
              <w:t>9</w:t>
            </w:r>
          </w:p>
        </w:tc>
        <w:tc>
          <w:tcPr>
            <w:tcW w:w="4320" w:type="dxa"/>
            <w:vAlign w:val="center"/>
          </w:tcPr>
          <w:p w:rsidR="00651D53" w:rsidRDefault="00702C7E">
            <w:pPr>
              <w:jc w:val="left"/>
            </w:pPr>
            <w:r>
              <w:rPr>
                <w:rFonts w:hint="eastAsia"/>
                <w:sz w:val="24"/>
              </w:rPr>
              <w:t>交银施罗德基金管理有限公司关于增加江苏汇林保大基金销售有限公司为旗下部分货币市场基金的场外销售机构的公告</w:t>
            </w:r>
          </w:p>
        </w:tc>
        <w:tc>
          <w:tcPr>
            <w:tcW w:w="2520" w:type="dxa"/>
            <w:vAlign w:val="center"/>
          </w:tcPr>
          <w:p w:rsidR="00651D53" w:rsidRDefault="00702C7E">
            <w:pPr>
              <w:jc w:val="center"/>
            </w:pPr>
            <w:r>
              <w:rPr>
                <w:rFonts w:hint="eastAsia"/>
                <w:sz w:val="24"/>
              </w:rPr>
              <w:t>中国证券报、上海证券报、证券时报</w:t>
            </w:r>
          </w:p>
        </w:tc>
        <w:tc>
          <w:tcPr>
            <w:tcW w:w="1440" w:type="dxa"/>
            <w:vAlign w:val="center"/>
          </w:tcPr>
          <w:p w:rsidR="00651D53" w:rsidRDefault="00702C7E">
            <w:pPr>
              <w:jc w:val="center"/>
            </w:pPr>
            <w:r>
              <w:rPr>
                <w:rFonts w:hint="eastAsia"/>
                <w:sz w:val="24"/>
              </w:rPr>
              <w:t>2019-05-30</w:t>
            </w:r>
          </w:p>
        </w:tc>
      </w:tr>
      <w:tr w:rsidR="00651D53">
        <w:tc>
          <w:tcPr>
            <w:tcW w:w="720" w:type="dxa"/>
            <w:vAlign w:val="center"/>
          </w:tcPr>
          <w:p w:rsidR="00651D53" w:rsidRDefault="00702C7E">
            <w:pPr>
              <w:jc w:val="center"/>
            </w:pPr>
            <w:r>
              <w:rPr>
                <w:rFonts w:hint="eastAsia"/>
                <w:sz w:val="24"/>
              </w:rPr>
              <w:t>10</w:t>
            </w:r>
          </w:p>
        </w:tc>
        <w:tc>
          <w:tcPr>
            <w:tcW w:w="4320" w:type="dxa"/>
            <w:vAlign w:val="center"/>
          </w:tcPr>
          <w:p w:rsidR="00651D53" w:rsidRDefault="00702C7E">
            <w:pPr>
              <w:jc w:val="left"/>
            </w:pPr>
            <w:r>
              <w:rPr>
                <w:rFonts w:hint="eastAsia"/>
                <w:sz w:val="24"/>
              </w:rPr>
              <w:t>交银施罗德活期通货币市场基金</w:t>
            </w:r>
            <w:r>
              <w:rPr>
                <w:rFonts w:hint="eastAsia"/>
                <w:sz w:val="24"/>
              </w:rPr>
              <w:t>2019</w:t>
            </w:r>
            <w:r>
              <w:rPr>
                <w:rFonts w:hint="eastAsia"/>
                <w:sz w:val="24"/>
              </w:rPr>
              <w:t>年第</w:t>
            </w:r>
            <w:r>
              <w:rPr>
                <w:rFonts w:hint="eastAsia"/>
                <w:sz w:val="24"/>
              </w:rPr>
              <w:t>2</w:t>
            </w:r>
            <w:r>
              <w:rPr>
                <w:rFonts w:hint="eastAsia"/>
                <w:sz w:val="24"/>
              </w:rPr>
              <w:t>季度报告</w:t>
            </w:r>
          </w:p>
        </w:tc>
        <w:tc>
          <w:tcPr>
            <w:tcW w:w="2520" w:type="dxa"/>
            <w:vAlign w:val="center"/>
          </w:tcPr>
          <w:p w:rsidR="00651D53" w:rsidRDefault="00702C7E">
            <w:pPr>
              <w:jc w:val="center"/>
            </w:pPr>
            <w:r>
              <w:rPr>
                <w:rFonts w:hint="eastAsia"/>
                <w:sz w:val="24"/>
              </w:rPr>
              <w:t>中国证券报</w:t>
            </w:r>
          </w:p>
        </w:tc>
        <w:tc>
          <w:tcPr>
            <w:tcW w:w="1440" w:type="dxa"/>
            <w:vAlign w:val="center"/>
          </w:tcPr>
          <w:p w:rsidR="00651D53" w:rsidRDefault="00702C7E">
            <w:pPr>
              <w:jc w:val="center"/>
            </w:pPr>
            <w:r>
              <w:rPr>
                <w:rFonts w:hint="eastAsia"/>
                <w:sz w:val="24"/>
              </w:rPr>
              <w:t>2019-07-17</w:t>
            </w:r>
          </w:p>
        </w:tc>
      </w:tr>
      <w:tr w:rsidR="00651D53">
        <w:tc>
          <w:tcPr>
            <w:tcW w:w="720" w:type="dxa"/>
            <w:vAlign w:val="center"/>
          </w:tcPr>
          <w:p w:rsidR="00651D53" w:rsidRDefault="00702C7E">
            <w:pPr>
              <w:jc w:val="center"/>
            </w:pPr>
            <w:r>
              <w:rPr>
                <w:rFonts w:hint="eastAsia"/>
                <w:sz w:val="24"/>
              </w:rPr>
              <w:t>11</w:t>
            </w:r>
          </w:p>
        </w:tc>
        <w:tc>
          <w:tcPr>
            <w:tcW w:w="4320" w:type="dxa"/>
            <w:vAlign w:val="center"/>
          </w:tcPr>
          <w:p w:rsidR="00651D53" w:rsidRDefault="00702C7E">
            <w:pPr>
              <w:jc w:val="left"/>
            </w:pPr>
            <w:r>
              <w:rPr>
                <w:rFonts w:hint="eastAsia"/>
                <w:sz w:val="24"/>
              </w:rPr>
              <w:t>交银施罗德活期通货币市场基金</w:t>
            </w:r>
            <w:r>
              <w:rPr>
                <w:rFonts w:hint="eastAsia"/>
                <w:sz w:val="24"/>
              </w:rPr>
              <w:t>2019</w:t>
            </w:r>
            <w:r>
              <w:rPr>
                <w:rFonts w:hint="eastAsia"/>
                <w:sz w:val="24"/>
              </w:rPr>
              <w:t>年半年度报告摘要</w:t>
            </w:r>
          </w:p>
        </w:tc>
        <w:tc>
          <w:tcPr>
            <w:tcW w:w="2520" w:type="dxa"/>
            <w:vAlign w:val="center"/>
          </w:tcPr>
          <w:p w:rsidR="00651D53" w:rsidRDefault="00702C7E">
            <w:pPr>
              <w:jc w:val="center"/>
            </w:pPr>
            <w:r>
              <w:rPr>
                <w:rFonts w:hint="eastAsia"/>
                <w:sz w:val="24"/>
              </w:rPr>
              <w:t>中国证券报</w:t>
            </w:r>
          </w:p>
        </w:tc>
        <w:tc>
          <w:tcPr>
            <w:tcW w:w="1440" w:type="dxa"/>
            <w:vAlign w:val="center"/>
          </w:tcPr>
          <w:p w:rsidR="00651D53" w:rsidRDefault="00702C7E">
            <w:pPr>
              <w:jc w:val="center"/>
            </w:pPr>
            <w:r>
              <w:rPr>
                <w:rFonts w:hint="eastAsia"/>
                <w:sz w:val="24"/>
              </w:rPr>
              <w:t>2019-08-29</w:t>
            </w:r>
          </w:p>
        </w:tc>
      </w:tr>
      <w:tr w:rsidR="00651D53">
        <w:tc>
          <w:tcPr>
            <w:tcW w:w="720" w:type="dxa"/>
            <w:vAlign w:val="center"/>
          </w:tcPr>
          <w:p w:rsidR="00651D53" w:rsidRDefault="00702C7E">
            <w:pPr>
              <w:jc w:val="center"/>
            </w:pPr>
            <w:r>
              <w:rPr>
                <w:rFonts w:hint="eastAsia"/>
                <w:sz w:val="24"/>
              </w:rPr>
              <w:t>12</w:t>
            </w:r>
          </w:p>
        </w:tc>
        <w:tc>
          <w:tcPr>
            <w:tcW w:w="4320" w:type="dxa"/>
            <w:vAlign w:val="center"/>
          </w:tcPr>
          <w:p w:rsidR="00651D53" w:rsidRDefault="00702C7E">
            <w:pPr>
              <w:jc w:val="left"/>
            </w:pPr>
            <w:r>
              <w:rPr>
                <w:rFonts w:hint="eastAsia"/>
                <w:sz w:val="24"/>
              </w:rPr>
              <w:t>交银施罗德活期通货币市场基金（更新）招募说明书摘要（</w:t>
            </w:r>
            <w:r>
              <w:rPr>
                <w:rFonts w:hint="eastAsia"/>
                <w:sz w:val="24"/>
              </w:rPr>
              <w:t>2019</w:t>
            </w:r>
            <w:r>
              <w:rPr>
                <w:rFonts w:hint="eastAsia"/>
                <w:sz w:val="24"/>
              </w:rPr>
              <w:t>年第</w:t>
            </w:r>
            <w:r>
              <w:rPr>
                <w:rFonts w:hint="eastAsia"/>
                <w:sz w:val="24"/>
              </w:rPr>
              <w:t>2</w:t>
            </w:r>
            <w:r>
              <w:rPr>
                <w:rFonts w:hint="eastAsia"/>
                <w:sz w:val="24"/>
              </w:rPr>
              <w:t>号）</w:t>
            </w:r>
          </w:p>
        </w:tc>
        <w:tc>
          <w:tcPr>
            <w:tcW w:w="2520" w:type="dxa"/>
            <w:vAlign w:val="center"/>
          </w:tcPr>
          <w:p w:rsidR="00651D53" w:rsidRDefault="00702C7E">
            <w:pPr>
              <w:jc w:val="center"/>
            </w:pPr>
            <w:r>
              <w:rPr>
                <w:rFonts w:hint="eastAsia"/>
                <w:sz w:val="24"/>
              </w:rPr>
              <w:t>中国证券报</w:t>
            </w:r>
          </w:p>
        </w:tc>
        <w:tc>
          <w:tcPr>
            <w:tcW w:w="1440" w:type="dxa"/>
            <w:vAlign w:val="center"/>
          </w:tcPr>
          <w:p w:rsidR="00651D53" w:rsidRDefault="00702C7E">
            <w:pPr>
              <w:jc w:val="center"/>
            </w:pPr>
            <w:r>
              <w:rPr>
                <w:rFonts w:hint="eastAsia"/>
                <w:sz w:val="24"/>
              </w:rPr>
              <w:t>2019-09-10</w:t>
            </w:r>
          </w:p>
        </w:tc>
      </w:tr>
      <w:tr w:rsidR="00651D53">
        <w:tc>
          <w:tcPr>
            <w:tcW w:w="720" w:type="dxa"/>
            <w:vAlign w:val="center"/>
          </w:tcPr>
          <w:p w:rsidR="00651D53" w:rsidRDefault="00702C7E">
            <w:pPr>
              <w:jc w:val="center"/>
            </w:pPr>
            <w:r>
              <w:rPr>
                <w:rFonts w:hint="eastAsia"/>
                <w:sz w:val="24"/>
              </w:rPr>
              <w:t>13</w:t>
            </w:r>
          </w:p>
        </w:tc>
        <w:tc>
          <w:tcPr>
            <w:tcW w:w="4320" w:type="dxa"/>
            <w:vAlign w:val="center"/>
          </w:tcPr>
          <w:p w:rsidR="00651D53" w:rsidRDefault="00702C7E">
            <w:pPr>
              <w:jc w:val="left"/>
            </w:pPr>
            <w:r>
              <w:rPr>
                <w:rFonts w:hint="eastAsia"/>
                <w:sz w:val="24"/>
              </w:rPr>
              <w:t>交银施罗德基金管理有限公司关于首席信息官任职的公告</w:t>
            </w:r>
          </w:p>
        </w:tc>
        <w:tc>
          <w:tcPr>
            <w:tcW w:w="2520" w:type="dxa"/>
            <w:vAlign w:val="center"/>
          </w:tcPr>
          <w:p w:rsidR="00651D53" w:rsidRDefault="00702C7E">
            <w:pPr>
              <w:jc w:val="center"/>
            </w:pPr>
            <w:r>
              <w:rPr>
                <w:rFonts w:hint="eastAsia"/>
                <w:sz w:val="24"/>
              </w:rPr>
              <w:t>中国证券报、上海证券报、证券时报</w:t>
            </w:r>
          </w:p>
        </w:tc>
        <w:tc>
          <w:tcPr>
            <w:tcW w:w="1440" w:type="dxa"/>
            <w:vAlign w:val="center"/>
          </w:tcPr>
          <w:p w:rsidR="00651D53" w:rsidRDefault="00702C7E">
            <w:pPr>
              <w:jc w:val="center"/>
            </w:pPr>
            <w:r>
              <w:rPr>
                <w:rFonts w:hint="eastAsia"/>
                <w:sz w:val="24"/>
              </w:rPr>
              <w:t>2019-09-21</w:t>
            </w:r>
          </w:p>
        </w:tc>
      </w:tr>
      <w:tr w:rsidR="00651D53">
        <w:tc>
          <w:tcPr>
            <w:tcW w:w="720" w:type="dxa"/>
            <w:vAlign w:val="center"/>
          </w:tcPr>
          <w:p w:rsidR="00651D53" w:rsidRDefault="00702C7E">
            <w:pPr>
              <w:jc w:val="center"/>
            </w:pPr>
            <w:r>
              <w:rPr>
                <w:rFonts w:hint="eastAsia"/>
                <w:sz w:val="24"/>
              </w:rPr>
              <w:t>14</w:t>
            </w:r>
          </w:p>
        </w:tc>
        <w:tc>
          <w:tcPr>
            <w:tcW w:w="4320" w:type="dxa"/>
            <w:vAlign w:val="center"/>
          </w:tcPr>
          <w:p w:rsidR="00651D53" w:rsidRDefault="00702C7E">
            <w:pPr>
              <w:jc w:val="left"/>
            </w:pPr>
            <w:r>
              <w:rPr>
                <w:rFonts w:hint="eastAsia"/>
                <w:sz w:val="24"/>
              </w:rPr>
              <w:t>交银施罗德基金管理有限公司关于交银施罗德活期通货币市场基金于</w:t>
            </w:r>
            <w:r>
              <w:rPr>
                <w:rFonts w:hint="eastAsia"/>
                <w:sz w:val="24"/>
              </w:rPr>
              <w:t>2019</w:t>
            </w:r>
            <w:r>
              <w:rPr>
                <w:rFonts w:hint="eastAsia"/>
                <w:sz w:val="24"/>
              </w:rPr>
              <w:t>年“国庆节”假期前暂停及节后恢复大额申购（转换转入、定期定额投资）业务公告</w:t>
            </w:r>
          </w:p>
        </w:tc>
        <w:tc>
          <w:tcPr>
            <w:tcW w:w="2520" w:type="dxa"/>
            <w:vAlign w:val="center"/>
          </w:tcPr>
          <w:p w:rsidR="00651D53" w:rsidRDefault="00702C7E">
            <w:pPr>
              <w:jc w:val="center"/>
            </w:pPr>
            <w:r>
              <w:rPr>
                <w:rFonts w:hint="eastAsia"/>
                <w:sz w:val="24"/>
              </w:rPr>
              <w:t>中国证券报</w:t>
            </w:r>
          </w:p>
        </w:tc>
        <w:tc>
          <w:tcPr>
            <w:tcW w:w="1440" w:type="dxa"/>
            <w:vAlign w:val="center"/>
          </w:tcPr>
          <w:p w:rsidR="00651D53" w:rsidRDefault="00702C7E">
            <w:pPr>
              <w:jc w:val="center"/>
            </w:pPr>
            <w:r>
              <w:rPr>
                <w:rFonts w:hint="eastAsia"/>
                <w:sz w:val="24"/>
              </w:rPr>
              <w:t>2019-09-27</w:t>
            </w:r>
          </w:p>
        </w:tc>
      </w:tr>
      <w:tr w:rsidR="00651D53">
        <w:tc>
          <w:tcPr>
            <w:tcW w:w="720" w:type="dxa"/>
            <w:vAlign w:val="center"/>
          </w:tcPr>
          <w:p w:rsidR="00651D53" w:rsidRDefault="00702C7E">
            <w:pPr>
              <w:jc w:val="center"/>
            </w:pPr>
            <w:r>
              <w:rPr>
                <w:rFonts w:hint="eastAsia"/>
                <w:sz w:val="24"/>
              </w:rPr>
              <w:t>15</w:t>
            </w:r>
          </w:p>
        </w:tc>
        <w:tc>
          <w:tcPr>
            <w:tcW w:w="4320" w:type="dxa"/>
            <w:vAlign w:val="center"/>
          </w:tcPr>
          <w:p w:rsidR="00651D53" w:rsidRDefault="00702C7E">
            <w:pPr>
              <w:jc w:val="left"/>
            </w:pPr>
            <w:r>
              <w:rPr>
                <w:rFonts w:hint="eastAsia"/>
                <w:sz w:val="24"/>
              </w:rPr>
              <w:t>交银施罗德基金管理有限公司关于增加珠海盈米基金销售有限公司为旗下基金销售机构的公告</w:t>
            </w:r>
          </w:p>
        </w:tc>
        <w:tc>
          <w:tcPr>
            <w:tcW w:w="2520" w:type="dxa"/>
            <w:vAlign w:val="center"/>
          </w:tcPr>
          <w:p w:rsidR="00651D53" w:rsidRDefault="00702C7E">
            <w:pPr>
              <w:jc w:val="center"/>
            </w:pPr>
            <w:r>
              <w:rPr>
                <w:rFonts w:hint="eastAsia"/>
                <w:sz w:val="24"/>
              </w:rPr>
              <w:t>中国证券报、上海证券报、证券时报</w:t>
            </w:r>
          </w:p>
        </w:tc>
        <w:tc>
          <w:tcPr>
            <w:tcW w:w="1440" w:type="dxa"/>
            <w:vAlign w:val="center"/>
          </w:tcPr>
          <w:p w:rsidR="00651D53" w:rsidRDefault="00702C7E">
            <w:pPr>
              <w:jc w:val="center"/>
            </w:pPr>
            <w:r>
              <w:rPr>
                <w:rFonts w:hint="eastAsia"/>
                <w:sz w:val="24"/>
              </w:rPr>
              <w:t>2019-09-30</w:t>
            </w:r>
          </w:p>
        </w:tc>
      </w:tr>
      <w:tr w:rsidR="00651D53">
        <w:tc>
          <w:tcPr>
            <w:tcW w:w="720" w:type="dxa"/>
            <w:vAlign w:val="center"/>
          </w:tcPr>
          <w:p w:rsidR="00651D53" w:rsidRDefault="00702C7E">
            <w:pPr>
              <w:jc w:val="center"/>
            </w:pPr>
            <w:r>
              <w:rPr>
                <w:rFonts w:hint="eastAsia"/>
                <w:sz w:val="24"/>
              </w:rPr>
              <w:t>16</w:t>
            </w:r>
          </w:p>
        </w:tc>
        <w:tc>
          <w:tcPr>
            <w:tcW w:w="4320" w:type="dxa"/>
            <w:vAlign w:val="center"/>
          </w:tcPr>
          <w:p w:rsidR="00651D53" w:rsidRDefault="00702C7E">
            <w:pPr>
              <w:jc w:val="left"/>
            </w:pPr>
            <w:r>
              <w:rPr>
                <w:rFonts w:hint="eastAsia"/>
                <w:sz w:val="24"/>
              </w:rPr>
              <w:t>交银施罗德基金管理有限公司旗下部分基金</w:t>
            </w:r>
            <w:r>
              <w:rPr>
                <w:rFonts w:hint="eastAsia"/>
                <w:sz w:val="24"/>
              </w:rPr>
              <w:t>2019</w:t>
            </w:r>
            <w:r>
              <w:rPr>
                <w:rFonts w:hint="eastAsia"/>
                <w:sz w:val="24"/>
              </w:rPr>
              <w:t>年第三季度报告提示性公告</w:t>
            </w:r>
          </w:p>
        </w:tc>
        <w:tc>
          <w:tcPr>
            <w:tcW w:w="2520" w:type="dxa"/>
            <w:vAlign w:val="center"/>
          </w:tcPr>
          <w:p w:rsidR="00651D53" w:rsidRDefault="00702C7E">
            <w:pPr>
              <w:jc w:val="center"/>
            </w:pPr>
            <w:r>
              <w:rPr>
                <w:rFonts w:hint="eastAsia"/>
                <w:sz w:val="24"/>
              </w:rPr>
              <w:t>中国证券报、上海证券报、证券时报</w:t>
            </w:r>
          </w:p>
        </w:tc>
        <w:tc>
          <w:tcPr>
            <w:tcW w:w="1440" w:type="dxa"/>
            <w:vAlign w:val="center"/>
          </w:tcPr>
          <w:p w:rsidR="00651D53" w:rsidRDefault="00702C7E">
            <w:pPr>
              <w:jc w:val="center"/>
            </w:pPr>
            <w:r>
              <w:rPr>
                <w:rFonts w:hint="eastAsia"/>
                <w:sz w:val="24"/>
              </w:rPr>
              <w:t>2019-10-22</w:t>
            </w:r>
          </w:p>
        </w:tc>
      </w:tr>
      <w:tr w:rsidR="00651D53">
        <w:tc>
          <w:tcPr>
            <w:tcW w:w="720" w:type="dxa"/>
            <w:vAlign w:val="center"/>
          </w:tcPr>
          <w:p w:rsidR="00651D53" w:rsidRDefault="00702C7E">
            <w:pPr>
              <w:jc w:val="center"/>
            </w:pPr>
            <w:r>
              <w:rPr>
                <w:rFonts w:hint="eastAsia"/>
                <w:sz w:val="24"/>
              </w:rPr>
              <w:t>17</w:t>
            </w:r>
          </w:p>
        </w:tc>
        <w:tc>
          <w:tcPr>
            <w:tcW w:w="4320" w:type="dxa"/>
            <w:vAlign w:val="center"/>
          </w:tcPr>
          <w:p w:rsidR="00651D53" w:rsidRDefault="00702C7E">
            <w:pPr>
              <w:jc w:val="left"/>
            </w:pPr>
            <w:r>
              <w:rPr>
                <w:rFonts w:hint="eastAsia"/>
                <w:sz w:val="24"/>
              </w:rPr>
              <w:t>交银施罗德活期通货币市场基金</w:t>
            </w:r>
            <w:r>
              <w:rPr>
                <w:rFonts w:hint="eastAsia"/>
                <w:sz w:val="24"/>
              </w:rPr>
              <w:t>2019</w:t>
            </w:r>
            <w:r>
              <w:rPr>
                <w:rFonts w:hint="eastAsia"/>
                <w:sz w:val="24"/>
              </w:rPr>
              <w:t>年第</w:t>
            </w:r>
            <w:r>
              <w:rPr>
                <w:rFonts w:hint="eastAsia"/>
                <w:sz w:val="24"/>
              </w:rPr>
              <w:t>3</w:t>
            </w:r>
            <w:r>
              <w:rPr>
                <w:rFonts w:hint="eastAsia"/>
                <w:sz w:val="24"/>
              </w:rPr>
              <w:t>季度报告</w:t>
            </w:r>
          </w:p>
        </w:tc>
        <w:tc>
          <w:tcPr>
            <w:tcW w:w="2520" w:type="dxa"/>
            <w:vAlign w:val="center"/>
          </w:tcPr>
          <w:p w:rsidR="00651D53" w:rsidRDefault="00702C7E">
            <w:pPr>
              <w:jc w:val="center"/>
            </w:pPr>
            <w:r>
              <w:rPr>
                <w:rFonts w:hint="eastAsia"/>
                <w:sz w:val="24"/>
              </w:rPr>
              <w:t>公司网站</w:t>
            </w:r>
          </w:p>
        </w:tc>
        <w:tc>
          <w:tcPr>
            <w:tcW w:w="1440" w:type="dxa"/>
            <w:vAlign w:val="center"/>
          </w:tcPr>
          <w:p w:rsidR="00651D53" w:rsidRDefault="00702C7E">
            <w:pPr>
              <w:jc w:val="center"/>
            </w:pPr>
            <w:r>
              <w:rPr>
                <w:rFonts w:hint="eastAsia"/>
                <w:sz w:val="24"/>
              </w:rPr>
              <w:t>2019-10-22</w:t>
            </w:r>
          </w:p>
        </w:tc>
      </w:tr>
      <w:tr w:rsidR="00651D53">
        <w:tc>
          <w:tcPr>
            <w:tcW w:w="720" w:type="dxa"/>
            <w:vAlign w:val="center"/>
          </w:tcPr>
          <w:p w:rsidR="00651D53" w:rsidRDefault="00702C7E">
            <w:pPr>
              <w:jc w:val="center"/>
            </w:pPr>
            <w:r>
              <w:rPr>
                <w:rFonts w:hint="eastAsia"/>
                <w:sz w:val="24"/>
              </w:rPr>
              <w:t>18</w:t>
            </w:r>
          </w:p>
        </w:tc>
        <w:tc>
          <w:tcPr>
            <w:tcW w:w="4320" w:type="dxa"/>
            <w:vAlign w:val="center"/>
          </w:tcPr>
          <w:p w:rsidR="00651D53" w:rsidRDefault="00702C7E">
            <w:pPr>
              <w:jc w:val="left"/>
            </w:pPr>
            <w:r>
              <w:rPr>
                <w:rFonts w:hint="eastAsia"/>
                <w:sz w:val="24"/>
              </w:rPr>
              <w:t>交银施罗德基金管理有限公司关于提醒投资者及时提供或更新身份信息资料的公告</w:t>
            </w:r>
          </w:p>
        </w:tc>
        <w:tc>
          <w:tcPr>
            <w:tcW w:w="2520" w:type="dxa"/>
            <w:vAlign w:val="center"/>
          </w:tcPr>
          <w:p w:rsidR="00651D53" w:rsidRDefault="00702C7E">
            <w:pPr>
              <w:jc w:val="center"/>
            </w:pPr>
            <w:r>
              <w:rPr>
                <w:rFonts w:hint="eastAsia"/>
                <w:sz w:val="24"/>
              </w:rPr>
              <w:t>中国证券报、上海证券报、证券时报</w:t>
            </w:r>
          </w:p>
        </w:tc>
        <w:tc>
          <w:tcPr>
            <w:tcW w:w="1440" w:type="dxa"/>
            <w:vAlign w:val="center"/>
          </w:tcPr>
          <w:p w:rsidR="00651D53" w:rsidRDefault="00702C7E">
            <w:pPr>
              <w:jc w:val="center"/>
            </w:pPr>
            <w:r>
              <w:rPr>
                <w:rFonts w:hint="eastAsia"/>
                <w:sz w:val="24"/>
              </w:rPr>
              <w:t>2019-10-28</w:t>
            </w:r>
          </w:p>
        </w:tc>
      </w:tr>
      <w:tr w:rsidR="00651D53">
        <w:tc>
          <w:tcPr>
            <w:tcW w:w="720" w:type="dxa"/>
            <w:vAlign w:val="center"/>
          </w:tcPr>
          <w:p w:rsidR="00651D53" w:rsidRDefault="00702C7E">
            <w:pPr>
              <w:jc w:val="center"/>
            </w:pPr>
            <w:r>
              <w:rPr>
                <w:rFonts w:hint="eastAsia"/>
                <w:sz w:val="24"/>
              </w:rPr>
              <w:t>19</w:t>
            </w:r>
          </w:p>
        </w:tc>
        <w:tc>
          <w:tcPr>
            <w:tcW w:w="4320" w:type="dxa"/>
            <w:vAlign w:val="center"/>
          </w:tcPr>
          <w:p w:rsidR="00651D53" w:rsidRDefault="00702C7E">
            <w:pPr>
              <w:jc w:val="left"/>
            </w:pPr>
            <w:r>
              <w:rPr>
                <w:rFonts w:hint="eastAsia"/>
                <w:sz w:val="24"/>
              </w:rPr>
              <w:t>交银施罗德基金管理有限公司根据《公开募集证券投资基金信息披露管理办法》修改旗下</w:t>
            </w:r>
            <w:r>
              <w:rPr>
                <w:rFonts w:hint="eastAsia"/>
                <w:sz w:val="24"/>
              </w:rPr>
              <w:t>31</w:t>
            </w:r>
            <w:r>
              <w:rPr>
                <w:rFonts w:hint="eastAsia"/>
                <w:sz w:val="24"/>
              </w:rPr>
              <w:t>只公募基金基金合同、</w:t>
            </w:r>
            <w:r>
              <w:rPr>
                <w:rFonts w:hint="eastAsia"/>
                <w:sz w:val="24"/>
              </w:rPr>
              <w:lastRenderedPageBreak/>
              <w:t>托管协议及招募说明书的公告</w:t>
            </w:r>
          </w:p>
        </w:tc>
        <w:tc>
          <w:tcPr>
            <w:tcW w:w="2520" w:type="dxa"/>
            <w:vAlign w:val="center"/>
          </w:tcPr>
          <w:p w:rsidR="00651D53" w:rsidRDefault="00702C7E">
            <w:pPr>
              <w:jc w:val="center"/>
            </w:pPr>
            <w:r>
              <w:rPr>
                <w:rFonts w:hint="eastAsia"/>
                <w:sz w:val="24"/>
              </w:rPr>
              <w:lastRenderedPageBreak/>
              <w:t>中国证券报、上海证券报、证券时报</w:t>
            </w:r>
          </w:p>
        </w:tc>
        <w:tc>
          <w:tcPr>
            <w:tcW w:w="1440" w:type="dxa"/>
            <w:vAlign w:val="center"/>
          </w:tcPr>
          <w:p w:rsidR="00651D53" w:rsidRDefault="00702C7E">
            <w:pPr>
              <w:jc w:val="center"/>
            </w:pPr>
            <w:r>
              <w:rPr>
                <w:rFonts w:hint="eastAsia"/>
                <w:sz w:val="24"/>
              </w:rPr>
              <w:t>2019-11-06</w:t>
            </w:r>
          </w:p>
        </w:tc>
      </w:tr>
      <w:tr w:rsidR="00651D53">
        <w:tc>
          <w:tcPr>
            <w:tcW w:w="720" w:type="dxa"/>
            <w:vAlign w:val="center"/>
          </w:tcPr>
          <w:p w:rsidR="00651D53" w:rsidRDefault="00702C7E">
            <w:pPr>
              <w:jc w:val="center"/>
            </w:pPr>
            <w:r>
              <w:rPr>
                <w:rFonts w:hint="eastAsia"/>
                <w:sz w:val="24"/>
              </w:rPr>
              <w:t>20</w:t>
            </w:r>
          </w:p>
        </w:tc>
        <w:tc>
          <w:tcPr>
            <w:tcW w:w="4320" w:type="dxa"/>
            <w:vAlign w:val="center"/>
          </w:tcPr>
          <w:p w:rsidR="00651D53" w:rsidRDefault="00702C7E">
            <w:pPr>
              <w:jc w:val="left"/>
            </w:pPr>
            <w:r>
              <w:rPr>
                <w:rFonts w:hint="eastAsia"/>
                <w:sz w:val="24"/>
              </w:rPr>
              <w:t>交银施罗德活期通货币市场基金基金合同</w:t>
            </w:r>
          </w:p>
        </w:tc>
        <w:tc>
          <w:tcPr>
            <w:tcW w:w="2520" w:type="dxa"/>
            <w:vAlign w:val="center"/>
          </w:tcPr>
          <w:p w:rsidR="00651D53" w:rsidRDefault="00702C7E">
            <w:pPr>
              <w:jc w:val="center"/>
            </w:pPr>
            <w:r>
              <w:rPr>
                <w:rFonts w:hint="eastAsia"/>
                <w:sz w:val="24"/>
              </w:rPr>
              <w:t>公司网站</w:t>
            </w:r>
          </w:p>
        </w:tc>
        <w:tc>
          <w:tcPr>
            <w:tcW w:w="1440" w:type="dxa"/>
            <w:vAlign w:val="center"/>
          </w:tcPr>
          <w:p w:rsidR="00651D53" w:rsidRDefault="00702C7E">
            <w:pPr>
              <w:jc w:val="center"/>
            </w:pPr>
            <w:r>
              <w:rPr>
                <w:rFonts w:hint="eastAsia"/>
                <w:sz w:val="24"/>
              </w:rPr>
              <w:t>2019-11-06</w:t>
            </w:r>
          </w:p>
        </w:tc>
      </w:tr>
      <w:tr w:rsidR="00651D53">
        <w:tc>
          <w:tcPr>
            <w:tcW w:w="720" w:type="dxa"/>
            <w:vAlign w:val="center"/>
          </w:tcPr>
          <w:p w:rsidR="00651D53" w:rsidRDefault="00702C7E">
            <w:pPr>
              <w:jc w:val="center"/>
            </w:pPr>
            <w:r>
              <w:rPr>
                <w:rFonts w:hint="eastAsia"/>
                <w:sz w:val="24"/>
              </w:rPr>
              <w:t>21</w:t>
            </w:r>
          </w:p>
        </w:tc>
        <w:tc>
          <w:tcPr>
            <w:tcW w:w="4320" w:type="dxa"/>
            <w:vAlign w:val="center"/>
          </w:tcPr>
          <w:p w:rsidR="00651D53" w:rsidRDefault="00702C7E">
            <w:pPr>
              <w:jc w:val="left"/>
            </w:pPr>
            <w:r>
              <w:rPr>
                <w:rFonts w:hint="eastAsia"/>
                <w:sz w:val="24"/>
              </w:rPr>
              <w:t>交银施罗德活期通货币市场基金托管协议</w:t>
            </w:r>
          </w:p>
        </w:tc>
        <w:tc>
          <w:tcPr>
            <w:tcW w:w="2520" w:type="dxa"/>
            <w:vAlign w:val="center"/>
          </w:tcPr>
          <w:p w:rsidR="00651D53" w:rsidRDefault="00702C7E">
            <w:pPr>
              <w:jc w:val="center"/>
            </w:pPr>
            <w:r>
              <w:rPr>
                <w:rFonts w:hint="eastAsia"/>
                <w:sz w:val="24"/>
              </w:rPr>
              <w:t>公司网站</w:t>
            </w:r>
          </w:p>
        </w:tc>
        <w:tc>
          <w:tcPr>
            <w:tcW w:w="1440" w:type="dxa"/>
            <w:vAlign w:val="center"/>
          </w:tcPr>
          <w:p w:rsidR="00651D53" w:rsidRDefault="00702C7E">
            <w:pPr>
              <w:jc w:val="center"/>
            </w:pPr>
            <w:r>
              <w:rPr>
                <w:rFonts w:hint="eastAsia"/>
                <w:sz w:val="24"/>
              </w:rPr>
              <w:t>2019-11-06</w:t>
            </w:r>
          </w:p>
        </w:tc>
      </w:tr>
      <w:tr w:rsidR="00651D53">
        <w:tc>
          <w:tcPr>
            <w:tcW w:w="720" w:type="dxa"/>
            <w:vAlign w:val="center"/>
          </w:tcPr>
          <w:p w:rsidR="00651D53" w:rsidRDefault="00702C7E">
            <w:pPr>
              <w:jc w:val="center"/>
            </w:pPr>
            <w:r>
              <w:rPr>
                <w:rFonts w:hint="eastAsia"/>
                <w:sz w:val="24"/>
              </w:rPr>
              <w:t>22</w:t>
            </w:r>
          </w:p>
        </w:tc>
        <w:tc>
          <w:tcPr>
            <w:tcW w:w="4320" w:type="dxa"/>
            <w:vAlign w:val="center"/>
          </w:tcPr>
          <w:p w:rsidR="00651D53" w:rsidRDefault="00702C7E">
            <w:pPr>
              <w:jc w:val="left"/>
            </w:pPr>
            <w:r>
              <w:rPr>
                <w:rFonts w:hint="eastAsia"/>
                <w:sz w:val="24"/>
              </w:rPr>
              <w:t>交银施罗德活期通货币市场基金招募说明书</w:t>
            </w:r>
          </w:p>
        </w:tc>
        <w:tc>
          <w:tcPr>
            <w:tcW w:w="2520" w:type="dxa"/>
            <w:vAlign w:val="center"/>
          </w:tcPr>
          <w:p w:rsidR="00651D53" w:rsidRDefault="00702C7E">
            <w:pPr>
              <w:jc w:val="center"/>
            </w:pPr>
            <w:r>
              <w:rPr>
                <w:rFonts w:hint="eastAsia"/>
                <w:sz w:val="24"/>
              </w:rPr>
              <w:t>公司网站</w:t>
            </w:r>
          </w:p>
        </w:tc>
        <w:tc>
          <w:tcPr>
            <w:tcW w:w="1440" w:type="dxa"/>
            <w:vAlign w:val="center"/>
          </w:tcPr>
          <w:p w:rsidR="00651D53" w:rsidRDefault="00702C7E">
            <w:pPr>
              <w:jc w:val="center"/>
            </w:pPr>
            <w:r>
              <w:rPr>
                <w:rFonts w:hint="eastAsia"/>
                <w:sz w:val="24"/>
              </w:rPr>
              <w:t>2019-11-06</w:t>
            </w:r>
          </w:p>
        </w:tc>
      </w:tr>
      <w:tr w:rsidR="00651D53">
        <w:tc>
          <w:tcPr>
            <w:tcW w:w="720" w:type="dxa"/>
            <w:vAlign w:val="center"/>
          </w:tcPr>
          <w:p w:rsidR="00651D53" w:rsidRDefault="00702C7E">
            <w:pPr>
              <w:jc w:val="center"/>
            </w:pPr>
            <w:r>
              <w:rPr>
                <w:rFonts w:hint="eastAsia"/>
                <w:sz w:val="24"/>
              </w:rPr>
              <w:t>23</w:t>
            </w:r>
          </w:p>
        </w:tc>
        <w:tc>
          <w:tcPr>
            <w:tcW w:w="4320" w:type="dxa"/>
            <w:vAlign w:val="center"/>
          </w:tcPr>
          <w:p w:rsidR="00651D53" w:rsidRDefault="00702C7E">
            <w:pPr>
              <w:jc w:val="left"/>
            </w:pPr>
            <w:r>
              <w:rPr>
                <w:rFonts w:hint="eastAsia"/>
                <w:sz w:val="24"/>
              </w:rPr>
              <w:t>交银施罗德活期通货币市场基金招募说明书摘要</w:t>
            </w:r>
          </w:p>
        </w:tc>
        <w:tc>
          <w:tcPr>
            <w:tcW w:w="2520" w:type="dxa"/>
            <w:vAlign w:val="center"/>
          </w:tcPr>
          <w:p w:rsidR="00651D53" w:rsidRDefault="00702C7E">
            <w:pPr>
              <w:jc w:val="center"/>
            </w:pPr>
            <w:r>
              <w:rPr>
                <w:rFonts w:hint="eastAsia"/>
                <w:sz w:val="24"/>
              </w:rPr>
              <w:t>公司网站</w:t>
            </w:r>
          </w:p>
        </w:tc>
        <w:tc>
          <w:tcPr>
            <w:tcW w:w="1440" w:type="dxa"/>
            <w:vAlign w:val="center"/>
          </w:tcPr>
          <w:p w:rsidR="00651D53" w:rsidRDefault="00702C7E">
            <w:pPr>
              <w:jc w:val="center"/>
            </w:pPr>
            <w:r>
              <w:rPr>
                <w:rFonts w:hint="eastAsia"/>
                <w:sz w:val="24"/>
              </w:rPr>
              <w:t>2019-11-06</w:t>
            </w:r>
          </w:p>
        </w:tc>
      </w:tr>
      <w:tr w:rsidR="00651D53">
        <w:tc>
          <w:tcPr>
            <w:tcW w:w="720" w:type="dxa"/>
            <w:vAlign w:val="center"/>
          </w:tcPr>
          <w:p w:rsidR="00651D53" w:rsidRDefault="00702C7E">
            <w:pPr>
              <w:jc w:val="center"/>
            </w:pPr>
            <w:r>
              <w:rPr>
                <w:rFonts w:hint="eastAsia"/>
                <w:sz w:val="24"/>
              </w:rPr>
              <w:t>24</w:t>
            </w:r>
          </w:p>
        </w:tc>
        <w:tc>
          <w:tcPr>
            <w:tcW w:w="4320" w:type="dxa"/>
            <w:vAlign w:val="center"/>
          </w:tcPr>
          <w:p w:rsidR="00651D53" w:rsidRDefault="00702C7E">
            <w:pPr>
              <w:jc w:val="left"/>
            </w:pPr>
            <w:r>
              <w:rPr>
                <w:rFonts w:hint="eastAsia"/>
                <w:sz w:val="24"/>
              </w:rPr>
              <w:t>交银施罗德基金管理有限公司关于增加中国人寿保险股份有限公司为旗下基金销售机构的公告</w:t>
            </w:r>
          </w:p>
        </w:tc>
        <w:tc>
          <w:tcPr>
            <w:tcW w:w="2520" w:type="dxa"/>
            <w:vAlign w:val="center"/>
          </w:tcPr>
          <w:p w:rsidR="00651D53" w:rsidRDefault="00702C7E">
            <w:pPr>
              <w:jc w:val="center"/>
            </w:pPr>
            <w:r>
              <w:rPr>
                <w:rFonts w:hint="eastAsia"/>
                <w:sz w:val="24"/>
              </w:rPr>
              <w:t>中国证券报、上海证券报、证券时报</w:t>
            </w:r>
          </w:p>
        </w:tc>
        <w:tc>
          <w:tcPr>
            <w:tcW w:w="1440" w:type="dxa"/>
            <w:vAlign w:val="center"/>
          </w:tcPr>
          <w:p w:rsidR="00651D53" w:rsidRDefault="00702C7E">
            <w:pPr>
              <w:jc w:val="center"/>
            </w:pPr>
            <w:r>
              <w:rPr>
                <w:rFonts w:hint="eastAsia"/>
                <w:sz w:val="24"/>
              </w:rPr>
              <w:t>2019-11-11</w:t>
            </w:r>
          </w:p>
        </w:tc>
      </w:tr>
    </w:tbl>
    <w:p w:rsidR="00EE746D" w:rsidRPr="00EE746D" w:rsidRDefault="00EE746D" w:rsidP="00EE746D">
      <w:pPr>
        <w:tabs>
          <w:tab w:val="left" w:pos="426"/>
        </w:tabs>
        <w:spacing w:before="29" w:line="288" w:lineRule="auto"/>
        <w:jc w:val="left"/>
        <w:rPr>
          <w:kern w:val="0"/>
          <w:sz w:val="24"/>
        </w:rPr>
      </w:pPr>
    </w:p>
    <w:p w:rsidR="005324CE" w:rsidRPr="00723729" w:rsidRDefault="00527203"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2" w:name="_Toc374532345"/>
      <w:bookmarkStart w:id="133" w:name="_Toc35962175"/>
      <w:r>
        <w:rPr>
          <w:rFonts w:eastAsiaTheme="minorEastAsia"/>
          <w:b/>
          <w:bCs/>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2"/>
      <w:bookmarkEnd w:id="133"/>
    </w:p>
    <w:p w:rsidR="005324CE" w:rsidRPr="002379AA" w:rsidRDefault="005324CE" w:rsidP="002379AA">
      <w:pPr>
        <w:pStyle w:val="20"/>
        <w:spacing w:before="29" w:after="0" w:line="288" w:lineRule="auto"/>
        <w:rPr>
          <w:rFonts w:ascii="Times New Roman" w:hAnsi="Times New Roman" w:cs="Times New Roman"/>
          <w:kern w:val="0"/>
          <w:szCs w:val="24"/>
        </w:rPr>
      </w:pPr>
      <w:bookmarkStart w:id="134" w:name="_Toc35962176"/>
      <w:r w:rsidRPr="002379AA">
        <w:rPr>
          <w:rFonts w:ascii="Times New Roman" w:hAnsi="Times New Roman" w:cs="Times New Roman"/>
          <w:kern w:val="0"/>
          <w:szCs w:val="24"/>
        </w:rPr>
        <w:t>12.</w:t>
      </w:r>
      <w:r w:rsidRPr="002379AA">
        <w:rPr>
          <w:rFonts w:ascii="Times New Roman" w:hAnsi="Times New Roman" w:cs="Times New Roman" w:hint="eastAsia"/>
          <w:kern w:val="0"/>
          <w:szCs w:val="24"/>
        </w:rPr>
        <w:t xml:space="preserve">1 </w:t>
      </w:r>
      <w:r w:rsidRPr="002379AA">
        <w:rPr>
          <w:rFonts w:ascii="Times New Roman" w:hAnsi="Times New Roman" w:cs="Times New Roman" w:hint="eastAsia"/>
          <w:kern w:val="0"/>
          <w:szCs w:val="24"/>
        </w:rPr>
        <w:t>报告期内单一投资者持有基金份额比例达到或超过</w:t>
      </w:r>
      <w:r w:rsidRPr="002379AA">
        <w:rPr>
          <w:rFonts w:ascii="Times New Roman" w:hAnsi="Times New Roman" w:cs="Times New Roman" w:hint="eastAsia"/>
          <w:kern w:val="0"/>
          <w:szCs w:val="24"/>
        </w:rPr>
        <w:t>20%</w:t>
      </w:r>
      <w:r w:rsidRPr="002379AA">
        <w:rPr>
          <w:rFonts w:ascii="Times New Roman" w:hAnsi="Times New Roman" w:cs="Times New Roman" w:hint="eastAsia"/>
          <w:kern w:val="0"/>
          <w:szCs w:val="24"/>
        </w:rPr>
        <w:t>的情况</w:t>
      </w:r>
      <w:bookmarkEnd w:id="13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51D53">
        <w:tc>
          <w:tcPr>
            <w:tcW w:w="993" w:type="dxa"/>
            <w:vMerge w:val="restart"/>
          </w:tcPr>
          <w:p w:rsidR="00651D53" w:rsidRDefault="00651D53"/>
          <w:p w:rsidR="00651D53" w:rsidRDefault="00702C7E">
            <w:r>
              <w:rPr>
                <w:rFonts w:ascii="宋体" w:hAnsi="宋体" w:hint="eastAsia"/>
                <w:bCs/>
                <w:color w:val="000000"/>
                <w:kern w:val="0"/>
                <w:szCs w:val="21"/>
              </w:rPr>
              <w:t>机构</w:t>
            </w:r>
          </w:p>
        </w:tc>
        <w:tc>
          <w:tcPr>
            <w:tcW w:w="992" w:type="dxa"/>
            <w:vAlign w:val="center"/>
          </w:tcPr>
          <w:p w:rsidR="00651D53" w:rsidRDefault="00702C7E">
            <w:pPr>
              <w:jc w:val="center"/>
            </w:pPr>
            <w:r>
              <w:rPr>
                <w:rFonts w:ascii="宋体" w:hAnsi="宋体"/>
                <w:color w:val="000000"/>
                <w:kern w:val="0"/>
                <w:szCs w:val="21"/>
              </w:rPr>
              <w:t>1</w:t>
            </w:r>
          </w:p>
        </w:tc>
        <w:tc>
          <w:tcPr>
            <w:tcW w:w="1843" w:type="dxa"/>
            <w:vAlign w:val="center"/>
          </w:tcPr>
          <w:p w:rsidR="00651D53" w:rsidRDefault="00702C7E">
            <w:pPr>
              <w:jc w:val="center"/>
            </w:pPr>
            <w:r>
              <w:rPr>
                <w:rFonts w:ascii="宋体" w:hAnsi="宋体"/>
                <w:color w:val="000000"/>
                <w:kern w:val="0"/>
                <w:szCs w:val="21"/>
              </w:rPr>
              <w:t>2019/1/1-2019/12/31</w:t>
            </w:r>
          </w:p>
        </w:tc>
        <w:tc>
          <w:tcPr>
            <w:tcW w:w="851" w:type="dxa"/>
            <w:vAlign w:val="center"/>
          </w:tcPr>
          <w:p w:rsidR="00651D53" w:rsidRDefault="00702C7E">
            <w:pPr>
              <w:jc w:val="center"/>
            </w:pPr>
            <w:r>
              <w:rPr>
                <w:rFonts w:ascii="宋体" w:hAnsi="宋体"/>
                <w:color w:val="000000"/>
                <w:kern w:val="0"/>
                <w:szCs w:val="21"/>
              </w:rPr>
              <w:t>9,380,902,681.73</w:t>
            </w:r>
          </w:p>
        </w:tc>
        <w:tc>
          <w:tcPr>
            <w:tcW w:w="850" w:type="dxa"/>
            <w:vAlign w:val="center"/>
          </w:tcPr>
          <w:p w:rsidR="00651D53" w:rsidRDefault="00702C7E">
            <w:pPr>
              <w:jc w:val="center"/>
            </w:pPr>
            <w:r>
              <w:rPr>
                <w:rFonts w:ascii="宋体" w:hAnsi="宋体"/>
                <w:color w:val="000000"/>
                <w:kern w:val="0"/>
                <w:szCs w:val="21"/>
              </w:rPr>
              <w:t>3,073,502,635.46</w:t>
            </w:r>
          </w:p>
        </w:tc>
        <w:tc>
          <w:tcPr>
            <w:tcW w:w="1134" w:type="dxa"/>
            <w:vAlign w:val="center"/>
          </w:tcPr>
          <w:p w:rsidR="00651D53" w:rsidRDefault="00702C7E">
            <w:pPr>
              <w:jc w:val="center"/>
            </w:pPr>
            <w:r>
              <w:rPr>
                <w:rFonts w:ascii="宋体" w:hAnsi="宋体"/>
                <w:color w:val="000000"/>
                <w:kern w:val="0"/>
                <w:szCs w:val="21"/>
              </w:rPr>
              <w:t>6,400,000,000.00</w:t>
            </w:r>
          </w:p>
        </w:tc>
        <w:tc>
          <w:tcPr>
            <w:tcW w:w="1419" w:type="dxa"/>
            <w:vAlign w:val="center"/>
          </w:tcPr>
          <w:p w:rsidR="00651D53" w:rsidRDefault="00702C7E">
            <w:pPr>
              <w:jc w:val="center"/>
            </w:pPr>
            <w:r>
              <w:rPr>
                <w:rFonts w:ascii="宋体" w:hAnsi="宋体"/>
                <w:color w:val="000000"/>
                <w:kern w:val="0"/>
                <w:szCs w:val="21"/>
              </w:rPr>
              <w:t>6,054,405,317.19</w:t>
            </w:r>
          </w:p>
        </w:tc>
        <w:tc>
          <w:tcPr>
            <w:tcW w:w="1130" w:type="dxa"/>
            <w:vAlign w:val="center"/>
          </w:tcPr>
          <w:p w:rsidR="00651D53" w:rsidRDefault="00702C7E">
            <w:pPr>
              <w:jc w:val="center"/>
            </w:pPr>
            <w:r>
              <w:rPr>
                <w:rFonts w:ascii="宋体" w:hAnsi="宋体"/>
                <w:color w:val="000000"/>
                <w:kern w:val="0"/>
                <w:szCs w:val="21"/>
              </w:rPr>
              <w:t>17.36%</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2379AA" w:rsidRDefault="005324CE" w:rsidP="002379AA">
      <w:pPr>
        <w:pStyle w:val="20"/>
        <w:spacing w:before="29" w:after="0" w:line="288" w:lineRule="auto"/>
        <w:rPr>
          <w:rFonts w:ascii="Times New Roman" w:hAnsi="Times New Roman" w:cs="Times New Roman"/>
          <w:kern w:val="0"/>
          <w:szCs w:val="24"/>
        </w:rPr>
      </w:pPr>
      <w:bookmarkStart w:id="135" w:name="_Toc35962177"/>
      <w:r w:rsidRPr="002379AA">
        <w:rPr>
          <w:rFonts w:ascii="Times New Roman" w:hAnsi="Times New Roman" w:cs="Times New Roman" w:hint="eastAsia"/>
          <w:kern w:val="0"/>
          <w:szCs w:val="24"/>
        </w:rPr>
        <w:t xml:space="preserve">12.2 </w:t>
      </w:r>
      <w:r w:rsidRPr="002379AA">
        <w:rPr>
          <w:rFonts w:ascii="Times New Roman" w:hAnsi="Times New Roman" w:cs="Times New Roman" w:hint="eastAsia"/>
          <w:kern w:val="0"/>
          <w:szCs w:val="24"/>
        </w:rPr>
        <w:t>影响投资者决策的其他重要信息</w:t>
      </w:r>
      <w:bookmarkEnd w:id="135"/>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6" w:name="_Toc331410126"/>
      <w:bookmarkStart w:id="137" w:name="_Toc225500055"/>
      <w:bookmarkStart w:id="138" w:name="_Toc35962178"/>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6"/>
      <w:bookmarkEnd w:id="137"/>
      <w:bookmarkEnd w:id="138"/>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9" w:name="_Toc331410127"/>
      <w:bookmarkStart w:id="140" w:name="_Toc3596217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9"/>
      <w:bookmarkEnd w:id="140"/>
    </w:p>
    <w:p w:rsidR="00651D53" w:rsidRDefault="00702C7E">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、中国证监会准予交银施罗德活期通货币市场基金募集注册的文件；</w:t>
      </w:r>
      <w:r>
        <w:rPr>
          <w:rFonts w:hint="eastAsia"/>
          <w:kern w:val="0"/>
          <w:sz w:val="24"/>
        </w:rPr>
        <w:t xml:space="preserve"> </w:t>
      </w:r>
    </w:p>
    <w:p w:rsidR="00651D53" w:rsidRDefault="00702C7E">
      <w:pPr>
        <w:tabs>
          <w:tab w:val="left" w:pos="426"/>
        </w:tabs>
        <w:spacing w:before="29" w:line="288" w:lineRule="auto"/>
        <w:rPr>
          <w:kern w:val="0"/>
          <w:sz w:val="24"/>
        </w:rPr>
      </w:pPr>
      <w:r>
        <w:rPr>
          <w:rFonts w:hint="eastAsia"/>
          <w:kern w:val="0"/>
          <w:sz w:val="24"/>
        </w:rPr>
        <w:t>2</w:t>
      </w:r>
      <w:r>
        <w:rPr>
          <w:rFonts w:hint="eastAsia"/>
          <w:kern w:val="0"/>
          <w:sz w:val="24"/>
        </w:rPr>
        <w:t>、《交银施罗德活期通货币市场基金基金合同》；</w:t>
      </w:r>
      <w:r>
        <w:rPr>
          <w:rFonts w:hint="eastAsia"/>
          <w:kern w:val="0"/>
          <w:sz w:val="24"/>
        </w:rPr>
        <w:t xml:space="preserve"> </w:t>
      </w:r>
    </w:p>
    <w:p w:rsidR="00651D53" w:rsidRDefault="00702C7E">
      <w:pPr>
        <w:tabs>
          <w:tab w:val="left" w:pos="426"/>
        </w:tabs>
        <w:spacing w:before="29" w:line="288" w:lineRule="auto"/>
        <w:rPr>
          <w:kern w:val="0"/>
          <w:sz w:val="24"/>
        </w:rPr>
      </w:pPr>
      <w:r>
        <w:rPr>
          <w:rFonts w:hint="eastAsia"/>
          <w:kern w:val="0"/>
          <w:sz w:val="24"/>
        </w:rPr>
        <w:lastRenderedPageBreak/>
        <w:t>3</w:t>
      </w:r>
      <w:r>
        <w:rPr>
          <w:rFonts w:hint="eastAsia"/>
          <w:kern w:val="0"/>
          <w:sz w:val="24"/>
        </w:rPr>
        <w:t>、《交银施罗德活期通货币市场基金招募说明书》；</w:t>
      </w:r>
      <w:r>
        <w:rPr>
          <w:rFonts w:hint="eastAsia"/>
          <w:kern w:val="0"/>
          <w:sz w:val="24"/>
        </w:rPr>
        <w:t xml:space="preserve"> </w:t>
      </w:r>
    </w:p>
    <w:p w:rsidR="00651D53" w:rsidRDefault="00702C7E">
      <w:pPr>
        <w:tabs>
          <w:tab w:val="left" w:pos="426"/>
        </w:tabs>
        <w:spacing w:before="29" w:line="288" w:lineRule="auto"/>
        <w:rPr>
          <w:kern w:val="0"/>
          <w:sz w:val="24"/>
        </w:rPr>
      </w:pPr>
      <w:r>
        <w:rPr>
          <w:rFonts w:hint="eastAsia"/>
          <w:kern w:val="0"/>
          <w:sz w:val="24"/>
        </w:rPr>
        <w:t>4</w:t>
      </w:r>
      <w:r>
        <w:rPr>
          <w:rFonts w:hint="eastAsia"/>
          <w:kern w:val="0"/>
          <w:sz w:val="24"/>
        </w:rPr>
        <w:t>、《交银施罗德活期通货币市场基金托管协议》；</w:t>
      </w:r>
      <w:r>
        <w:rPr>
          <w:rFonts w:hint="eastAsia"/>
          <w:kern w:val="0"/>
          <w:sz w:val="24"/>
        </w:rPr>
        <w:t xml:space="preserve"> </w:t>
      </w:r>
    </w:p>
    <w:p w:rsidR="00651D53" w:rsidRDefault="00702C7E">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、关于申请募集注册交银施罗德活期通货币市场基金的法律意见书；</w:t>
      </w:r>
      <w:r>
        <w:rPr>
          <w:rFonts w:hint="eastAsia"/>
          <w:kern w:val="0"/>
          <w:sz w:val="24"/>
        </w:rPr>
        <w:t xml:space="preserve"> </w:t>
      </w:r>
    </w:p>
    <w:p w:rsidR="00651D53" w:rsidRDefault="00702C7E">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651D53" w:rsidRDefault="00702C7E">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、报告期内交银施罗德活期通货币市场基金在指定报刊上各项公告的原稿。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8"/>
      <w:bookmarkStart w:id="142" w:name="_Toc35962180"/>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1"/>
      <w:bookmarkEnd w:id="142"/>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9"/>
      <w:bookmarkStart w:id="144" w:name="_Toc3596218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3"/>
      <w:bookmarkEnd w:id="144"/>
    </w:p>
    <w:p w:rsidR="00651D53" w:rsidRDefault="00702C7E">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二〇二〇年三月三十日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26" w:rsidRDefault="001E3626">
      <w:r>
        <w:separator/>
      </w:r>
    </w:p>
  </w:endnote>
  <w:endnote w:type="continuationSeparator" w:id="0">
    <w:p w:rsidR="001E3626" w:rsidRDefault="001E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0D38FD">
      <w:rPr>
        <w:noProof/>
        <w:kern w:val="0"/>
        <w:szCs w:val="21"/>
      </w:rPr>
      <w:t>4</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0D38FD">
      <w:rPr>
        <w:noProof/>
        <w:kern w:val="0"/>
        <w:szCs w:val="21"/>
      </w:rPr>
      <w:t>59</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26" w:rsidRDefault="001E3626">
      <w:r>
        <w:separator/>
      </w:r>
    </w:p>
  </w:footnote>
  <w:footnote w:type="continuationSeparator" w:id="0">
    <w:p w:rsidR="001E3626" w:rsidRDefault="001E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交银施罗德活期通货币市场基金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8FD"/>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18B"/>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626"/>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9AA"/>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551"/>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679C6"/>
    <w:rsid w:val="003709E0"/>
    <w:rsid w:val="00370AA4"/>
    <w:rsid w:val="003711F2"/>
    <w:rsid w:val="003717FC"/>
    <w:rsid w:val="00371AC7"/>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9FE"/>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DDB"/>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1D53"/>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2C7E"/>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47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2765"/>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3E5"/>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270"/>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749"/>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1A1"/>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941"/>
    <w:rsid w:val="00BB3D8C"/>
    <w:rsid w:val="00BB4AA6"/>
    <w:rsid w:val="00BB4B39"/>
    <w:rsid w:val="00BB53AF"/>
    <w:rsid w:val="00BB5883"/>
    <w:rsid w:val="00BB5C26"/>
    <w:rsid w:val="00BB6A40"/>
    <w:rsid w:val="00BB75B3"/>
    <w:rsid w:val="00BC013A"/>
    <w:rsid w:val="00BC0863"/>
    <w:rsid w:val="00BC162A"/>
    <w:rsid w:val="00BC2343"/>
    <w:rsid w:val="00BC3A9C"/>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2F17"/>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90"/>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708"/>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06"/>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245"/>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4AAC-137B-4EA2-B607-94252D19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59</Pages>
  <Words>7668</Words>
  <Characters>43713</Characters>
  <Application>Microsoft Office Word</Application>
  <DocSecurity>0</DocSecurity>
  <Lines>364</Lines>
  <Paragraphs>102</Paragraphs>
  <ScaleCrop>false</ScaleCrop>
  <Company/>
  <LinksUpToDate>false</LinksUpToDate>
  <CharactersWithSpaces>51279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戴梦菲</cp:lastModifiedBy>
  <cp:revision>1804</cp:revision>
  <cp:lastPrinted>2007-07-19T00:46:00Z</cp:lastPrinted>
  <dcterms:created xsi:type="dcterms:W3CDTF">2013-06-22T02:32:00Z</dcterms:created>
  <dcterms:modified xsi:type="dcterms:W3CDTF">2020-03-24T09:08:00Z</dcterms:modified>
</cp:coreProperties>
</file>