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交银施罗德丰晟收益债券型证券投资基金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2019</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2019</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招商银行股份有限公司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二〇二〇年三月三十日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6173"/>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35966174"/>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644057" w:rsidRDefault="00A20092">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644057" w:rsidRDefault="00A20092">
      <w:pPr>
        <w:spacing w:before="29" w:line="288" w:lineRule="auto"/>
        <w:ind w:firstLineChars="200" w:firstLine="480"/>
        <w:rPr>
          <w:color w:val="000000"/>
          <w:sz w:val="24"/>
        </w:rPr>
      </w:pPr>
      <w:r>
        <w:rPr>
          <w:color w:val="000000"/>
          <w:sz w:val="24"/>
        </w:rPr>
        <w:t>基金托管人招商银行股份有限公司根据本基金合同规定，于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644057" w:rsidRDefault="00A20092">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44057" w:rsidRDefault="00A20092">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2019</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196E59">
      <w:pPr>
        <w:pStyle w:val="20"/>
        <w:spacing w:before="29" w:after="0" w:line="288" w:lineRule="auto"/>
        <w:rPr>
          <w:b w:val="0"/>
          <w:color w:val="000000"/>
          <w:szCs w:val="21"/>
        </w:rPr>
      </w:pPr>
      <w:r w:rsidRPr="00D564C7">
        <w:rPr>
          <w:rFonts w:asciiTheme="minorEastAsia" w:eastAsiaTheme="minorEastAsia" w:hAnsiTheme="minorEastAsia"/>
          <w:szCs w:val="21"/>
        </w:rPr>
        <w:br w:type="page"/>
      </w:r>
      <w:bookmarkStart w:id="7" w:name="_Toc245193808"/>
      <w:bookmarkStart w:id="8" w:name="_Toc35966175"/>
      <w:r w:rsidR="00352EBB" w:rsidRPr="00196E59">
        <w:rPr>
          <w:rFonts w:ascii="Times New Roman" w:hAnsi="Times New Roman"/>
          <w:kern w:val="0"/>
          <w:szCs w:val="24"/>
        </w:rPr>
        <w:lastRenderedPageBreak/>
        <w:t>1.2</w:t>
      </w:r>
      <w:r w:rsidR="00352EBB" w:rsidRPr="00196E59">
        <w:rPr>
          <w:rFonts w:ascii="Times New Roman" w:hAnsi="Times New Roman" w:hint="eastAsia"/>
          <w:kern w:val="0"/>
          <w:szCs w:val="24"/>
        </w:rPr>
        <w:t>目录</w:t>
      </w:r>
      <w:bookmarkEnd w:id="7"/>
      <w:bookmarkEnd w:id="8"/>
    </w:p>
    <w:p w:rsidR="003C488C" w:rsidRPr="00FC674E" w:rsidRDefault="003C488C" w:rsidP="00FC674E">
      <w:pPr>
        <w:spacing w:line="360" w:lineRule="auto"/>
        <w:ind w:firstLineChars="50" w:firstLine="120"/>
        <w:rPr>
          <w:rFonts w:ascii="宋体" w:hAnsi="宋体"/>
          <w:b/>
          <w:color w:val="000000"/>
          <w:sz w:val="24"/>
        </w:rPr>
      </w:pPr>
    </w:p>
    <w:p w:rsidR="00196E59"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35966173" w:history="1">
        <w:r w:rsidR="00196E59" w:rsidRPr="00AF28F8">
          <w:rPr>
            <w:rStyle w:val="a9"/>
            <w:b/>
            <w:bCs/>
            <w:noProof/>
          </w:rPr>
          <w:t xml:space="preserve">§1  </w:t>
        </w:r>
        <w:r w:rsidR="00196E59" w:rsidRPr="00AF28F8">
          <w:rPr>
            <w:rStyle w:val="a9"/>
            <w:rFonts w:hint="eastAsia"/>
            <w:b/>
            <w:bCs/>
            <w:noProof/>
          </w:rPr>
          <w:t>重要提示及目录</w:t>
        </w:r>
        <w:r w:rsidR="00196E59">
          <w:rPr>
            <w:noProof/>
            <w:webHidden/>
          </w:rPr>
          <w:tab/>
        </w:r>
        <w:r w:rsidR="00196E59">
          <w:rPr>
            <w:noProof/>
            <w:webHidden/>
          </w:rPr>
          <w:fldChar w:fldCharType="begin"/>
        </w:r>
        <w:r w:rsidR="00196E59">
          <w:rPr>
            <w:noProof/>
            <w:webHidden/>
          </w:rPr>
          <w:instrText xml:space="preserve"> PAGEREF _Toc35966173 \h </w:instrText>
        </w:r>
        <w:r w:rsidR="00196E59">
          <w:rPr>
            <w:noProof/>
            <w:webHidden/>
          </w:rPr>
        </w:r>
        <w:r w:rsidR="00196E59">
          <w:rPr>
            <w:noProof/>
            <w:webHidden/>
          </w:rPr>
          <w:fldChar w:fldCharType="separate"/>
        </w:r>
        <w:r w:rsidR="00196E59">
          <w:rPr>
            <w:noProof/>
            <w:webHidden/>
          </w:rPr>
          <w:t>2</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174" w:history="1">
        <w:r w:rsidR="00196E59" w:rsidRPr="00AF28F8">
          <w:rPr>
            <w:rStyle w:val="a9"/>
            <w:noProof/>
          </w:rPr>
          <w:t xml:space="preserve">1.1 </w:t>
        </w:r>
        <w:r w:rsidR="00196E59" w:rsidRPr="00AF28F8">
          <w:rPr>
            <w:rStyle w:val="a9"/>
            <w:rFonts w:hint="eastAsia"/>
            <w:noProof/>
          </w:rPr>
          <w:t>重要提示</w:t>
        </w:r>
        <w:r w:rsidR="00196E59">
          <w:rPr>
            <w:noProof/>
            <w:webHidden/>
          </w:rPr>
          <w:tab/>
        </w:r>
        <w:r w:rsidR="00196E59">
          <w:rPr>
            <w:noProof/>
            <w:webHidden/>
          </w:rPr>
          <w:fldChar w:fldCharType="begin"/>
        </w:r>
        <w:r w:rsidR="00196E59">
          <w:rPr>
            <w:noProof/>
            <w:webHidden/>
          </w:rPr>
          <w:instrText xml:space="preserve"> PAGEREF _Toc35966174 \h </w:instrText>
        </w:r>
        <w:r w:rsidR="00196E59">
          <w:rPr>
            <w:noProof/>
            <w:webHidden/>
          </w:rPr>
        </w:r>
        <w:r w:rsidR="00196E59">
          <w:rPr>
            <w:noProof/>
            <w:webHidden/>
          </w:rPr>
          <w:fldChar w:fldCharType="separate"/>
        </w:r>
        <w:r w:rsidR="00196E59">
          <w:rPr>
            <w:noProof/>
            <w:webHidden/>
          </w:rPr>
          <w:t>2</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175" w:history="1">
        <w:r w:rsidR="00196E59" w:rsidRPr="00AF28F8">
          <w:rPr>
            <w:rStyle w:val="a9"/>
            <w:noProof/>
          </w:rPr>
          <w:t>1.2</w:t>
        </w:r>
        <w:r w:rsidR="00196E59" w:rsidRPr="00AF28F8">
          <w:rPr>
            <w:rStyle w:val="a9"/>
            <w:rFonts w:hint="eastAsia"/>
            <w:noProof/>
          </w:rPr>
          <w:t>目录</w:t>
        </w:r>
        <w:r w:rsidR="00196E59">
          <w:rPr>
            <w:noProof/>
            <w:webHidden/>
          </w:rPr>
          <w:tab/>
          <w:t>………………………………………………………………………………………………..</w:t>
        </w:r>
        <w:r w:rsidR="00196E59">
          <w:rPr>
            <w:noProof/>
            <w:webHidden/>
          </w:rPr>
          <w:fldChar w:fldCharType="begin"/>
        </w:r>
        <w:r w:rsidR="00196E59">
          <w:rPr>
            <w:noProof/>
            <w:webHidden/>
          </w:rPr>
          <w:instrText xml:space="preserve"> PAGEREF _Toc35966175 \h </w:instrText>
        </w:r>
        <w:r w:rsidR="00196E59">
          <w:rPr>
            <w:noProof/>
            <w:webHidden/>
          </w:rPr>
        </w:r>
        <w:r w:rsidR="00196E59">
          <w:rPr>
            <w:noProof/>
            <w:webHidden/>
          </w:rPr>
          <w:fldChar w:fldCharType="separate"/>
        </w:r>
        <w:r w:rsidR="00196E59">
          <w:rPr>
            <w:noProof/>
            <w:webHidden/>
          </w:rPr>
          <w:t>3</w:t>
        </w:r>
        <w:r w:rsidR="00196E59">
          <w:rPr>
            <w:noProof/>
            <w:webHidden/>
          </w:rPr>
          <w:fldChar w:fldCharType="end"/>
        </w:r>
      </w:hyperlink>
    </w:p>
    <w:p w:rsidR="00196E59" w:rsidRDefault="00AC171A">
      <w:pPr>
        <w:pStyle w:val="11"/>
        <w:rPr>
          <w:rFonts w:asciiTheme="minorHAnsi" w:eastAsiaTheme="minorEastAsia" w:hAnsiTheme="minorHAnsi" w:cstheme="minorBidi"/>
          <w:noProof/>
          <w:szCs w:val="22"/>
        </w:rPr>
      </w:pPr>
      <w:hyperlink w:anchor="_Toc35966176" w:history="1">
        <w:r w:rsidR="00196E59" w:rsidRPr="00AF28F8">
          <w:rPr>
            <w:rStyle w:val="a9"/>
            <w:b/>
            <w:bCs/>
            <w:noProof/>
          </w:rPr>
          <w:t xml:space="preserve">§2  </w:t>
        </w:r>
        <w:r w:rsidR="00196E59" w:rsidRPr="00AF28F8">
          <w:rPr>
            <w:rStyle w:val="a9"/>
            <w:rFonts w:hint="eastAsia"/>
            <w:b/>
            <w:bCs/>
            <w:noProof/>
          </w:rPr>
          <w:t>基金简介</w:t>
        </w:r>
        <w:r w:rsidR="00196E59">
          <w:rPr>
            <w:noProof/>
            <w:webHidden/>
          </w:rPr>
          <w:tab/>
        </w:r>
        <w:r w:rsidR="00196E59">
          <w:rPr>
            <w:noProof/>
            <w:webHidden/>
          </w:rPr>
          <w:fldChar w:fldCharType="begin"/>
        </w:r>
        <w:r w:rsidR="00196E59">
          <w:rPr>
            <w:noProof/>
            <w:webHidden/>
          </w:rPr>
          <w:instrText xml:space="preserve"> PAGEREF _Toc35966176 \h </w:instrText>
        </w:r>
        <w:r w:rsidR="00196E59">
          <w:rPr>
            <w:noProof/>
            <w:webHidden/>
          </w:rPr>
        </w:r>
        <w:r w:rsidR="00196E59">
          <w:rPr>
            <w:noProof/>
            <w:webHidden/>
          </w:rPr>
          <w:fldChar w:fldCharType="separate"/>
        </w:r>
        <w:r w:rsidR="00196E59">
          <w:rPr>
            <w:noProof/>
            <w:webHidden/>
          </w:rPr>
          <w:t>8</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177" w:history="1">
        <w:r w:rsidR="00196E59" w:rsidRPr="00AF28F8">
          <w:rPr>
            <w:rStyle w:val="a9"/>
            <w:noProof/>
          </w:rPr>
          <w:t>2.1</w:t>
        </w:r>
        <w:r w:rsidR="00196E59" w:rsidRPr="00AF28F8">
          <w:rPr>
            <w:rStyle w:val="a9"/>
            <w:rFonts w:hint="eastAsia"/>
            <w:noProof/>
          </w:rPr>
          <w:t>基金基本情况</w:t>
        </w:r>
        <w:r w:rsidR="00196E59">
          <w:rPr>
            <w:noProof/>
            <w:webHidden/>
          </w:rPr>
          <w:tab/>
        </w:r>
        <w:r w:rsidR="00196E59">
          <w:rPr>
            <w:noProof/>
            <w:webHidden/>
          </w:rPr>
          <w:fldChar w:fldCharType="begin"/>
        </w:r>
        <w:r w:rsidR="00196E59">
          <w:rPr>
            <w:noProof/>
            <w:webHidden/>
          </w:rPr>
          <w:instrText xml:space="preserve"> PAGEREF _Toc35966177 \h </w:instrText>
        </w:r>
        <w:r w:rsidR="00196E59">
          <w:rPr>
            <w:noProof/>
            <w:webHidden/>
          </w:rPr>
        </w:r>
        <w:r w:rsidR="00196E59">
          <w:rPr>
            <w:noProof/>
            <w:webHidden/>
          </w:rPr>
          <w:fldChar w:fldCharType="separate"/>
        </w:r>
        <w:r w:rsidR="00196E59">
          <w:rPr>
            <w:noProof/>
            <w:webHidden/>
          </w:rPr>
          <w:t>8</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178" w:history="1">
        <w:r w:rsidR="00196E59" w:rsidRPr="00AF28F8">
          <w:rPr>
            <w:rStyle w:val="a9"/>
            <w:noProof/>
          </w:rPr>
          <w:t xml:space="preserve">2.2 </w:t>
        </w:r>
        <w:r w:rsidR="00196E59" w:rsidRPr="00AF28F8">
          <w:rPr>
            <w:rStyle w:val="a9"/>
            <w:rFonts w:hint="eastAsia"/>
            <w:noProof/>
          </w:rPr>
          <w:t>基金产品说明</w:t>
        </w:r>
        <w:r w:rsidR="00196E59">
          <w:rPr>
            <w:noProof/>
            <w:webHidden/>
          </w:rPr>
          <w:tab/>
        </w:r>
        <w:r w:rsidR="00196E59">
          <w:rPr>
            <w:noProof/>
            <w:webHidden/>
          </w:rPr>
          <w:fldChar w:fldCharType="begin"/>
        </w:r>
        <w:r w:rsidR="00196E59">
          <w:rPr>
            <w:noProof/>
            <w:webHidden/>
          </w:rPr>
          <w:instrText xml:space="preserve"> PAGEREF _Toc35966178 \h </w:instrText>
        </w:r>
        <w:r w:rsidR="00196E59">
          <w:rPr>
            <w:noProof/>
            <w:webHidden/>
          </w:rPr>
        </w:r>
        <w:r w:rsidR="00196E59">
          <w:rPr>
            <w:noProof/>
            <w:webHidden/>
          </w:rPr>
          <w:fldChar w:fldCharType="separate"/>
        </w:r>
        <w:r w:rsidR="00196E59">
          <w:rPr>
            <w:noProof/>
            <w:webHidden/>
          </w:rPr>
          <w:t>8</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179" w:history="1">
        <w:r w:rsidR="00196E59" w:rsidRPr="00AF28F8">
          <w:rPr>
            <w:rStyle w:val="a9"/>
            <w:noProof/>
          </w:rPr>
          <w:t xml:space="preserve">2.3 </w:t>
        </w:r>
        <w:r w:rsidR="00196E59" w:rsidRPr="00AF28F8">
          <w:rPr>
            <w:rStyle w:val="a9"/>
            <w:rFonts w:hint="eastAsia"/>
            <w:noProof/>
          </w:rPr>
          <w:t>基金管理人和基金托管人</w:t>
        </w:r>
        <w:r w:rsidR="00196E59">
          <w:rPr>
            <w:noProof/>
            <w:webHidden/>
          </w:rPr>
          <w:tab/>
        </w:r>
        <w:r w:rsidR="00196E59">
          <w:rPr>
            <w:noProof/>
            <w:webHidden/>
          </w:rPr>
          <w:fldChar w:fldCharType="begin"/>
        </w:r>
        <w:r w:rsidR="00196E59">
          <w:rPr>
            <w:noProof/>
            <w:webHidden/>
          </w:rPr>
          <w:instrText xml:space="preserve"> PAGEREF _Toc35966179 \h </w:instrText>
        </w:r>
        <w:r w:rsidR="00196E59">
          <w:rPr>
            <w:noProof/>
            <w:webHidden/>
          </w:rPr>
        </w:r>
        <w:r w:rsidR="00196E59">
          <w:rPr>
            <w:noProof/>
            <w:webHidden/>
          </w:rPr>
          <w:fldChar w:fldCharType="separate"/>
        </w:r>
        <w:r w:rsidR="00196E59">
          <w:rPr>
            <w:noProof/>
            <w:webHidden/>
          </w:rPr>
          <w:t>9</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180" w:history="1">
        <w:r w:rsidR="00196E59" w:rsidRPr="00AF28F8">
          <w:rPr>
            <w:rStyle w:val="a9"/>
            <w:noProof/>
          </w:rPr>
          <w:t xml:space="preserve">2.4 </w:t>
        </w:r>
        <w:r w:rsidR="00196E59" w:rsidRPr="00AF28F8">
          <w:rPr>
            <w:rStyle w:val="a9"/>
            <w:rFonts w:hint="eastAsia"/>
            <w:noProof/>
          </w:rPr>
          <w:t>信息披露方式</w:t>
        </w:r>
        <w:r w:rsidR="00196E59">
          <w:rPr>
            <w:noProof/>
            <w:webHidden/>
          </w:rPr>
          <w:tab/>
        </w:r>
        <w:r w:rsidR="00196E59">
          <w:rPr>
            <w:noProof/>
            <w:webHidden/>
          </w:rPr>
          <w:fldChar w:fldCharType="begin"/>
        </w:r>
        <w:r w:rsidR="00196E59">
          <w:rPr>
            <w:noProof/>
            <w:webHidden/>
          </w:rPr>
          <w:instrText xml:space="preserve"> PAGEREF _Toc35966180 \h </w:instrText>
        </w:r>
        <w:r w:rsidR="00196E59">
          <w:rPr>
            <w:noProof/>
            <w:webHidden/>
          </w:rPr>
        </w:r>
        <w:r w:rsidR="00196E59">
          <w:rPr>
            <w:noProof/>
            <w:webHidden/>
          </w:rPr>
          <w:fldChar w:fldCharType="separate"/>
        </w:r>
        <w:r w:rsidR="00196E59">
          <w:rPr>
            <w:noProof/>
            <w:webHidden/>
          </w:rPr>
          <w:t>9</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181" w:history="1">
        <w:r w:rsidR="00196E59" w:rsidRPr="00AF28F8">
          <w:rPr>
            <w:rStyle w:val="a9"/>
            <w:noProof/>
          </w:rPr>
          <w:t xml:space="preserve">2.5 </w:t>
        </w:r>
        <w:r w:rsidR="00196E59" w:rsidRPr="00AF28F8">
          <w:rPr>
            <w:rStyle w:val="a9"/>
            <w:rFonts w:hint="eastAsia"/>
            <w:noProof/>
          </w:rPr>
          <w:t>其他相关资料</w:t>
        </w:r>
        <w:r w:rsidR="00196E59">
          <w:rPr>
            <w:noProof/>
            <w:webHidden/>
          </w:rPr>
          <w:tab/>
        </w:r>
        <w:r w:rsidR="00196E59">
          <w:rPr>
            <w:noProof/>
            <w:webHidden/>
          </w:rPr>
          <w:fldChar w:fldCharType="begin"/>
        </w:r>
        <w:r w:rsidR="00196E59">
          <w:rPr>
            <w:noProof/>
            <w:webHidden/>
          </w:rPr>
          <w:instrText xml:space="preserve"> PAGEREF _Toc35966181 \h </w:instrText>
        </w:r>
        <w:r w:rsidR="00196E59">
          <w:rPr>
            <w:noProof/>
            <w:webHidden/>
          </w:rPr>
        </w:r>
        <w:r w:rsidR="00196E59">
          <w:rPr>
            <w:noProof/>
            <w:webHidden/>
          </w:rPr>
          <w:fldChar w:fldCharType="separate"/>
        </w:r>
        <w:r w:rsidR="00196E59">
          <w:rPr>
            <w:noProof/>
            <w:webHidden/>
          </w:rPr>
          <w:t>10</w:t>
        </w:r>
        <w:r w:rsidR="00196E59">
          <w:rPr>
            <w:noProof/>
            <w:webHidden/>
          </w:rPr>
          <w:fldChar w:fldCharType="end"/>
        </w:r>
      </w:hyperlink>
    </w:p>
    <w:p w:rsidR="00196E59" w:rsidRDefault="00AC171A">
      <w:pPr>
        <w:pStyle w:val="11"/>
        <w:rPr>
          <w:rFonts w:asciiTheme="minorHAnsi" w:eastAsiaTheme="minorEastAsia" w:hAnsiTheme="minorHAnsi" w:cstheme="minorBidi"/>
          <w:noProof/>
          <w:szCs w:val="22"/>
        </w:rPr>
      </w:pPr>
      <w:hyperlink w:anchor="_Toc35966182" w:history="1">
        <w:r w:rsidR="00196E59" w:rsidRPr="00AF28F8">
          <w:rPr>
            <w:rStyle w:val="a9"/>
            <w:b/>
            <w:bCs/>
            <w:noProof/>
          </w:rPr>
          <w:t xml:space="preserve">§3 </w:t>
        </w:r>
        <w:r w:rsidR="00196E59" w:rsidRPr="00AF28F8">
          <w:rPr>
            <w:rStyle w:val="a9"/>
            <w:rFonts w:hint="eastAsia"/>
            <w:b/>
            <w:bCs/>
            <w:noProof/>
          </w:rPr>
          <w:t>主要财务指标、基金净值表现及利润分配情况</w:t>
        </w:r>
        <w:r w:rsidR="00196E59">
          <w:rPr>
            <w:noProof/>
            <w:webHidden/>
          </w:rPr>
          <w:tab/>
        </w:r>
        <w:r w:rsidR="00196E59">
          <w:rPr>
            <w:noProof/>
            <w:webHidden/>
          </w:rPr>
          <w:fldChar w:fldCharType="begin"/>
        </w:r>
        <w:r w:rsidR="00196E59">
          <w:rPr>
            <w:noProof/>
            <w:webHidden/>
          </w:rPr>
          <w:instrText xml:space="preserve"> PAGEREF _Toc35966182 \h </w:instrText>
        </w:r>
        <w:r w:rsidR="00196E59">
          <w:rPr>
            <w:noProof/>
            <w:webHidden/>
          </w:rPr>
        </w:r>
        <w:r w:rsidR="00196E59">
          <w:rPr>
            <w:noProof/>
            <w:webHidden/>
          </w:rPr>
          <w:fldChar w:fldCharType="separate"/>
        </w:r>
        <w:r w:rsidR="00196E59">
          <w:rPr>
            <w:noProof/>
            <w:webHidden/>
          </w:rPr>
          <w:t>10</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183" w:history="1">
        <w:r w:rsidR="00196E59" w:rsidRPr="00AF28F8">
          <w:rPr>
            <w:rStyle w:val="a9"/>
            <w:noProof/>
          </w:rPr>
          <w:t xml:space="preserve">3.1 </w:t>
        </w:r>
        <w:r w:rsidR="00196E59" w:rsidRPr="00AF28F8">
          <w:rPr>
            <w:rStyle w:val="a9"/>
            <w:rFonts w:hint="eastAsia"/>
            <w:noProof/>
          </w:rPr>
          <w:t>主要会计数据和财务指标</w:t>
        </w:r>
        <w:r w:rsidR="00196E59">
          <w:rPr>
            <w:noProof/>
            <w:webHidden/>
          </w:rPr>
          <w:tab/>
        </w:r>
        <w:r w:rsidR="00196E59">
          <w:rPr>
            <w:noProof/>
            <w:webHidden/>
          </w:rPr>
          <w:fldChar w:fldCharType="begin"/>
        </w:r>
        <w:r w:rsidR="00196E59">
          <w:rPr>
            <w:noProof/>
            <w:webHidden/>
          </w:rPr>
          <w:instrText xml:space="preserve"> PAGEREF _Toc35966183 \h </w:instrText>
        </w:r>
        <w:r w:rsidR="00196E59">
          <w:rPr>
            <w:noProof/>
            <w:webHidden/>
          </w:rPr>
        </w:r>
        <w:r w:rsidR="00196E59">
          <w:rPr>
            <w:noProof/>
            <w:webHidden/>
          </w:rPr>
          <w:fldChar w:fldCharType="separate"/>
        </w:r>
        <w:r w:rsidR="00196E59">
          <w:rPr>
            <w:noProof/>
            <w:webHidden/>
          </w:rPr>
          <w:t>10</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184" w:history="1">
        <w:r w:rsidR="00196E59" w:rsidRPr="00AF28F8">
          <w:rPr>
            <w:rStyle w:val="a9"/>
            <w:noProof/>
          </w:rPr>
          <w:t xml:space="preserve">3.2 </w:t>
        </w:r>
        <w:r w:rsidR="00196E59" w:rsidRPr="00AF28F8">
          <w:rPr>
            <w:rStyle w:val="a9"/>
            <w:rFonts w:hint="eastAsia"/>
            <w:noProof/>
          </w:rPr>
          <w:t>基金净值表现</w:t>
        </w:r>
        <w:r w:rsidR="00196E59">
          <w:rPr>
            <w:noProof/>
            <w:webHidden/>
          </w:rPr>
          <w:tab/>
        </w:r>
        <w:r w:rsidR="00196E59">
          <w:rPr>
            <w:noProof/>
            <w:webHidden/>
          </w:rPr>
          <w:fldChar w:fldCharType="begin"/>
        </w:r>
        <w:r w:rsidR="00196E59">
          <w:rPr>
            <w:noProof/>
            <w:webHidden/>
          </w:rPr>
          <w:instrText xml:space="preserve"> PAGEREF _Toc35966184 \h </w:instrText>
        </w:r>
        <w:r w:rsidR="00196E59">
          <w:rPr>
            <w:noProof/>
            <w:webHidden/>
          </w:rPr>
        </w:r>
        <w:r w:rsidR="00196E59">
          <w:rPr>
            <w:noProof/>
            <w:webHidden/>
          </w:rPr>
          <w:fldChar w:fldCharType="separate"/>
        </w:r>
        <w:r w:rsidR="00196E59">
          <w:rPr>
            <w:noProof/>
            <w:webHidden/>
          </w:rPr>
          <w:t>11</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188" w:history="1">
        <w:r w:rsidR="00196E59" w:rsidRPr="00AF28F8">
          <w:rPr>
            <w:rStyle w:val="a9"/>
            <w:noProof/>
          </w:rPr>
          <w:t>3.3</w:t>
        </w:r>
        <w:r w:rsidR="00196E59" w:rsidRPr="00AF28F8">
          <w:rPr>
            <w:rStyle w:val="a9"/>
            <w:rFonts w:hint="eastAsia"/>
            <w:noProof/>
          </w:rPr>
          <w:t>过去三年基金的利润分配情况</w:t>
        </w:r>
        <w:r w:rsidR="00196E59">
          <w:rPr>
            <w:noProof/>
            <w:webHidden/>
          </w:rPr>
          <w:tab/>
        </w:r>
        <w:r w:rsidR="00196E59">
          <w:rPr>
            <w:noProof/>
            <w:webHidden/>
          </w:rPr>
          <w:fldChar w:fldCharType="begin"/>
        </w:r>
        <w:r w:rsidR="00196E59">
          <w:rPr>
            <w:noProof/>
            <w:webHidden/>
          </w:rPr>
          <w:instrText xml:space="preserve"> PAGEREF _Toc35966188 \h </w:instrText>
        </w:r>
        <w:r w:rsidR="00196E59">
          <w:rPr>
            <w:noProof/>
            <w:webHidden/>
          </w:rPr>
        </w:r>
        <w:r w:rsidR="00196E59">
          <w:rPr>
            <w:noProof/>
            <w:webHidden/>
          </w:rPr>
          <w:fldChar w:fldCharType="separate"/>
        </w:r>
        <w:r w:rsidR="00196E59">
          <w:rPr>
            <w:noProof/>
            <w:webHidden/>
          </w:rPr>
          <w:t>14</w:t>
        </w:r>
        <w:r w:rsidR="00196E59">
          <w:rPr>
            <w:noProof/>
            <w:webHidden/>
          </w:rPr>
          <w:fldChar w:fldCharType="end"/>
        </w:r>
      </w:hyperlink>
    </w:p>
    <w:p w:rsidR="00196E59" w:rsidRDefault="00AC171A">
      <w:pPr>
        <w:pStyle w:val="11"/>
        <w:rPr>
          <w:rFonts w:asciiTheme="minorHAnsi" w:eastAsiaTheme="minorEastAsia" w:hAnsiTheme="minorHAnsi" w:cstheme="minorBidi"/>
          <w:noProof/>
          <w:szCs w:val="22"/>
        </w:rPr>
      </w:pPr>
      <w:hyperlink w:anchor="_Toc35966189" w:history="1">
        <w:r w:rsidR="00196E59" w:rsidRPr="00AF28F8">
          <w:rPr>
            <w:rStyle w:val="a9"/>
            <w:b/>
            <w:bCs/>
            <w:noProof/>
          </w:rPr>
          <w:t xml:space="preserve">§4  </w:t>
        </w:r>
        <w:r w:rsidR="00196E59" w:rsidRPr="00AF28F8">
          <w:rPr>
            <w:rStyle w:val="a9"/>
            <w:rFonts w:hint="eastAsia"/>
            <w:b/>
            <w:bCs/>
            <w:noProof/>
          </w:rPr>
          <w:t>管理人报告</w:t>
        </w:r>
        <w:r w:rsidR="00196E59">
          <w:rPr>
            <w:noProof/>
            <w:webHidden/>
          </w:rPr>
          <w:tab/>
        </w:r>
        <w:r w:rsidR="00196E59">
          <w:rPr>
            <w:noProof/>
            <w:webHidden/>
          </w:rPr>
          <w:fldChar w:fldCharType="begin"/>
        </w:r>
        <w:r w:rsidR="00196E59">
          <w:rPr>
            <w:noProof/>
            <w:webHidden/>
          </w:rPr>
          <w:instrText xml:space="preserve"> PAGEREF _Toc35966189 \h </w:instrText>
        </w:r>
        <w:r w:rsidR="00196E59">
          <w:rPr>
            <w:noProof/>
            <w:webHidden/>
          </w:rPr>
        </w:r>
        <w:r w:rsidR="00196E59">
          <w:rPr>
            <w:noProof/>
            <w:webHidden/>
          </w:rPr>
          <w:fldChar w:fldCharType="separate"/>
        </w:r>
        <w:r w:rsidR="00196E59">
          <w:rPr>
            <w:noProof/>
            <w:webHidden/>
          </w:rPr>
          <w:t>15</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190" w:history="1">
        <w:r w:rsidR="00196E59" w:rsidRPr="00AF28F8">
          <w:rPr>
            <w:rStyle w:val="a9"/>
            <w:noProof/>
          </w:rPr>
          <w:t xml:space="preserve">4.1 </w:t>
        </w:r>
        <w:r w:rsidR="00196E59" w:rsidRPr="00AF28F8">
          <w:rPr>
            <w:rStyle w:val="a9"/>
            <w:rFonts w:hint="eastAsia"/>
            <w:noProof/>
          </w:rPr>
          <w:t>基金管理人及基金经理情况</w:t>
        </w:r>
        <w:r w:rsidR="00196E59">
          <w:rPr>
            <w:noProof/>
            <w:webHidden/>
          </w:rPr>
          <w:tab/>
        </w:r>
        <w:r w:rsidR="00196E59">
          <w:rPr>
            <w:noProof/>
            <w:webHidden/>
          </w:rPr>
          <w:fldChar w:fldCharType="begin"/>
        </w:r>
        <w:r w:rsidR="00196E59">
          <w:rPr>
            <w:noProof/>
            <w:webHidden/>
          </w:rPr>
          <w:instrText xml:space="preserve"> PAGEREF _Toc35966190 \h </w:instrText>
        </w:r>
        <w:r w:rsidR="00196E59">
          <w:rPr>
            <w:noProof/>
            <w:webHidden/>
          </w:rPr>
        </w:r>
        <w:r w:rsidR="00196E59">
          <w:rPr>
            <w:noProof/>
            <w:webHidden/>
          </w:rPr>
          <w:fldChar w:fldCharType="separate"/>
        </w:r>
        <w:r w:rsidR="00196E59">
          <w:rPr>
            <w:noProof/>
            <w:webHidden/>
          </w:rPr>
          <w:t>15</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193" w:history="1">
        <w:r w:rsidR="00196E59" w:rsidRPr="00AF28F8">
          <w:rPr>
            <w:rStyle w:val="a9"/>
            <w:noProof/>
          </w:rPr>
          <w:t xml:space="preserve">4.2 </w:t>
        </w:r>
        <w:r w:rsidR="00196E59" w:rsidRPr="00AF28F8">
          <w:rPr>
            <w:rStyle w:val="a9"/>
            <w:rFonts w:hint="eastAsia"/>
            <w:noProof/>
          </w:rPr>
          <w:t>管理人对报告期内本基金运作遵规守信情况的说明</w:t>
        </w:r>
        <w:r w:rsidR="00196E59">
          <w:rPr>
            <w:noProof/>
            <w:webHidden/>
          </w:rPr>
          <w:tab/>
        </w:r>
        <w:r w:rsidR="00196E59">
          <w:rPr>
            <w:noProof/>
            <w:webHidden/>
          </w:rPr>
          <w:fldChar w:fldCharType="begin"/>
        </w:r>
        <w:r w:rsidR="00196E59">
          <w:rPr>
            <w:noProof/>
            <w:webHidden/>
          </w:rPr>
          <w:instrText xml:space="preserve"> PAGEREF _Toc35966193 \h </w:instrText>
        </w:r>
        <w:r w:rsidR="00196E59">
          <w:rPr>
            <w:noProof/>
            <w:webHidden/>
          </w:rPr>
        </w:r>
        <w:r w:rsidR="00196E59">
          <w:rPr>
            <w:noProof/>
            <w:webHidden/>
          </w:rPr>
          <w:fldChar w:fldCharType="separate"/>
        </w:r>
        <w:r w:rsidR="00196E59">
          <w:rPr>
            <w:noProof/>
            <w:webHidden/>
          </w:rPr>
          <w:t>17</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194" w:history="1">
        <w:r w:rsidR="00196E59" w:rsidRPr="00AF28F8">
          <w:rPr>
            <w:rStyle w:val="a9"/>
            <w:noProof/>
          </w:rPr>
          <w:t xml:space="preserve">4.3 </w:t>
        </w:r>
        <w:r w:rsidR="00196E59" w:rsidRPr="00AF28F8">
          <w:rPr>
            <w:rStyle w:val="a9"/>
            <w:rFonts w:hint="eastAsia"/>
            <w:noProof/>
          </w:rPr>
          <w:t>管理人对报告期内公平交易情况的专项说明</w:t>
        </w:r>
        <w:r w:rsidR="00196E59">
          <w:rPr>
            <w:noProof/>
            <w:webHidden/>
          </w:rPr>
          <w:tab/>
        </w:r>
        <w:r w:rsidR="00196E59">
          <w:rPr>
            <w:noProof/>
            <w:webHidden/>
          </w:rPr>
          <w:fldChar w:fldCharType="begin"/>
        </w:r>
        <w:r w:rsidR="00196E59">
          <w:rPr>
            <w:noProof/>
            <w:webHidden/>
          </w:rPr>
          <w:instrText xml:space="preserve"> PAGEREF _Toc35966194 \h </w:instrText>
        </w:r>
        <w:r w:rsidR="00196E59">
          <w:rPr>
            <w:noProof/>
            <w:webHidden/>
          </w:rPr>
        </w:r>
        <w:r w:rsidR="00196E59">
          <w:rPr>
            <w:noProof/>
            <w:webHidden/>
          </w:rPr>
          <w:fldChar w:fldCharType="separate"/>
        </w:r>
        <w:r w:rsidR="00196E59">
          <w:rPr>
            <w:noProof/>
            <w:webHidden/>
          </w:rPr>
          <w:t>18</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198" w:history="1">
        <w:r w:rsidR="00196E59" w:rsidRPr="00AF28F8">
          <w:rPr>
            <w:rStyle w:val="a9"/>
            <w:noProof/>
          </w:rPr>
          <w:t xml:space="preserve">4.4 </w:t>
        </w:r>
        <w:r w:rsidR="00196E59" w:rsidRPr="00AF28F8">
          <w:rPr>
            <w:rStyle w:val="a9"/>
            <w:rFonts w:hint="eastAsia"/>
            <w:noProof/>
          </w:rPr>
          <w:t>管理人对报告期内基金的投资策略和业绩表现的说明</w:t>
        </w:r>
        <w:r w:rsidR="00196E59">
          <w:rPr>
            <w:noProof/>
            <w:webHidden/>
          </w:rPr>
          <w:tab/>
        </w:r>
        <w:r w:rsidR="00196E59">
          <w:rPr>
            <w:noProof/>
            <w:webHidden/>
          </w:rPr>
          <w:fldChar w:fldCharType="begin"/>
        </w:r>
        <w:r w:rsidR="00196E59">
          <w:rPr>
            <w:noProof/>
            <w:webHidden/>
          </w:rPr>
          <w:instrText xml:space="preserve"> PAGEREF _Toc35966198 \h </w:instrText>
        </w:r>
        <w:r w:rsidR="00196E59">
          <w:rPr>
            <w:noProof/>
            <w:webHidden/>
          </w:rPr>
        </w:r>
        <w:r w:rsidR="00196E59">
          <w:rPr>
            <w:noProof/>
            <w:webHidden/>
          </w:rPr>
          <w:fldChar w:fldCharType="separate"/>
        </w:r>
        <w:r w:rsidR="00196E59">
          <w:rPr>
            <w:noProof/>
            <w:webHidden/>
          </w:rPr>
          <w:t>19</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201" w:history="1">
        <w:r w:rsidR="00196E59" w:rsidRPr="00AF28F8">
          <w:rPr>
            <w:rStyle w:val="a9"/>
            <w:noProof/>
          </w:rPr>
          <w:t xml:space="preserve">4.5 </w:t>
        </w:r>
        <w:r w:rsidR="00196E59" w:rsidRPr="00AF28F8">
          <w:rPr>
            <w:rStyle w:val="a9"/>
            <w:rFonts w:hint="eastAsia"/>
            <w:noProof/>
          </w:rPr>
          <w:t>管理人对宏观经济、证券市场及行业走势的简要展望</w:t>
        </w:r>
        <w:r w:rsidR="00196E59">
          <w:rPr>
            <w:noProof/>
            <w:webHidden/>
          </w:rPr>
          <w:tab/>
        </w:r>
        <w:r w:rsidR="00196E59">
          <w:rPr>
            <w:noProof/>
            <w:webHidden/>
          </w:rPr>
          <w:fldChar w:fldCharType="begin"/>
        </w:r>
        <w:r w:rsidR="00196E59">
          <w:rPr>
            <w:noProof/>
            <w:webHidden/>
          </w:rPr>
          <w:instrText xml:space="preserve"> PAGEREF _Toc35966201 \h </w:instrText>
        </w:r>
        <w:r w:rsidR="00196E59">
          <w:rPr>
            <w:noProof/>
            <w:webHidden/>
          </w:rPr>
        </w:r>
        <w:r w:rsidR="00196E59">
          <w:rPr>
            <w:noProof/>
            <w:webHidden/>
          </w:rPr>
          <w:fldChar w:fldCharType="separate"/>
        </w:r>
        <w:r w:rsidR="00196E59">
          <w:rPr>
            <w:noProof/>
            <w:webHidden/>
          </w:rPr>
          <w:t>19</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202" w:history="1">
        <w:r w:rsidR="00196E59" w:rsidRPr="00AF28F8">
          <w:rPr>
            <w:rStyle w:val="a9"/>
            <w:noProof/>
          </w:rPr>
          <w:t xml:space="preserve">4.6 </w:t>
        </w:r>
        <w:r w:rsidR="00196E59" w:rsidRPr="00AF28F8">
          <w:rPr>
            <w:rStyle w:val="a9"/>
            <w:rFonts w:hint="eastAsia"/>
            <w:noProof/>
          </w:rPr>
          <w:t>管理人内部有关本基金的监察稽核工作情况</w:t>
        </w:r>
        <w:r w:rsidR="00196E59">
          <w:rPr>
            <w:noProof/>
            <w:webHidden/>
          </w:rPr>
          <w:tab/>
        </w:r>
        <w:r w:rsidR="00196E59">
          <w:rPr>
            <w:noProof/>
            <w:webHidden/>
          </w:rPr>
          <w:fldChar w:fldCharType="begin"/>
        </w:r>
        <w:r w:rsidR="00196E59">
          <w:rPr>
            <w:noProof/>
            <w:webHidden/>
          </w:rPr>
          <w:instrText xml:space="preserve"> PAGEREF _Toc35966202 \h </w:instrText>
        </w:r>
        <w:r w:rsidR="00196E59">
          <w:rPr>
            <w:noProof/>
            <w:webHidden/>
          </w:rPr>
        </w:r>
        <w:r w:rsidR="00196E59">
          <w:rPr>
            <w:noProof/>
            <w:webHidden/>
          </w:rPr>
          <w:fldChar w:fldCharType="separate"/>
        </w:r>
        <w:r w:rsidR="00196E59">
          <w:rPr>
            <w:noProof/>
            <w:webHidden/>
          </w:rPr>
          <w:t>20</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203" w:history="1">
        <w:r w:rsidR="00196E59" w:rsidRPr="00AF28F8">
          <w:rPr>
            <w:rStyle w:val="a9"/>
            <w:noProof/>
          </w:rPr>
          <w:t xml:space="preserve">4.7 </w:t>
        </w:r>
        <w:r w:rsidR="00196E59" w:rsidRPr="00AF28F8">
          <w:rPr>
            <w:rStyle w:val="a9"/>
            <w:rFonts w:hint="eastAsia"/>
            <w:noProof/>
          </w:rPr>
          <w:t>管理人对报告期内基金估值程序等事项的说明</w:t>
        </w:r>
        <w:r w:rsidR="00196E59">
          <w:rPr>
            <w:noProof/>
            <w:webHidden/>
          </w:rPr>
          <w:tab/>
        </w:r>
        <w:r w:rsidR="00196E59">
          <w:rPr>
            <w:noProof/>
            <w:webHidden/>
          </w:rPr>
          <w:fldChar w:fldCharType="begin"/>
        </w:r>
        <w:r w:rsidR="00196E59">
          <w:rPr>
            <w:noProof/>
            <w:webHidden/>
          </w:rPr>
          <w:instrText xml:space="preserve"> PAGEREF _Toc35966203 \h </w:instrText>
        </w:r>
        <w:r w:rsidR="00196E59">
          <w:rPr>
            <w:noProof/>
            <w:webHidden/>
          </w:rPr>
        </w:r>
        <w:r w:rsidR="00196E59">
          <w:rPr>
            <w:noProof/>
            <w:webHidden/>
          </w:rPr>
          <w:fldChar w:fldCharType="separate"/>
        </w:r>
        <w:r w:rsidR="00196E59">
          <w:rPr>
            <w:noProof/>
            <w:webHidden/>
          </w:rPr>
          <w:t>20</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204" w:history="1">
        <w:r w:rsidR="00196E59" w:rsidRPr="00AF28F8">
          <w:rPr>
            <w:rStyle w:val="a9"/>
            <w:noProof/>
          </w:rPr>
          <w:t>4.8</w:t>
        </w:r>
        <w:r w:rsidR="00196E59" w:rsidRPr="00AF28F8">
          <w:rPr>
            <w:rStyle w:val="a9"/>
            <w:rFonts w:hint="eastAsia"/>
            <w:noProof/>
          </w:rPr>
          <w:t>管理人对报告期内基金利润分配情况的说明</w:t>
        </w:r>
        <w:r w:rsidR="00196E59">
          <w:rPr>
            <w:noProof/>
            <w:webHidden/>
          </w:rPr>
          <w:tab/>
        </w:r>
        <w:r w:rsidR="00196E59">
          <w:rPr>
            <w:noProof/>
            <w:webHidden/>
          </w:rPr>
          <w:fldChar w:fldCharType="begin"/>
        </w:r>
        <w:r w:rsidR="00196E59">
          <w:rPr>
            <w:noProof/>
            <w:webHidden/>
          </w:rPr>
          <w:instrText xml:space="preserve"> PAGEREF _Toc35966204 \h </w:instrText>
        </w:r>
        <w:r w:rsidR="00196E59">
          <w:rPr>
            <w:noProof/>
            <w:webHidden/>
          </w:rPr>
        </w:r>
        <w:r w:rsidR="00196E59">
          <w:rPr>
            <w:noProof/>
            <w:webHidden/>
          </w:rPr>
          <w:fldChar w:fldCharType="separate"/>
        </w:r>
        <w:r w:rsidR="00196E59">
          <w:rPr>
            <w:noProof/>
            <w:webHidden/>
          </w:rPr>
          <w:t>21</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205" w:history="1">
        <w:r w:rsidR="00196E59" w:rsidRPr="00AF28F8">
          <w:rPr>
            <w:rStyle w:val="a9"/>
            <w:noProof/>
          </w:rPr>
          <w:t>4.9</w:t>
        </w:r>
        <w:r w:rsidR="00196E59" w:rsidRPr="00AF28F8">
          <w:rPr>
            <w:rStyle w:val="a9"/>
            <w:rFonts w:hint="eastAsia"/>
            <w:noProof/>
          </w:rPr>
          <w:t>报告期内管理人对本基金持有人数或基金资产净值预警情形的说明</w:t>
        </w:r>
        <w:r w:rsidR="00196E59">
          <w:rPr>
            <w:noProof/>
            <w:webHidden/>
          </w:rPr>
          <w:tab/>
        </w:r>
        <w:r w:rsidR="00196E59">
          <w:rPr>
            <w:noProof/>
            <w:webHidden/>
          </w:rPr>
          <w:fldChar w:fldCharType="begin"/>
        </w:r>
        <w:r w:rsidR="00196E59">
          <w:rPr>
            <w:noProof/>
            <w:webHidden/>
          </w:rPr>
          <w:instrText xml:space="preserve"> PAGEREF _Toc35966205 \h </w:instrText>
        </w:r>
        <w:r w:rsidR="00196E59">
          <w:rPr>
            <w:noProof/>
            <w:webHidden/>
          </w:rPr>
        </w:r>
        <w:r w:rsidR="00196E59">
          <w:rPr>
            <w:noProof/>
            <w:webHidden/>
          </w:rPr>
          <w:fldChar w:fldCharType="separate"/>
        </w:r>
        <w:r w:rsidR="00196E59">
          <w:rPr>
            <w:noProof/>
            <w:webHidden/>
          </w:rPr>
          <w:t>21</w:t>
        </w:r>
        <w:r w:rsidR="00196E59">
          <w:rPr>
            <w:noProof/>
            <w:webHidden/>
          </w:rPr>
          <w:fldChar w:fldCharType="end"/>
        </w:r>
      </w:hyperlink>
    </w:p>
    <w:p w:rsidR="00196E59" w:rsidRDefault="00AC171A">
      <w:pPr>
        <w:pStyle w:val="11"/>
        <w:rPr>
          <w:rFonts w:asciiTheme="minorHAnsi" w:eastAsiaTheme="minorEastAsia" w:hAnsiTheme="minorHAnsi" w:cstheme="minorBidi"/>
          <w:noProof/>
          <w:szCs w:val="22"/>
        </w:rPr>
      </w:pPr>
      <w:hyperlink w:anchor="_Toc35966206" w:history="1">
        <w:r w:rsidR="00196E59" w:rsidRPr="00AF28F8">
          <w:rPr>
            <w:rStyle w:val="a9"/>
            <w:b/>
            <w:bCs/>
            <w:noProof/>
          </w:rPr>
          <w:t xml:space="preserve">§5  </w:t>
        </w:r>
        <w:r w:rsidR="00196E59" w:rsidRPr="00AF28F8">
          <w:rPr>
            <w:rStyle w:val="a9"/>
            <w:rFonts w:hint="eastAsia"/>
            <w:b/>
            <w:bCs/>
            <w:noProof/>
          </w:rPr>
          <w:t>托管人报告</w:t>
        </w:r>
        <w:r w:rsidR="00196E59">
          <w:rPr>
            <w:noProof/>
            <w:webHidden/>
          </w:rPr>
          <w:tab/>
        </w:r>
        <w:r w:rsidR="00196E59">
          <w:rPr>
            <w:noProof/>
            <w:webHidden/>
          </w:rPr>
          <w:fldChar w:fldCharType="begin"/>
        </w:r>
        <w:r w:rsidR="00196E59">
          <w:rPr>
            <w:noProof/>
            <w:webHidden/>
          </w:rPr>
          <w:instrText xml:space="preserve"> PAGEREF _Toc35966206 \h </w:instrText>
        </w:r>
        <w:r w:rsidR="00196E59">
          <w:rPr>
            <w:noProof/>
            <w:webHidden/>
          </w:rPr>
        </w:r>
        <w:r w:rsidR="00196E59">
          <w:rPr>
            <w:noProof/>
            <w:webHidden/>
          </w:rPr>
          <w:fldChar w:fldCharType="separate"/>
        </w:r>
        <w:r w:rsidR="00196E59">
          <w:rPr>
            <w:noProof/>
            <w:webHidden/>
          </w:rPr>
          <w:t>21</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207" w:history="1">
        <w:r w:rsidR="00196E59" w:rsidRPr="00AF28F8">
          <w:rPr>
            <w:rStyle w:val="a9"/>
            <w:noProof/>
          </w:rPr>
          <w:t xml:space="preserve">5.1 </w:t>
        </w:r>
        <w:r w:rsidR="00196E59" w:rsidRPr="00AF28F8">
          <w:rPr>
            <w:rStyle w:val="a9"/>
            <w:rFonts w:hint="eastAsia"/>
            <w:noProof/>
          </w:rPr>
          <w:t>报告期内本基金托管人遵规守信情况声明</w:t>
        </w:r>
        <w:r w:rsidR="00196E59">
          <w:rPr>
            <w:noProof/>
            <w:webHidden/>
          </w:rPr>
          <w:tab/>
        </w:r>
        <w:r w:rsidR="00196E59">
          <w:rPr>
            <w:noProof/>
            <w:webHidden/>
          </w:rPr>
          <w:fldChar w:fldCharType="begin"/>
        </w:r>
        <w:r w:rsidR="00196E59">
          <w:rPr>
            <w:noProof/>
            <w:webHidden/>
          </w:rPr>
          <w:instrText xml:space="preserve"> PAGEREF _Toc35966207 \h </w:instrText>
        </w:r>
        <w:r w:rsidR="00196E59">
          <w:rPr>
            <w:noProof/>
            <w:webHidden/>
          </w:rPr>
        </w:r>
        <w:r w:rsidR="00196E59">
          <w:rPr>
            <w:noProof/>
            <w:webHidden/>
          </w:rPr>
          <w:fldChar w:fldCharType="separate"/>
        </w:r>
        <w:r w:rsidR="00196E59">
          <w:rPr>
            <w:noProof/>
            <w:webHidden/>
          </w:rPr>
          <w:t>21</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208" w:history="1">
        <w:r w:rsidR="00196E59" w:rsidRPr="00AF28F8">
          <w:rPr>
            <w:rStyle w:val="a9"/>
            <w:noProof/>
          </w:rPr>
          <w:t xml:space="preserve">5.2 </w:t>
        </w:r>
        <w:r w:rsidR="00196E59" w:rsidRPr="00AF28F8">
          <w:rPr>
            <w:rStyle w:val="a9"/>
            <w:rFonts w:hint="eastAsia"/>
            <w:noProof/>
          </w:rPr>
          <w:t>托管人对报告期内本基金投资运作遵规守信、净值计算、利润分配等情况的说明</w:t>
        </w:r>
        <w:r w:rsidR="00196E59">
          <w:rPr>
            <w:noProof/>
            <w:webHidden/>
          </w:rPr>
          <w:tab/>
        </w:r>
        <w:r w:rsidR="00196E59">
          <w:rPr>
            <w:noProof/>
            <w:webHidden/>
          </w:rPr>
          <w:fldChar w:fldCharType="begin"/>
        </w:r>
        <w:r w:rsidR="00196E59">
          <w:rPr>
            <w:noProof/>
            <w:webHidden/>
          </w:rPr>
          <w:instrText xml:space="preserve"> PAGEREF _Toc35966208 \h </w:instrText>
        </w:r>
        <w:r w:rsidR="00196E59">
          <w:rPr>
            <w:noProof/>
            <w:webHidden/>
          </w:rPr>
        </w:r>
        <w:r w:rsidR="00196E59">
          <w:rPr>
            <w:noProof/>
            <w:webHidden/>
          </w:rPr>
          <w:fldChar w:fldCharType="separate"/>
        </w:r>
        <w:r w:rsidR="00196E59">
          <w:rPr>
            <w:noProof/>
            <w:webHidden/>
          </w:rPr>
          <w:t>21</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209" w:history="1">
        <w:r w:rsidR="00196E59" w:rsidRPr="00AF28F8">
          <w:rPr>
            <w:rStyle w:val="a9"/>
            <w:noProof/>
          </w:rPr>
          <w:t xml:space="preserve">5.3 </w:t>
        </w:r>
        <w:r w:rsidR="00196E59" w:rsidRPr="00AF28F8">
          <w:rPr>
            <w:rStyle w:val="a9"/>
            <w:rFonts w:hint="eastAsia"/>
            <w:noProof/>
          </w:rPr>
          <w:t>托管人对本年度报告中财务信息等内容的真实、准确和完整发表意见</w:t>
        </w:r>
        <w:r w:rsidR="00196E59">
          <w:rPr>
            <w:noProof/>
            <w:webHidden/>
          </w:rPr>
          <w:tab/>
        </w:r>
        <w:r w:rsidR="00196E59">
          <w:rPr>
            <w:noProof/>
            <w:webHidden/>
          </w:rPr>
          <w:fldChar w:fldCharType="begin"/>
        </w:r>
        <w:r w:rsidR="00196E59">
          <w:rPr>
            <w:noProof/>
            <w:webHidden/>
          </w:rPr>
          <w:instrText xml:space="preserve"> PAGEREF _Toc35966209 \h </w:instrText>
        </w:r>
        <w:r w:rsidR="00196E59">
          <w:rPr>
            <w:noProof/>
            <w:webHidden/>
          </w:rPr>
        </w:r>
        <w:r w:rsidR="00196E59">
          <w:rPr>
            <w:noProof/>
            <w:webHidden/>
          </w:rPr>
          <w:fldChar w:fldCharType="separate"/>
        </w:r>
        <w:r w:rsidR="00196E59">
          <w:rPr>
            <w:noProof/>
            <w:webHidden/>
          </w:rPr>
          <w:t>22</w:t>
        </w:r>
        <w:r w:rsidR="00196E59">
          <w:rPr>
            <w:noProof/>
            <w:webHidden/>
          </w:rPr>
          <w:fldChar w:fldCharType="end"/>
        </w:r>
      </w:hyperlink>
    </w:p>
    <w:p w:rsidR="00196E59" w:rsidRDefault="00AC171A">
      <w:pPr>
        <w:pStyle w:val="11"/>
        <w:rPr>
          <w:rFonts w:asciiTheme="minorHAnsi" w:eastAsiaTheme="minorEastAsia" w:hAnsiTheme="minorHAnsi" w:cstheme="minorBidi"/>
          <w:noProof/>
          <w:szCs w:val="22"/>
        </w:rPr>
      </w:pPr>
      <w:hyperlink w:anchor="_Toc35966210" w:history="1">
        <w:r w:rsidR="00196E59" w:rsidRPr="00AF28F8">
          <w:rPr>
            <w:rStyle w:val="a9"/>
            <w:b/>
            <w:bCs/>
            <w:noProof/>
          </w:rPr>
          <w:t xml:space="preserve">§6  </w:t>
        </w:r>
        <w:r w:rsidR="00196E59" w:rsidRPr="00AF28F8">
          <w:rPr>
            <w:rStyle w:val="a9"/>
            <w:rFonts w:hint="eastAsia"/>
            <w:b/>
            <w:bCs/>
            <w:noProof/>
          </w:rPr>
          <w:t>审计报告</w:t>
        </w:r>
        <w:r w:rsidR="00196E59">
          <w:rPr>
            <w:noProof/>
            <w:webHidden/>
          </w:rPr>
          <w:tab/>
        </w:r>
        <w:r w:rsidR="00196E59">
          <w:rPr>
            <w:noProof/>
            <w:webHidden/>
          </w:rPr>
          <w:fldChar w:fldCharType="begin"/>
        </w:r>
        <w:r w:rsidR="00196E59">
          <w:rPr>
            <w:noProof/>
            <w:webHidden/>
          </w:rPr>
          <w:instrText xml:space="preserve"> PAGEREF _Toc35966210 \h </w:instrText>
        </w:r>
        <w:r w:rsidR="00196E59">
          <w:rPr>
            <w:noProof/>
            <w:webHidden/>
          </w:rPr>
        </w:r>
        <w:r w:rsidR="00196E59">
          <w:rPr>
            <w:noProof/>
            <w:webHidden/>
          </w:rPr>
          <w:fldChar w:fldCharType="separate"/>
        </w:r>
        <w:r w:rsidR="00196E59">
          <w:rPr>
            <w:noProof/>
            <w:webHidden/>
          </w:rPr>
          <w:t>22</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211" w:history="1">
        <w:r w:rsidR="00196E59" w:rsidRPr="00AF28F8">
          <w:rPr>
            <w:rStyle w:val="a9"/>
            <w:noProof/>
          </w:rPr>
          <w:t xml:space="preserve">6.1 </w:t>
        </w:r>
        <w:r w:rsidR="00196E59" w:rsidRPr="00AF28F8">
          <w:rPr>
            <w:rStyle w:val="a9"/>
            <w:rFonts w:hint="eastAsia"/>
            <w:noProof/>
          </w:rPr>
          <w:t>审计意见</w:t>
        </w:r>
        <w:r w:rsidR="00196E59">
          <w:rPr>
            <w:noProof/>
            <w:webHidden/>
          </w:rPr>
          <w:tab/>
        </w:r>
        <w:r w:rsidR="00196E59">
          <w:rPr>
            <w:noProof/>
            <w:webHidden/>
          </w:rPr>
          <w:fldChar w:fldCharType="begin"/>
        </w:r>
        <w:r w:rsidR="00196E59">
          <w:rPr>
            <w:noProof/>
            <w:webHidden/>
          </w:rPr>
          <w:instrText xml:space="preserve"> PAGEREF _Toc35966211 \h </w:instrText>
        </w:r>
        <w:r w:rsidR="00196E59">
          <w:rPr>
            <w:noProof/>
            <w:webHidden/>
          </w:rPr>
        </w:r>
        <w:r w:rsidR="00196E59">
          <w:rPr>
            <w:noProof/>
            <w:webHidden/>
          </w:rPr>
          <w:fldChar w:fldCharType="separate"/>
        </w:r>
        <w:r w:rsidR="00196E59">
          <w:rPr>
            <w:noProof/>
            <w:webHidden/>
          </w:rPr>
          <w:t>22</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212" w:history="1">
        <w:r w:rsidR="00196E59" w:rsidRPr="00AF28F8">
          <w:rPr>
            <w:rStyle w:val="a9"/>
            <w:noProof/>
          </w:rPr>
          <w:t xml:space="preserve">6.2 </w:t>
        </w:r>
        <w:r w:rsidR="00196E59" w:rsidRPr="00AF28F8">
          <w:rPr>
            <w:rStyle w:val="a9"/>
            <w:rFonts w:hint="eastAsia"/>
            <w:noProof/>
          </w:rPr>
          <w:t>形成审计意见的基础</w:t>
        </w:r>
        <w:r w:rsidR="00196E59">
          <w:rPr>
            <w:noProof/>
            <w:webHidden/>
          </w:rPr>
          <w:tab/>
        </w:r>
        <w:r w:rsidR="00196E59">
          <w:rPr>
            <w:noProof/>
            <w:webHidden/>
          </w:rPr>
          <w:fldChar w:fldCharType="begin"/>
        </w:r>
        <w:r w:rsidR="00196E59">
          <w:rPr>
            <w:noProof/>
            <w:webHidden/>
          </w:rPr>
          <w:instrText xml:space="preserve"> PAGEREF _Toc35966212 \h </w:instrText>
        </w:r>
        <w:r w:rsidR="00196E59">
          <w:rPr>
            <w:noProof/>
            <w:webHidden/>
          </w:rPr>
        </w:r>
        <w:r w:rsidR="00196E59">
          <w:rPr>
            <w:noProof/>
            <w:webHidden/>
          </w:rPr>
          <w:fldChar w:fldCharType="separate"/>
        </w:r>
        <w:r w:rsidR="00196E59">
          <w:rPr>
            <w:noProof/>
            <w:webHidden/>
          </w:rPr>
          <w:t>22</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213" w:history="1">
        <w:r w:rsidR="00196E59" w:rsidRPr="00AF28F8">
          <w:rPr>
            <w:rStyle w:val="a9"/>
            <w:noProof/>
          </w:rPr>
          <w:t xml:space="preserve">6.3 </w:t>
        </w:r>
        <w:r w:rsidR="00196E59" w:rsidRPr="00AF28F8">
          <w:rPr>
            <w:rStyle w:val="a9"/>
            <w:rFonts w:hint="eastAsia"/>
            <w:noProof/>
          </w:rPr>
          <w:t>管理层和治理层对财务报表的责任</w:t>
        </w:r>
        <w:r w:rsidR="00196E59">
          <w:rPr>
            <w:noProof/>
            <w:webHidden/>
          </w:rPr>
          <w:tab/>
        </w:r>
        <w:r w:rsidR="00196E59">
          <w:rPr>
            <w:noProof/>
            <w:webHidden/>
          </w:rPr>
          <w:fldChar w:fldCharType="begin"/>
        </w:r>
        <w:r w:rsidR="00196E59">
          <w:rPr>
            <w:noProof/>
            <w:webHidden/>
          </w:rPr>
          <w:instrText xml:space="preserve"> PAGEREF _Toc35966213 \h </w:instrText>
        </w:r>
        <w:r w:rsidR="00196E59">
          <w:rPr>
            <w:noProof/>
            <w:webHidden/>
          </w:rPr>
        </w:r>
        <w:r w:rsidR="00196E59">
          <w:rPr>
            <w:noProof/>
            <w:webHidden/>
          </w:rPr>
          <w:fldChar w:fldCharType="separate"/>
        </w:r>
        <w:r w:rsidR="00196E59">
          <w:rPr>
            <w:noProof/>
            <w:webHidden/>
          </w:rPr>
          <w:t>22</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214" w:history="1">
        <w:r w:rsidR="00196E59" w:rsidRPr="00AF28F8">
          <w:rPr>
            <w:rStyle w:val="a9"/>
            <w:noProof/>
          </w:rPr>
          <w:t xml:space="preserve">6.4 </w:t>
        </w:r>
        <w:r w:rsidR="00196E59" w:rsidRPr="00AF28F8">
          <w:rPr>
            <w:rStyle w:val="a9"/>
            <w:rFonts w:hint="eastAsia"/>
            <w:noProof/>
          </w:rPr>
          <w:t>注册会计师对财务报表审计的责任</w:t>
        </w:r>
        <w:r w:rsidR="00196E59">
          <w:rPr>
            <w:noProof/>
            <w:webHidden/>
          </w:rPr>
          <w:tab/>
        </w:r>
        <w:r w:rsidR="00196E59">
          <w:rPr>
            <w:noProof/>
            <w:webHidden/>
          </w:rPr>
          <w:fldChar w:fldCharType="begin"/>
        </w:r>
        <w:r w:rsidR="00196E59">
          <w:rPr>
            <w:noProof/>
            <w:webHidden/>
          </w:rPr>
          <w:instrText xml:space="preserve"> PAGEREF _Toc35966214 \h </w:instrText>
        </w:r>
        <w:r w:rsidR="00196E59">
          <w:rPr>
            <w:noProof/>
            <w:webHidden/>
          </w:rPr>
        </w:r>
        <w:r w:rsidR="00196E59">
          <w:rPr>
            <w:noProof/>
            <w:webHidden/>
          </w:rPr>
          <w:fldChar w:fldCharType="separate"/>
        </w:r>
        <w:r w:rsidR="00196E59">
          <w:rPr>
            <w:noProof/>
            <w:webHidden/>
          </w:rPr>
          <w:t>23</w:t>
        </w:r>
        <w:r w:rsidR="00196E59">
          <w:rPr>
            <w:noProof/>
            <w:webHidden/>
          </w:rPr>
          <w:fldChar w:fldCharType="end"/>
        </w:r>
      </w:hyperlink>
    </w:p>
    <w:p w:rsidR="00196E59" w:rsidRDefault="00AC171A">
      <w:pPr>
        <w:pStyle w:val="11"/>
        <w:rPr>
          <w:rFonts w:asciiTheme="minorHAnsi" w:eastAsiaTheme="minorEastAsia" w:hAnsiTheme="minorHAnsi" w:cstheme="minorBidi"/>
          <w:noProof/>
          <w:szCs w:val="22"/>
        </w:rPr>
      </w:pPr>
      <w:hyperlink w:anchor="_Toc35966215" w:history="1">
        <w:r w:rsidR="00196E59" w:rsidRPr="00AF28F8">
          <w:rPr>
            <w:rStyle w:val="a9"/>
            <w:b/>
            <w:bCs/>
            <w:noProof/>
          </w:rPr>
          <w:t>§7</w:t>
        </w:r>
        <w:r w:rsidR="00196E59" w:rsidRPr="00AF28F8">
          <w:rPr>
            <w:rStyle w:val="a9"/>
            <w:rFonts w:hint="eastAsia"/>
            <w:b/>
            <w:bCs/>
            <w:noProof/>
          </w:rPr>
          <w:t>年度财务报表</w:t>
        </w:r>
        <w:r w:rsidR="00196E59">
          <w:rPr>
            <w:noProof/>
            <w:webHidden/>
          </w:rPr>
          <w:tab/>
        </w:r>
        <w:r w:rsidR="00196E59">
          <w:rPr>
            <w:noProof/>
            <w:webHidden/>
          </w:rPr>
          <w:fldChar w:fldCharType="begin"/>
        </w:r>
        <w:r w:rsidR="00196E59">
          <w:rPr>
            <w:noProof/>
            <w:webHidden/>
          </w:rPr>
          <w:instrText xml:space="preserve"> PAGEREF _Toc35966215 \h </w:instrText>
        </w:r>
        <w:r w:rsidR="00196E59">
          <w:rPr>
            <w:noProof/>
            <w:webHidden/>
          </w:rPr>
        </w:r>
        <w:r w:rsidR="00196E59">
          <w:rPr>
            <w:noProof/>
            <w:webHidden/>
          </w:rPr>
          <w:fldChar w:fldCharType="separate"/>
        </w:r>
        <w:r w:rsidR="00196E59">
          <w:rPr>
            <w:noProof/>
            <w:webHidden/>
          </w:rPr>
          <w:t>24</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216" w:history="1">
        <w:r w:rsidR="00196E59" w:rsidRPr="00AF28F8">
          <w:rPr>
            <w:rStyle w:val="a9"/>
            <w:noProof/>
          </w:rPr>
          <w:t xml:space="preserve">7.1 </w:t>
        </w:r>
        <w:r w:rsidR="00196E59" w:rsidRPr="00AF28F8">
          <w:rPr>
            <w:rStyle w:val="a9"/>
            <w:rFonts w:hint="eastAsia"/>
            <w:noProof/>
          </w:rPr>
          <w:t>资产负债表</w:t>
        </w:r>
        <w:r w:rsidR="00196E59">
          <w:rPr>
            <w:noProof/>
            <w:webHidden/>
          </w:rPr>
          <w:tab/>
        </w:r>
        <w:r w:rsidR="00196E59">
          <w:rPr>
            <w:noProof/>
            <w:webHidden/>
          </w:rPr>
          <w:fldChar w:fldCharType="begin"/>
        </w:r>
        <w:r w:rsidR="00196E59">
          <w:rPr>
            <w:noProof/>
            <w:webHidden/>
          </w:rPr>
          <w:instrText xml:space="preserve"> PAGEREF _Toc35966216 \h </w:instrText>
        </w:r>
        <w:r w:rsidR="00196E59">
          <w:rPr>
            <w:noProof/>
            <w:webHidden/>
          </w:rPr>
        </w:r>
        <w:r w:rsidR="00196E59">
          <w:rPr>
            <w:noProof/>
            <w:webHidden/>
          </w:rPr>
          <w:fldChar w:fldCharType="separate"/>
        </w:r>
        <w:r w:rsidR="00196E59">
          <w:rPr>
            <w:noProof/>
            <w:webHidden/>
          </w:rPr>
          <w:t>24</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217" w:history="1">
        <w:r w:rsidR="00196E59" w:rsidRPr="00AF28F8">
          <w:rPr>
            <w:rStyle w:val="a9"/>
            <w:noProof/>
          </w:rPr>
          <w:t xml:space="preserve">7.2 </w:t>
        </w:r>
        <w:r w:rsidR="00196E59" w:rsidRPr="00AF28F8">
          <w:rPr>
            <w:rStyle w:val="a9"/>
            <w:rFonts w:hint="eastAsia"/>
            <w:noProof/>
          </w:rPr>
          <w:t>利润表</w:t>
        </w:r>
        <w:r w:rsidR="00196E59">
          <w:rPr>
            <w:noProof/>
            <w:webHidden/>
          </w:rPr>
          <w:tab/>
        </w:r>
        <w:r w:rsidR="00196E59">
          <w:rPr>
            <w:noProof/>
            <w:webHidden/>
          </w:rPr>
          <w:fldChar w:fldCharType="begin"/>
        </w:r>
        <w:r w:rsidR="00196E59">
          <w:rPr>
            <w:noProof/>
            <w:webHidden/>
          </w:rPr>
          <w:instrText xml:space="preserve"> PAGEREF _Toc35966217 \h </w:instrText>
        </w:r>
        <w:r w:rsidR="00196E59">
          <w:rPr>
            <w:noProof/>
            <w:webHidden/>
          </w:rPr>
        </w:r>
        <w:r w:rsidR="00196E59">
          <w:rPr>
            <w:noProof/>
            <w:webHidden/>
          </w:rPr>
          <w:fldChar w:fldCharType="separate"/>
        </w:r>
        <w:r w:rsidR="00196E59">
          <w:rPr>
            <w:noProof/>
            <w:webHidden/>
          </w:rPr>
          <w:t>25</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218" w:history="1">
        <w:r w:rsidR="00196E59" w:rsidRPr="00AF28F8">
          <w:rPr>
            <w:rStyle w:val="a9"/>
            <w:noProof/>
          </w:rPr>
          <w:t xml:space="preserve">7.3 </w:t>
        </w:r>
        <w:r w:rsidR="00196E59" w:rsidRPr="00AF28F8">
          <w:rPr>
            <w:rStyle w:val="a9"/>
            <w:rFonts w:hint="eastAsia"/>
            <w:noProof/>
          </w:rPr>
          <w:t>所有者权益（基金净值）变动表</w:t>
        </w:r>
        <w:r w:rsidR="00196E59">
          <w:rPr>
            <w:noProof/>
            <w:webHidden/>
          </w:rPr>
          <w:tab/>
        </w:r>
        <w:r w:rsidR="00196E59">
          <w:rPr>
            <w:noProof/>
            <w:webHidden/>
          </w:rPr>
          <w:fldChar w:fldCharType="begin"/>
        </w:r>
        <w:r w:rsidR="00196E59">
          <w:rPr>
            <w:noProof/>
            <w:webHidden/>
          </w:rPr>
          <w:instrText xml:space="preserve"> PAGEREF _Toc35966218 \h </w:instrText>
        </w:r>
        <w:r w:rsidR="00196E59">
          <w:rPr>
            <w:noProof/>
            <w:webHidden/>
          </w:rPr>
        </w:r>
        <w:r w:rsidR="00196E59">
          <w:rPr>
            <w:noProof/>
            <w:webHidden/>
          </w:rPr>
          <w:fldChar w:fldCharType="separate"/>
        </w:r>
        <w:r w:rsidR="00196E59">
          <w:rPr>
            <w:noProof/>
            <w:webHidden/>
          </w:rPr>
          <w:t>27</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219" w:history="1">
        <w:r w:rsidR="00196E59" w:rsidRPr="00AF28F8">
          <w:rPr>
            <w:rStyle w:val="a9"/>
            <w:noProof/>
          </w:rPr>
          <w:t xml:space="preserve">7.4 </w:t>
        </w:r>
        <w:r w:rsidR="00196E59" w:rsidRPr="00AF28F8">
          <w:rPr>
            <w:rStyle w:val="a9"/>
            <w:rFonts w:hint="eastAsia"/>
            <w:noProof/>
          </w:rPr>
          <w:t>报表附注</w:t>
        </w:r>
        <w:r w:rsidR="00196E59">
          <w:rPr>
            <w:noProof/>
            <w:webHidden/>
          </w:rPr>
          <w:tab/>
        </w:r>
        <w:r w:rsidR="00196E59">
          <w:rPr>
            <w:noProof/>
            <w:webHidden/>
          </w:rPr>
          <w:fldChar w:fldCharType="begin"/>
        </w:r>
        <w:r w:rsidR="00196E59">
          <w:rPr>
            <w:noProof/>
            <w:webHidden/>
          </w:rPr>
          <w:instrText xml:space="preserve"> PAGEREF _Toc35966219 \h </w:instrText>
        </w:r>
        <w:r w:rsidR="00196E59">
          <w:rPr>
            <w:noProof/>
            <w:webHidden/>
          </w:rPr>
        </w:r>
        <w:r w:rsidR="00196E59">
          <w:rPr>
            <w:noProof/>
            <w:webHidden/>
          </w:rPr>
          <w:fldChar w:fldCharType="separate"/>
        </w:r>
        <w:r w:rsidR="00196E59">
          <w:rPr>
            <w:noProof/>
            <w:webHidden/>
          </w:rPr>
          <w:t>28</w:t>
        </w:r>
        <w:r w:rsidR="00196E59">
          <w:rPr>
            <w:noProof/>
            <w:webHidden/>
          </w:rPr>
          <w:fldChar w:fldCharType="end"/>
        </w:r>
      </w:hyperlink>
    </w:p>
    <w:p w:rsidR="00196E59" w:rsidRDefault="00AC171A">
      <w:pPr>
        <w:pStyle w:val="11"/>
        <w:rPr>
          <w:rFonts w:asciiTheme="minorHAnsi" w:eastAsiaTheme="minorEastAsia" w:hAnsiTheme="minorHAnsi" w:cstheme="minorBidi"/>
          <w:noProof/>
          <w:szCs w:val="22"/>
        </w:rPr>
      </w:pPr>
      <w:hyperlink w:anchor="_Toc35966301" w:history="1">
        <w:r w:rsidR="00196E59" w:rsidRPr="00AF28F8">
          <w:rPr>
            <w:rStyle w:val="a9"/>
            <w:b/>
            <w:bCs/>
            <w:noProof/>
          </w:rPr>
          <w:t>§8</w:t>
        </w:r>
        <w:r w:rsidR="00196E59" w:rsidRPr="00AF28F8">
          <w:rPr>
            <w:rStyle w:val="a9"/>
            <w:rFonts w:hint="eastAsia"/>
            <w:b/>
            <w:bCs/>
            <w:noProof/>
          </w:rPr>
          <w:t>投资组合报告</w:t>
        </w:r>
        <w:r w:rsidR="00196E59">
          <w:rPr>
            <w:noProof/>
            <w:webHidden/>
          </w:rPr>
          <w:tab/>
        </w:r>
        <w:r w:rsidR="00196E59">
          <w:rPr>
            <w:noProof/>
            <w:webHidden/>
          </w:rPr>
          <w:fldChar w:fldCharType="begin"/>
        </w:r>
        <w:r w:rsidR="00196E59">
          <w:rPr>
            <w:noProof/>
            <w:webHidden/>
          </w:rPr>
          <w:instrText xml:space="preserve"> PAGEREF _Toc35966301 \h </w:instrText>
        </w:r>
        <w:r w:rsidR="00196E59">
          <w:rPr>
            <w:noProof/>
            <w:webHidden/>
          </w:rPr>
        </w:r>
        <w:r w:rsidR="00196E59">
          <w:rPr>
            <w:noProof/>
            <w:webHidden/>
          </w:rPr>
          <w:fldChar w:fldCharType="separate"/>
        </w:r>
        <w:r w:rsidR="00196E59">
          <w:rPr>
            <w:noProof/>
            <w:webHidden/>
          </w:rPr>
          <w:t>51</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302" w:history="1">
        <w:r w:rsidR="00196E59" w:rsidRPr="00AF28F8">
          <w:rPr>
            <w:rStyle w:val="a9"/>
            <w:noProof/>
          </w:rPr>
          <w:t xml:space="preserve">8.1 </w:t>
        </w:r>
        <w:r w:rsidR="00196E59" w:rsidRPr="00AF28F8">
          <w:rPr>
            <w:rStyle w:val="a9"/>
            <w:rFonts w:hint="eastAsia"/>
            <w:noProof/>
          </w:rPr>
          <w:t>期末基金资产组合情况</w:t>
        </w:r>
        <w:r w:rsidR="00196E59">
          <w:rPr>
            <w:noProof/>
            <w:webHidden/>
          </w:rPr>
          <w:tab/>
        </w:r>
        <w:r w:rsidR="00196E59">
          <w:rPr>
            <w:noProof/>
            <w:webHidden/>
          </w:rPr>
          <w:fldChar w:fldCharType="begin"/>
        </w:r>
        <w:r w:rsidR="00196E59">
          <w:rPr>
            <w:noProof/>
            <w:webHidden/>
          </w:rPr>
          <w:instrText xml:space="preserve"> PAGEREF _Toc35966302 \h </w:instrText>
        </w:r>
        <w:r w:rsidR="00196E59">
          <w:rPr>
            <w:noProof/>
            <w:webHidden/>
          </w:rPr>
        </w:r>
        <w:r w:rsidR="00196E59">
          <w:rPr>
            <w:noProof/>
            <w:webHidden/>
          </w:rPr>
          <w:fldChar w:fldCharType="separate"/>
        </w:r>
        <w:r w:rsidR="00196E59">
          <w:rPr>
            <w:noProof/>
            <w:webHidden/>
          </w:rPr>
          <w:t>51</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303" w:history="1">
        <w:r w:rsidR="00196E59" w:rsidRPr="00AF28F8">
          <w:rPr>
            <w:rStyle w:val="a9"/>
            <w:noProof/>
          </w:rPr>
          <w:t>8.2</w:t>
        </w:r>
        <w:r w:rsidR="00196E59" w:rsidRPr="00AF28F8">
          <w:rPr>
            <w:rStyle w:val="a9"/>
            <w:rFonts w:hint="eastAsia"/>
            <w:noProof/>
          </w:rPr>
          <w:t>期末按行业分类的股票投资组合</w:t>
        </w:r>
        <w:r w:rsidR="00196E59">
          <w:rPr>
            <w:noProof/>
            <w:webHidden/>
          </w:rPr>
          <w:tab/>
        </w:r>
        <w:r w:rsidR="00196E59">
          <w:rPr>
            <w:noProof/>
            <w:webHidden/>
          </w:rPr>
          <w:fldChar w:fldCharType="begin"/>
        </w:r>
        <w:r w:rsidR="00196E59">
          <w:rPr>
            <w:noProof/>
            <w:webHidden/>
          </w:rPr>
          <w:instrText xml:space="preserve"> PAGEREF _Toc35966303 \h </w:instrText>
        </w:r>
        <w:r w:rsidR="00196E59">
          <w:rPr>
            <w:noProof/>
            <w:webHidden/>
          </w:rPr>
        </w:r>
        <w:r w:rsidR="00196E59">
          <w:rPr>
            <w:noProof/>
            <w:webHidden/>
          </w:rPr>
          <w:fldChar w:fldCharType="separate"/>
        </w:r>
        <w:r w:rsidR="00196E59">
          <w:rPr>
            <w:noProof/>
            <w:webHidden/>
          </w:rPr>
          <w:t>51</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306" w:history="1">
        <w:r w:rsidR="00196E59" w:rsidRPr="00AF28F8">
          <w:rPr>
            <w:rStyle w:val="a9"/>
            <w:noProof/>
          </w:rPr>
          <w:t>8.3</w:t>
        </w:r>
        <w:r w:rsidR="00196E59" w:rsidRPr="00AF28F8">
          <w:rPr>
            <w:rStyle w:val="a9"/>
            <w:rFonts w:hint="eastAsia"/>
            <w:noProof/>
          </w:rPr>
          <w:t>期末按公允价值占基金资产净值比例大小排序的所有股票投资明细</w:t>
        </w:r>
        <w:r w:rsidR="00196E59">
          <w:rPr>
            <w:noProof/>
            <w:webHidden/>
          </w:rPr>
          <w:tab/>
        </w:r>
        <w:r w:rsidR="00196E59">
          <w:rPr>
            <w:noProof/>
            <w:webHidden/>
          </w:rPr>
          <w:fldChar w:fldCharType="begin"/>
        </w:r>
        <w:r w:rsidR="00196E59">
          <w:rPr>
            <w:noProof/>
            <w:webHidden/>
          </w:rPr>
          <w:instrText xml:space="preserve"> PAGEREF _Toc35966306 \h </w:instrText>
        </w:r>
        <w:r w:rsidR="00196E59">
          <w:rPr>
            <w:noProof/>
            <w:webHidden/>
          </w:rPr>
        </w:r>
        <w:r w:rsidR="00196E59">
          <w:rPr>
            <w:noProof/>
            <w:webHidden/>
          </w:rPr>
          <w:fldChar w:fldCharType="separate"/>
        </w:r>
        <w:r w:rsidR="00196E59">
          <w:rPr>
            <w:noProof/>
            <w:webHidden/>
          </w:rPr>
          <w:t>52</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307" w:history="1">
        <w:r w:rsidR="00196E59" w:rsidRPr="00AF28F8">
          <w:rPr>
            <w:rStyle w:val="a9"/>
            <w:noProof/>
          </w:rPr>
          <w:t>8.4</w:t>
        </w:r>
        <w:r w:rsidR="00196E59" w:rsidRPr="00AF28F8">
          <w:rPr>
            <w:rStyle w:val="a9"/>
            <w:rFonts w:hint="eastAsia"/>
            <w:noProof/>
          </w:rPr>
          <w:t>报告期内股票投资组合的重大变动</w:t>
        </w:r>
        <w:r w:rsidR="00196E59">
          <w:rPr>
            <w:noProof/>
            <w:webHidden/>
          </w:rPr>
          <w:tab/>
        </w:r>
        <w:r w:rsidR="00196E59">
          <w:rPr>
            <w:noProof/>
            <w:webHidden/>
          </w:rPr>
          <w:fldChar w:fldCharType="begin"/>
        </w:r>
        <w:r w:rsidR="00196E59">
          <w:rPr>
            <w:noProof/>
            <w:webHidden/>
          </w:rPr>
          <w:instrText xml:space="preserve"> PAGEREF _Toc35966307 \h </w:instrText>
        </w:r>
        <w:r w:rsidR="00196E59">
          <w:rPr>
            <w:noProof/>
            <w:webHidden/>
          </w:rPr>
        </w:r>
        <w:r w:rsidR="00196E59">
          <w:rPr>
            <w:noProof/>
            <w:webHidden/>
          </w:rPr>
          <w:fldChar w:fldCharType="separate"/>
        </w:r>
        <w:r w:rsidR="00196E59">
          <w:rPr>
            <w:noProof/>
            <w:webHidden/>
          </w:rPr>
          <w:t>52</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308" w:history="1">
        <w:r w:rsidR="00196E59" w:rsidRPr="00AF28F8">
          <w:rPr>
            <w:rStyle w:val="a9"/>
            <w:noProof/>
          </w:rPr>
          <w:t>8.5</w:t>
        </w:r>
        <w:r w:rsidR="00196E59" w:rsidRPr="00AF28F8">
          <w:rPr>
            <w:rStyle w:val="a9"/>
            <w:rFonts w:hint="eastAsia"/>
            <w:noProof/>
          </w:rPr>
          <w:t>期末按债券品种分类的债券投资组合</w:t>
        </w:r>
        <w:r w:rsidR="00196E59">
          <w:rPr>
            <w:noProof/>
            <w:webHidden/>
          </w:rPr>
          <w:tab/>
        </w:r>
        <w:r w:rsidR="00196E59">
          <w:rPr>
            <w:noProof/>
            <w:webHidden/>
          </w:rPr>
          <w:fldChar w:fldCharType="begin"/>
        </w:r>
        <w:r w:rsidR="00196E59">
          <w:rPr>
            <w:noProof/>
            <w:webHidden/>
          </w:rPr>
          <w:instrText xml:space="preserve"> PAGEREF _Toc35966308 \h </w:instrText>
        </w:r>
        <w:r w:rsidR="00196E59">
          <w:rPr>
            <w:noProof/>
            <w:webHidden/>
          </w:rPr>
        </w:r>
        <w:r w:rsidR="00196E59">
          <w:rPr>
            <w:noProof/>
            <w:webHidden/>
          </w:rPr>
          <w:fldChar w:fldCharType="separate"/>
        </w:r>
        <w:r w:rsidR="00196E59">
          <w:rPr>
            <w:noProof/>
            <w:webHidden/>
          </w:rPr>
          <w:t>52</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309" w:history="1">
        <w:r w:rsidR="00196E59" w:rsidRPr="00AF28F8">
          <w:rPr>
            <w:rStyle w:val="a9"/>
            <w:noProof/>
          </w:rPr>
          <w:t>8.6</w:t>
        </w:r>
        <w:r w:rsidR="00196E59" w:rsidRPr="00AF28F8">
          <w:rPr>
            <w:rStyle w:val="a9"/>
            <w:rFonts w:hint="eastAsia"/>
            <w:noProof/>
          </w:rPr>
          <w:t>期末按公允价值占基金资产净值比例大小排序的前五名债券投资明细</w:t>
        </w:r>
        <w:r w:rsidR="00196E59">
          <w:rPr>
            <w:noProof/>
            <w:webHidden/>
          </w:rPr>
          <w:tab/>
        </w:r>
        <w:r w:rsidR="00196E59">
          <w:rPr>
            <w:noProof/>
            <w:webHidden/>
          </w:rPr>
          <w:fldChar w:fldCharType="begin"/>
        </w:r>
        <w:r w:rsidR="00196E59">
          <w:rPr>
            <w:noProof/>
            <w:webHidden/>
          </w:rPr>
          <w:instrText xml:space="preserve"> PAGEREF _Toc35966309 \h </w:instrText>
        </w:r>
        <w:r w:rsidR="00196E59">
          <w:rPr>
            <w:noProof/>
            <w:webHidden/>
          </w:rPr>
        </w:r>
        <w:r w:rsidR="00196E59">
          <w:rPr>
            <w:noProof/>
            <w:webHidden/>
          </w:rPr>
          <w:fldChar w:fldCharType="separate"/>
        </w:r>
        <w:r w:rsidR="00196E59">
          <w:rPr>
            <w:noProof/>
            <w:webHidden/>
          </w:rPr>
          <w:t>52</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310" w:history="1">
        <w:r w:rsidR="00196E59" w:rsidRPr="00AF28F8">
          <w:rPr>
            <w:rStyle w:val="a9"/>
            <w:noProof/>
          </w:rPr>
          <w:t>8.7</w:t>
        </w:r>
        <w:r w:rsidR="00196E59" w:rsidRPr="00AF28F8">
          <w:rPr>
            <w:rStyle w:val="a9"/>
            <w:rFonts w:hint="eastAsia"/>
            <w:noProof/>
          </w:rPr>
          <w:t>期末按公允价值占基金资产净值比例大小排序的所有资产支持证券投资明细</w:t>
        </w:r>
        <w:r w:rsidR="00196E59">
          <w:rPr>
            <w:noProof/>
            <w:webHidden/>
          </w:rPr>
          <w:tab/>
        </w:r>
        <w:r w:rsidR="00196E59">
          <w:rPr>
            <w:noProof/>
            <w:webHidden/>
          </w:rPr>
          <w:fldChar w:fldCharType="begin"/>
        </w:r>
        <w:r w:rsidR="00196E59">
          <w:rPr>
            <w:noProof/>
            <w:webHidden/>
          </w:rPr>
          <w:instrText xml:space="preserve"> PAGEREF _Toc35966310 \h </w:instrText>
        </w:r>
        <w:r w:rsidR="00196E59">
          <w:rPr>
            <w:noProof/>
            <w:webHidden/>
          </w:rPr>
        </w:r>
        <w:r w:rsidR="00196E59">
          <w:rPr>
            <w:noProof/>
            <w:webHidden/>
          </w:rPr>
          <w:fldChar w:fldCharType="separate"/>
        </w:r>
        <w:r w:rsidR="00196E59">
          <w:rPr>
            <w:noProof/>
            <w:webHidden/>
          </w:rPr>
          <w:t>53</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311" w:history="1">
        <w:r w:rsidR="00196E59" w:rsidRPr="00AF28F8">
          <w:rPr>
            <w:rStyle w:val="a9"/>
            <w:noProof/>
          </w:rPr>
          <w:t>8.8</w:t>
        </w:r>
        <w:r w:rsidR="00196E59" w:rsidRPr="00AF28F8">
          <w:rPr>
            <w:rStyle w:val="a9"/>
            <w:rFonts w:hint="eastAsia"/>
            <w:noProof/>
          </w:rPr>
          <w:t>报告期末按公允价值占基金资产净值比例大小排序的前五名贵金属投资明细</w:t>
        </w:r>
        <w:r w:rsidR="00196E59">
          <w:rPr>
            <w:noProof/>
            <w:webHidden/>
          </w:rPr>
          <w:tab/>
        </w:r>
        <w:r w:rsidR="00196E59">
          <w:rPr>
            <w:noProof/>
            <w:webHidden/>
          </w:rPr>
          <w:fldChar w:fldCharType="begin"/>
        </w:r>
        <w:r w:rsidR="00196E59">
          <w:rPr>
            <w:noProof/>
            <w:webHidden/>
          </w:rPr>
          <w:instrText xml:space="preserve"> PAGEREF _Toc35966311 \h </w:instrText>
        </w:r>
        <w:r w:rsidR="00196E59">
          <w:rPr>
            <w:noProof/>
            <w:webHidden/>
          </w:rPr>
        </w:r>
        <w:r w:rsidR="00196E59">
          <w:rPr>
            <w:noProof/>
            <w:webHidden/>
          </w:rPr>
          <w:fldChar w:fldCharType="separate"/>
        </w:r>
        <w:r w:rsidR="00196E59">
          <w:rPr>
            <w:noProof/>
            <w:webHidden/>
          </w:rPr>
          <w:t>53</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312" w:history="1">
        <w:r w:rsidR="00196E59" w:rsidRPr="00AF28F8">
          <w:rPr>
            <w:rStyle w:val="a9"/>
            <w:noProof/>
          </w:rPr>
          <w:t>8.9</w:t>
        </w:r>
        <w:r w:rsidR="00196E59" w:rsidRPr="00AF28F8">
          <w:rPr>
            <w:rStyle w:val="a9"/>
            <w:rFonts w:hint="eastAsia"/>
            <w:noProof/>
          </w:rPr>
          <w:t>期末按公允价值占基金资产净值比例大小排序的前五名权证投资明细</w:t>
        </w:r>
        <w:r w:rsidR="00196E59">
          <w:rPr>
            <w:noProof/>
            <w:webHidden/>
          </w:rPr>
          <w:tab/>
        </w:r>
        <w:r w:rsidR="00196E59">
          <w:rPr>
            <w:noProof/>
            <w:webHidden/>
          </w:rPr>
          <w:fldChar w:fldCharType="begin"/>
        </w:r>
        <w:r w:rsidR="00196E59">
          <w:rPr>
            <w:noProof/>
            <w:webHidden/>
          </w:rPr>
          <w:instrText xml:space="preserve"> PAGEREF _Toc35966312 \h </w:instrText>
        </w:r>
        <w:r w:rsidR="00196E59">
          <w:rPr>
            <w:noProof/>
            <w:webHidden/>
          </w:rPr>
        </w:r>
        <w:r w:rsidR="00196E59">
          <w:rPr>
            <w:noProof/>
            <w:webHidden/>
          </w:rPr>
          <w:fldChar w:fldCharType="separate"/>
        </w:r>
        <w:r w:rsidR="00196E59">
          <w:rPr>
            <w:noProof/>
            <w:webHidden/>
          </w:rPr>
          <w:t>53</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313" w:history="1">
        <w:r w:rsidR="00196E59" w:rsidRPr="00AF28F8">
          <w:rPr>
            <w:rStyle w:val="a9"/>
            <w:noProof/>
          </w:rPr>
          <w:t xml:space="preserve">8.10 </w:t>
        </w:r>
        <w:r w:rsidR="00196E59" w:rsidRPr="00AF28F8">
          <w:rPr>
            <w:rStyle w:val="a9"/>
            <w:rFonts w:hint="eastAsia"/>
            <w:noProof/>
          </w:rPr>
          <w:t>报告期末本基金投资的股指期货交易情况说明</w:t>
        </w:r>
        <w:r w:rsidR="00196E59">
          <w:rPr>
            <w:noProof/>
            <w:webHidden/>
          </w:rPr>
          <w:tab/>
        </w:r>
        <w:r w:rsidR="00196E59">
          <w:rPr>
            <w:noProof/>
            <w:webHidden/>
          </w:rPr>
          <w:fldChar w:fldCharType="begin"/>
        </w:r>
        <w:r w:rsidR="00196E59">
          <w:rPr>
            <w:noProof/>
            <w:webHidden/>
          </w:rPr>
          <w:instrText xml:space="preserve"> PAGEREF _Toc35966313 \h </w:instrText>
        </w:r>
        <w:r w:rsidR="00196E59">
          <w:rPr>
            <w:noProof/>
            <w:webHidden/>
          </w:rPr>
        </w:r>
        <w:r w:rsidR="00196E59">
          <w:rPr>
            <w:noProof/>
            <w:webHidden/>
          </w:rPr>
          <w:fldChar w:fldCharType="separate"/>
        </w:r>
        <w:r w:rsidR="00196E59">
          <w:rPr>
            <w:noProof/>
            <w:webHidden/>
          </w:rPr>
          <w:t>53</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314" w:history="1">
        <w:r w:rsidR="00196E59" w:rsidRPr="00AF28F8">
          <w:rPr>
            <w:rStyle w:val="a9"/>
            <w:noProof/>
          </w:rPr>
          <w:t>8.11</w:t>
        </w:r>
        <w:r w:rsidR="00196E59" w:rsidRPr="00AF28F8">
          <w:rPr>
            <w:rStyle w:val="a9"/>
            <w:rFonts w:hint="eastAsia"/>
            <w:noProof/>
          </w:rPr>
          <w:t>报告期末本基金投资的国债期货交易情况说明</w:t>
        </w:r>
        <w:r w:rsidR="00196E59">
          <w:rPr>
            <w:noProof/>
            <w:webHidden/>
          </w:rPr>
          <w:tab/>
        </w:r>
        <w:r w:rsidR="00196E59">
          <w:rPr>
            <w:noProof/>
            <w:webHidden/>
          </w:rPr>
          <w:fldChar w:fldCharType="begin"/>
        </w:r>
        <w:r w:rsidR="00196E59">
          <w:rPr>
            <w:noProof/>
            <w:webHidden/>
          </w:rPr>
          <w:instrText xml:space="preserve"> PAGEREF _Toc35966314 \h </w:instrText>
        </w:r>
        <w:r w:rsidR="00196E59">
          <w:rPr>
            <w:noProof/>
            <w:webHidden/>
          </w:rPr>
        </w:r>
        <w:r w:rsidR="00196E59">
          <w:rPr>
            <w:noProof/>
            <w:webHidden/>
          </w:rPr>
          <w:fldChar w:fldCharType="separate"/>
        </w:r>
        <w:r w:rsidR="00196E59">
          <w:rPr>
            <w:noProof/>
            <w:webHidden/>
          </w:rPr>
          <w:t>53</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315" w:history="1">
        <w:r w:rsidR="00196E59" w:rsidRPr="00AF28F8">
          <w:rPr>
            <w:rStyle w:val="a9"/>
            <w:noProof/>
          </w:rPr>
          <w:t xml:space="preserve">8.12 </w:t>
        </w:r>
        <w:r w:rsidR="00196E59" w:rsidRPr="00AF28F8">
          <w:rPr>
            <w:rStyle w:val="a9"/>
            <w:rFonts w:hint="eastAsia"/>
            <w:noProof/>
          </w:rPr>
          <w:t>投资组合报告附注</w:t>
        </w:r>
        <w:r w:rsidR="00196E59">
          <w:rPr>
            <w:noProof/>
            <w:webHidden/>
          </w:rPr>
          <w:tab/>
        </w:r>
        <w:r w:rsidR="00196E59">
          <w:rPr>
            <w:noProof/>
            <w:webHidden/>
          </w:rPr>
          <w:fldChar w:fldCharType="begin"/>
        </w:r>
        <w:r w:rsidR="00196E59">
          <w:rPr>
            <w:noProof/>
            <w:webHidden/>
          </w:rPr>
          <w:instrText xml:space="preserve"> PAGEREF _Toc35966315 \h </w:instrText>
        </w:r>
        <w:r w:rsidR="00196E59">
          <w:rPr>
            <w:noProof/>
            <w:webHidden/>
          </w:rPr>
        </w:r>
        <w:r w:rsidR="00196E59">
          <w:rPr>
            <w:noProof/>
            <w:webHidden/>
          </w:rPr>
          <w:fldChar w:fldCharType="separate"/>
        </w:r>
        <w:r w:rsidR="00196E59">
          <w:rPr>
            <w:noProof/>
            <w:webHidden/>
          </w:rPr>
          <w:t>53</w:t>
        </w:r>
        <w:r w:rsidR="00196E59">
          <w:rPr>
            <w:noProof/>
            <w:webHidden/>
          </w:rPr>
          <w:fldChar w:fldCharType="end"/>
        </w:r>
      </w:hyperlink>
    </w:p>
    <w:p w:rsidR="00196E59" w:rsidRDefault="00AC171A">
      <w:pPr>
        <w:pStyle w:val="11"/>
        <w:rPr>
          <w:rFonts w:asciiTheme="minorHAnsi" w:eastAsiaTheme="minorEastAsia" w:hAnsiTheme="minorHAnsi" w:cstheme="minorBidi"/>
          <w:noProof/>
          <w:szCs w:val="22"/>
        </w:rPr>
      </w:pPr>
      <w:hyperlink w:anchor="_Toc35966320" w:history="1">
        <w:r w:rsidR="00196E59" w:rsidRPr="00AF28F8">
          <w:rPr>
            <w:rStyle w:val="a9"/>
            <w:b/>
            <w:bCs/>
            <w:noProof/>
          </w:rPr>
          <w:t>§9</w:t>
        </w:r>
        <w:r w:rsidR="00196E59" w:rsidRPr="00AF28F8">
          <w:rPr>
            <w:rStyle w:val="a9"/>
            <w:rFonts w:hint="eastAsia"/>
            <w:b/>
            <w:bCs/>
            <w:noProof/>
          </w:rPr>
          <w:t>基金份额持有人信息</w:t>
        </w:r>
        <w:r w:rsidR="00196E59">
          <w:rPr>
            <w:noProof/>
            <w:webHidden/>
          </w:rPr>
          <w:tab/>
        </w:r>
        <w:r w:rsidR="00196E59">
          <w:rPr>
            <w:noProof/>
            <w:webHidden/>
          </w:rPr>
          <w:fldChar w:fldCharType="begin"/>
        </w:r>
        <w:r w:rsidR="00196E59">
          <w:rPr>
            <w:noProof/>
            <w:webHidden/>
          </w:rPr>
          <w:instrText xml:space="preserve"> PAGEREF _Toc35966320 \h </w:instrText>
        </w:r>
        <w:r w:rsidR="00196E59">
          <w:rPr>
            <w:noProof/>
            <w:webHidden/>
          </w:rPr>
        </w:r>
        <w:r w:rsidR="00196E59">
          <w:rPr>
            <w:noProof/>
            <w:webHidden/>
          </w:rPr>
          <w:fldChar w:fldCharType="separate"/>
        </w:r>
        <w:r w:rsidR="00196E59">
          <w:rPr>
            <w:noProof/>
            <w:webHidden/>
          </w:rPr>
          <w:t>54</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321" w:history="1">
        <w:r w:rsidR="00196E59" w:rsidRPr="00AF28F8">
          <w:rPr>
            <w:rStyle w:val="a9"/>
            <w:noProof/>
          </w:rPr>
          <w:t xml:space="preserve">9.1 </w:t>
        </w:r>
        <w:r w:rsidR="00196E59" w:rsidRPr="00AF28F8">
          <w:rPr>
            <w:rStyle w:val="a9"/>
            <w:rFonts w:hint="eastAsia"/>
            <w:noProof/>
          </w:rPr>
          <w:t>期末基金份额持有人户数及持有人结构</w:t>
        </w:r>
        <w:r w:rsidR="00196E59">
          <w:rPr>
            <w:noProof/>
            <w:webHidden/>
          </w:rPr>
          <w:tab/>
        </w:r>
        <w:r w:rsidR="00196E59">
          <w:rPr>
            <w:noProof/>
            <w:webHidden/>
          </w:rPr>
          <w:fldChar w:fldCharType="begin"/>
        </w:r>
        <w:r w:rsidR="00196E59">
          <w:rPr>
            <w:noProof/>
            <w:webHidden/>
          </w:rPr>
          <w:instrText xml:space="preserve"> PAGEREF _Toc35966321 \h </w:instrText>
        </w:r>
        <w:r w:rsidR="00196E59">
          <w:rPr>
            <w:noProof/>
            <w:webHidden/>
          </w:rPr>
        </w:r>
        <w:r w:rsidR="00196E59">
          <w:rPr>
            <w:noProof/>
            <w:webHidden/>
          </w:rPr>
          <w:fldChar w:fldCharType="separate"/>
        </w:r>
        <w:r w:rsidR="00196E59">
          <w:rPr>
            <w:noProof/>
            <w:webHidden/>
          </w:rPr>
          <w:t>54</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322" w:history="1">
        <w:r w:rsidR="00196E59" w:rsidRPr="00AF28F8">
          <w:rPr>
            <w:rStyle w:val="a9"/>
            <w:noProof/>
          </w:rPr>
          <w:t>9.2</w:t>
        </w:r>
        <w:r w:rsidR="00196E59" w:rsidRPr="00AF28F8">
          <w:rPr>
            <w:rStyle w:val="a9"/>
            <w:rFonts w:hint="eastAsia"/>
            <w:noProof/>
          </w:rPr>
          <w:t>期末基金管理人的从业人员持有本基金的情况</w:t>
        </w:r>
        <w:r w:rsidR="00196E59">
          <w:rPr>
            <w:noProof/>
            <w:webHidden/>
          </w:rPr>
          <w:tab/>
        </w:r>
        <w:r w:rsidR="00196E59">
          <w:rPr>
            <w:noProof/>
            <w:webHidden/>
          </w:rPr>
          <w:fldChar w:fldCharType="begin"/>
        </w:r>
        <w:r w:rsidR="00196E59">
          <w:rPr>
            <w:noProof/>
            <w:webHidden/>
          </w:rPr>
          <w:instrText xml:space="preserve"> PAGEREF _Toc35966322 \h </w:instrText>
        </w:r>
        <w:r w:rsidR="00196E59">
          <w:rPr>
            <w:noProof/>
            <w:webHidden/>
          </w:rPr>
        </w:r>
        <w:r w:rsidR="00196E59">
          <w:rPr>
            <w:noProof/>
            <w:webHidden/>
          </w:rPr>
          <w:fldChar w:fldCharType="separate"/>
        </w:r>
        <w:r w:rsidR="00196E59">
          <w:rPr>
            <w:noProof/>
            <w:webHidden/>
          </w:rPr>
          <w:t>54</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323" w:history="1">
        <w:r w:rsidR="00196E59" w:rsidRPr="00AF28F8">
          <w:rPr>
            <w:rStyle w:val="a9"/>
            <w:noProof/>
          </w:rPr>
          <w:t>9.3</w:t>
        </w:r>
        <w:r w:rsidR="00196E59" w:rsidRPr="00AF28F8">
          <w:rPr>
            <w:rStyle w:val="a9"/>
            <w:rFonts w:hint="eastAsia"/>
            <w:noProof/>
          </w:rPr>
          <w:t>期末基金管理人的从业人员持有本开放式基金份额总量区间的情况</w:t>
        </w:r>
        <w:r w:rsidR="00196E59">
          <w:rPr>
            <w:noProof/>
            <w:webHidden/>
          </w:rPr>
          <w:tab/>
        </w:r>
        <w:r w:rsidR="00196E59">
          <w:rPr>
            <w:noProof/>
            <w:webHidden/>
          </w:rPr>
          <w:fldChar w:fldCharType="begin"/>
        </w:r>
        <w:r w:rsidR="00196E59">
          <w:rPr>
            <w:noProof/>
            <w:webHidden/>
          </w:rPr>
          <w:instrText xml:space="preserve"> PAGEREF _Toc35966323 \h </w:instrText>
        </w:r>
        <w:r w:rsidR="00196E59">
          <w:rPr>
            <w:noProof/>
            <w:webHidden/>
          </w:rPr>
        </w:r>
        <w:r w:rsidR="00196E59">
          <w:rPr>
            <w:noProof/>
            <w:webHidden/>
          </w:rPr>
          <w:fldChar w:fldCharType="separate"/>
        </w:r>
        <w:r w:rsidR="00196E59">
          <w:rPr>
            <w:noProof/>
            <w:webHidden/>
          </w:rPr>
          <w:t>55</w:t>
        </w:r>
        <w:r w:rsidR="00196E59">
          <w:rPr>
            <w:noProof/>
            <w:webHidden/>
          </w:rPr>
          <w:fldChar w:fldCharType="end"/>
        </w:r>
      </w:hyperlink>
    </w:p>
    <w:p w:rsidR="00196E59" w:rsidRDefault="00AC171A">
      <w:pPr>
        <w:pStyle w:val="11"/>
        <w:rPr>
          <w:rFonts w:asciiTheme="minorHAnsi" w:eastAsiaTheme="minorEastAsia" w:hAnsiTheme="minorHAnsi" w:cstheme="minorBidi"/>
          <w:noProof/>
          <w:szCs w:val="22"/>
        </w:rPr>
      </w:pPr>
      <w:hyperlink w:anchor="_Toc35966324" w:history="1">
        <w:r w:rsidR="00196E59" w:rsidRPr="00AF28F8">
          <w:rPr>
            <w:rStyle w:val="a9"/>
            <w:b/>
            <w:bCs/>
            <w:noProof/>
          </w:rPr>
          <w:t>§10</w:t>
        </w:r>
        <w:r w:rsidR="00196E59" w:rsidRPr="00AF28F8">
          <w:rPr>
            <w:rStyle w:val="a9"/>
            <w:rFonts w:hint="eastAsia"/>
            <w:b/>
            <w:bCs/>
            <w:noProof/>
          </w:rPr>
          <w:t>开放式基金份额变动</w:t>
        </w:r>
        <w:r w:rsidR="00196E59">
          <w:rPr>
            <w:noProof/>
            <w:webHidden/>
          </w:rPr>
          <w:tab/>
        </w:r>
        <w:r w:rsidR="00196E59">
          <w:rPr>
            <w:noProof/>
            <w:webHidden/>
          </w:rPr>
          <w:fldChar w:fldCharType="begin"/>
        </w:r>
        <w:r w:rsidR="00196E59">
          <w:rPr>
            <w:noProof/>
            <w:webHidden/>
          </w:rPr>
          <w:instrText xml:space="preserve"> PAGEREF _Toc35966324 \h </w:instrText>
        </w:r>
        <w:r w:rsidR="00196E59">
          <w:rPr>
            <w:noProof/>
            <w:webHidden/>
          </w:rPr>
        </w:r>
        <w:r w:rsidR="00196E59">
          <w:rPr>
            <w:noProof/>
            <w:webHidden/>
          </w:rPr>
          <w:fldChar w:fldCharType="separate"/>
        </w:r>
        <w:r w:rsidR="00196E59">
          <w:rPr>
            <w:noProof/>
            <w:webHidden/>
          </w:rPr>
          <w:t>55</w:t>
        </w:r>
        <w:r w:rsidR="00196E59">
          <w:rPr>
            <w:noProof/>
            <w:webHidden/>
          </w:rPr>
          <w:fldChar w:fldCharType="end"/>
        </w:r>
      </w:hyperlink>
    </w:p>
    <w:p w:rsidR="00196E59" w:rsidRDefault="00AC171A">
      <w:pPr>
        <w:pStyle w:val="11"/>
        <w:rPr>
          <w:rFonts w:asciiTheme="minorHAnsi" w:eastAsiaTheme="minorEastAsia" w:hAnsiTheme="minorHAnsi" w:cstheme="minorBidi"/>
          <w:noProof/>
          <w:szCs w:val="22"/>
        </w:rPr>
      </w:pPr>
      <w:hyperlink w:anchor="_Toc35966325" w:history="1">
        <w:r w:rsidR="00196E59" w:rsidRPr="00AF28F8">
          <w:rPr>
            <w:rStyle w:val="a9"/>
            <w:b/>
            <w:bCs/>
            <w:noProof/>
          </w:rPr>
          <w:t>§11</w:t>
        </w:r>
        <w:r w:rsidR="00196E59" w:rsidRPr="00AF28F8">
          <w:rPr>
            <w:rStyle w:val="a9"/>
            <w:rFonts w:hint="eastAsia"/>
            <w:b/>
            <w:bCs/>
            <w:noProof/>
          </w:rPr>
          <w:t>重大事件揭示</w:t>
        </w:r>
        <w:r w:rsidR="00196E59">
          <w:rPr>
            <w:noProof/>
            <w:webHidden/>
          </w:rPr>
          <w:tab/>
        </w:r>
        <w:r w:rsidR="00196E59">
          <w:rPr>
            <w:noProof/>
            <w:webHidden/>
          </w:rPr>
          <w:fldChar w:fldCharType="begin"/>
        </w:r>
        <w:r w:rsidR="00196E59">
          <w:rPr>
            <w:noProof/>
            <w:webHidden/>
          </w:rPr>
          <w:instrText xml:space="preserve"> PAGEREF _Toc35966325 \h </w:instrText>
        </w:r>
        <w:r w:rsidR="00196E59">
          <w:rPr>
            <w:noProof/>
            <w:webHidden/>
          </w:rPr>
        </w:r>
        <w:r w:rsidR="00196E59">
          <w:rPr>
            <w:noProof/>
            <w:webHidden/>
          </w:rPr>
          <w:fldChar w:fldCharType="separate"/>
        </w:r>
        <w:r w:rsidR="00196E59">
          <w:rPr>
            <w:noProof/>
            <w:webHidden/>
          </w:rPr>
          <w:t>55</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326" w:history="1">
        <w:r w:rsidR="00196E59" w:rsidRPr="00AF28F8">
          <w:rPr>
            <w:rStyle w:val="a9"/>
            <w:noProof/>
          </w:rPr>
          <w:t>11.1</w:t>
        </w:r>
        <w:r w:rsidR="00196E59" w:rsidRPr="00AF28F8">
          <w:rPr>
            <w:rStyle w:val="a9"/>
            <w:rFonts w:hint="eastAsia"/>
            <w:noProof/>
          </w:rPr>
          <w:t>基金份额持有人大会决议</w:t>
        </w:r>
        <w:r w:rsidR="00196E59">
          <w:rPr>
            <w:noProof/>
            <w:webHidden/>
          </w:rPr>
          <w:tab/>
        </w:r>
        <w:r w:rsidR="00196E59">
          <w:rPr>
            <w:noProof/>
            <w:webHidden/>
          </w:rPr>
          <w:fldChar w:fldCharType="begin"/>
        </w:r>
        <w:r w:rsidR="00196E59">
          <w:rPr>
            <w:noProof/>
            <w:webHidden/>
          </w:rPr>
          <w:instrText xml:space="preserve"> PAGEREF _Toc35966326 \h </w:instrText>
        </w:r>
        <w:r w:rsidR="00196E59">
          <w:rPr>
            <w:noProof/>
            <w:webHidden/>
          </w:rPr>
        </w:r>
        <w:r w:rsidR="00196E59">
          <w:rPr>
            <w:noProof/>
            <w:webHidden/>
          </w:rPr>
          <w:fldChar w:fldCharType="separate"/>
        </w:r>
        <w:r w:rsidR="00196E59">
          <w:rPr>
            <w:noProof/>
            <w:webHidden/>
          </w:rPr>
          <w:t>55</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327" w:history="1">
        <w:r w:rsidR="00196E59" w:rsidRPr="00AF28F8">
          <w:rPr>
            <w:rStyle w:val="a9"/>
            <w:noProof/>
          </w:rPr>
          <w:t xml:space="preserve">11.2 </w:t>
        </w:r>
        <w:r w:rsidR="00196E59" w:rsidRPr="00AF28F8">
          <w:rPr>
            <w:rStyle w:val="a9"/>
            <w:rFonts w:hint="eastAsia"/>
            <w:noProof/>
          </w:rPr>
          <w:t>基金管理人、基金托管人的专门基金托管部门的重大人事变动</w:t>
        </w:r>
        <w:r w:rsidR="00196E59">
          <w:rPr>
            <w:noProof/>
            <w:webHidden/>
          </w:rPr>
          <w:tab/>
        </w:r>
        <w:r w:rsidR="00196E59">
          <w:rPr>
            <w:noProof/>
            <w:webHidden/>
          </w:rPr>
          <w:fldChar w:fldCharType="begin"/>
        </w:r>
        <w:r w:rsidR="00196E59">
          <w:rPr>
            <w:noProof/>
            <w:webHidden/>
          </w:rPr>
          <w:instrText xml:space="preserve"> PAGEREF _Toc35966327 \h </w:instrText>
        </w:r>
        <w:r w:rsidR="00196E59">
          <w:rPr>
            <w:noProof/>
            <w:webHidden/>
          </w:rPr>
        </w:r>
        <w:r w:rsidR="00196E59">
          <w:rPr>
            <w:noProof/>
            <w:webHidden/>
          </w:rPr>
          <w:fldChar w:fldCharType="separate"/>
        </w:r>
        <w:r w:rsidR="00196E59">
          <w:rPr>
            <w:noProof/>
            <w:webHidden/>
          </w:rPr>
          <w:t>56</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328" w:history="1">
        <w:r w:rsidR="00196E59" w:rsidRPr="00AF28F8">
          <w:rPr>
            <w:rStyle w:val="a9"/>
            <w:noProof/>
          </w:rPr>
          <w:t xml:space="preserve">11.3 </w:t>
        </w:r>
        <w:r w:rsidR="00196E59" w:rsidRPr="00AF28F8">
          <w:rPr>
            <w:rStyle w:val="a9"/>
            <w:rFonts w:hint="eastAsia"/>
            <w:noProof/>
          </w:rPr>
          <w:t>涉及基金管理人、基金财产、基金托管业务的诉讼</w:t>
        </w:r>
        <w:r w:rsidR="00196E59">
          <w:rPr>
            <w:noProof/>
            <w:webHidden/>
          </w:rPr>
          <w:tab/>
        </w:r>
        <w:r w:rsidR="00196E59">
          <w:rPr>
            <w:noProof/>
            <w:webHidden/>
          </w:rPr>
          <w:fldChar w:fldCharType="begin"/>
        </w:r>
        <w:r w:rsidR="00196E59">
          <w:rPr>
            <w:noProof/>
            <w:webHidden/>
          </w:rPr>
          <w:instrText xml:space="preserve"> PAGEREF _Toc35966328 \h </w:instrText>
        </w:r>
        <w:r w:rsidR="00196E59">
          <w:rPr>
            <w:noProof/>
            <w:webHidden/>
          </w:rPr>
        </w:r>
        <w:r w:rsidR="00196E59">
          <w:rPr>
            <w:noProof/>
            <w:webHidden/>
          </w:rPr>
          <w:fldChar w:fldCharType="separate"/>
        </w:r>
        <w:r w:rsidR="00196E59">
          <w:rPr>
            <w:noProof/>
            <w:webHidden/>
          </w:rPr>
          <w:t>56</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329" w:history="1">
        <w:r w:rsidR="00196E59" w:rsidRPr="00AF28F8">
          <w:rPr>
            <w:rStyle w:val="a9"/>
            <w:noProof/>
          </w:rPr>
          <w:t xml:space="preserve">11.4 </w:t>
        </w:r>
        <w:r w:rsidR="00196E59" w:rsidRPr="00AF28F8">
          <w:rPr>
            <w:rStyle w:val="a9"/>
            <w:rFonts w:hint="eastAsia"/>
            <w:noProof/>
          </w:rPr>
          <w:t>基金投资策略的改变</w:t>
        </w:r>
        <w:r w:rsidR="00196E59">
          <w:rPr>
            <w:noProof/>
            <w:webHidden/>
          </w:rPr>
          <w:tab/>
        </w:r>
        <w:r w:rsidR="00196E59">
          <w:rPr>
            <w:noProof/>
            <w:webHidden/>
          </w:rPr>
          <w:fldChar w:fldCharType="begin"/>
        </w:r>
        <w:r w:rsidR="00196E59">
          <w:rPr>
            <w:noProof/>
            <w:webHidden/>
          </w:rPr>
          <w:instrText xml:space="preserve"> PAGEREF _Toc35966329 \h </w:instrText>
        </w:r>
        <w:r w:rsidR="00196E59">
          <w:rPr>
            <w:noProof/>
            <w:webHidden/>
          </w:rPr>
        </w:r>
        <w:r w:rsidR="00196E59">
          <w:rPr>
            <w:noProof/>
            <w:webHidden/>
          </w:rPr>
          <w:fldChar w:fldCharType="separate"/>
        </w:r>
        <w:r w:rsidR="00196E59">
          <w:rPr>
            <w:noProof/>
            <w:webHidden/>
          </w:rPr>
          <w:t>56</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330" w:history="1">
        <w:r w:rsidR="00196E59" w:rsidRPr="00AF28F8">
          <w:rPr>
            <w:rStyle w:val="a9"/>
            <w:noProof/>
          </w:rPr>
          <w:t>11.5</w:t>
        </w:r>
        <w:r w:rsidR="00196E59" w:rsidRPr="00AF28F8">
          <w:rPr>
            <w:rStyle w:val="a9"/>
            <w:rFonts w:hint="eastAsia"/>
            <w:noProof/>
          </w:rPr>
          <w:t>为基金进行审计的会计师事务所情况</w:t>
        </w:r>
        <w:r w:rsidR="00196E59">
          <w:rPr>
            <w:noProof/>
            <w:webHidden/>
          </w:rPr>
          <w:tab/>
        </w:r>
        <w:r w:rsidR="00196E59">
          <w:rPr>
            <w:noProof/>
            <w:webHidden/>
          </w:rPr>
          <w:fldChar w:fldCharType="begin"/>
        </w:r>
        <w:r w:rsidR="00196E59">
          <w:rPr>
            <w:noProof/>
            <w:webHidden/>
          </w:rPr>
          <w:instrText xml:space="preserve"> PAGEREF _Toc35966330 \h </w:instrText>
        </w:r>
        <w:r w:rsidR="00196E59">
          <w:rPr>
            <w:noProof/>
            <w:webHidden/>
          </w:rPr>
        </w:r>
        <w:r w:rsidR="00196E59">
          <w:rPr>
            <w:noProof/>
            <w:webHidden/>
          </w:rPr>
          <w:fldChar w:fldCharType="separate"/>
        </w:r>
        <w:r w:rsidR="00196E59">
          <w:rPr>
            <w:noProof/>
            <w:webHidden/>
          </w:rPr>
          <w:t>56</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331" w:history="1">
        <w:r w:rsidR="00196E59" w:rsidRPr="00AF28F8">
          <w:rPr>
            <w:rStyle w:val="a9"/>
            <w:noProof/>
          </w:rPr>
          <w:t xml:space="preserve">11.6 </w:t>
        </w:r>
        <w:r w:rsidR="00196E59" w:rsidRPr="00AF28F8">
          <w:rPr>
            <w:rStyle w:val="a9"/>
            <w:rFonts w:hint="eastAsia"/>
            <w:noProof/>
          </w:rPr>
          <w:t>管理人、托管人及其高级管理人员受稽查或处罚等情况</w:t>
        </w:r>
        <w:r w:rsidR="00196E59">
          <w:rPr>
            <w:noProof/>
            <w:webHidden/>
          </w:rPr>
          <w:tab/>
        </w:r>
        <w:r w:rsidR="00196E59">
          <w:rPr>
            <w:noProof/>
            <w:webHidden/>
          </w:rPr>
          <w:fldChar w:fldCharType="begin"/>
        </w:r>
        <w:r w:rsidR="00196E59">
          <w:rPr>
            <w:noProof/>
            <w:webHidden/>
          </w:rPr>
          <w:instrText xml:space="preserve"> PAGEREF _Toc35966331 \h </w:instrText>
        </w:r>
        <w:r w:rsidR="00196E59">
          <w:rPr>
            <w:noProof/>
            <w:webHidden/>
          </w:rPr>
        </w:r>
        <w:r w:rsidR="00196E59">
          <w:rPr>
            <w:noProof/>
            <w:webHidden/>
          </w:rPr>
          <w:fldChar w:fldCharType="separate"/>
        </w:r>
        <w:r w:rsidR="00196E59">
          <w:rPr>
            <w:noProof/>
            <w:webHidden/>
          </w:rPr>
          <w:t>56</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332" w:history="1">
        <w:r w:rsidR="00196E59" w:rsidRPr="00AF28F8">
          <w:rPr>
            <w:rStyle w:val="a9"/>
            <w:noProof/>
          </w:rPr>
          <w:t xml:space="preserve">11.7 </w:t>
        </w:r>
        <w:r w:rsidR="00196E59" w:rsidRPr="00AF28F8">
          <w:rPr>
            <w:rStyle w:val="a9"/>
            <w:rFonts w:hint="eastAsia"/>
            <w:noProof/>
          </w:rPr>
          <w:t>基金租用证券公司交易单元的有关情况</w:t>
        </w:r>
        <w:r w:rsidR="00196E59">
          <w:rPr>
            <w:noProof/>
            <w:webHidden/>
          </w:rPr>
          <w:tab/>
        </w:r>
        <w:r w:rsidR="00196E59">
          <w:rPr>
            <w:noProof/>
            <w:webHidden/>
          </w:rPr>
          <w:fldChar w:fldCharType="begin"/>
        </w:r>
        <w:r w:rsidR="00196E59">
          <w:rPr>
            <w:noProof/>
            <w:webHidden/>
          </w:rPr>
          <w:instrText xml:space="preserve"> PAGEREF _Toc35966332 \h </w:instrText>
        </w:r>
        <w:r w:rsidR="00196E59">
          <w:rPr>
            <w:noProof/>
            <w:webHidden/>
          </w:rPr>
        </w:r>
        <w:r w:rsidR="00196E59">
          <w:rPr>
            <w:noProof/>
            <w:webHidden/>
          </w:rPr>
          <w:fldChar w:fldCharType="separate"/>
        </w:r>
        <w:r w:rsidR="00196E59">
          <w:rPr>
            <w:noProof/>
            <w:webHidden/>
          </w:rPr>
          <w:t>56</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335" w:history="1">
        <w:r w:rsidR="00196E59" w:rsidRPr="00AF28F8">
          <w:rPr>
            <w:rStyle w:val="a9"/>
            <w:noProof/>
          </w:rPr>
          <w:t>11.8</w:t>
        </w:r>
        <w:r w:rsidR="00196E59" w:rsidRPr="00AF28F8">
          <w:rPr>
            <w:rStyle w:val="a9"/>
            <w:rFonts w:hint="eastAsia"/>
            <w:noProof/>
          </w:rPr>
          <w:t>其他重大事件</w:t>
        </w:r>
        <w:r w:rsidR="00196E59">
          <w:rPr>
            <w:noProof/>
            <w:webHidden/>
          </w:rPr>
          <w:tab/>
        </w:r>
        <w:r w:rsidR="00196E59">
          <w:rPr>
            <w:noProof/>
            <w:webHidden/>
          </w:rPr>
          <w:fldChar w:fldCharType="begin"/>
        </w:r>
        <w:r w:rsidR="00196E59">
          <w:rPr>
            <w:noProof/>
            <w:webHidden/>
          </w:rPr>
          <w:instrText xml:space="preserve"> PAGEREF _Toc35966335 \h </w:instrText>
        </w:r>
        <w:r w:rsidR="00196E59">
          <w:rPr>
            <w:noProof/>
            <w:webHidden/>
          </w:rPr>
        </w:r>
        <w:r w:rsidR="00196E59">
          <w:rPr>
            <w:noProof/>
            <w:webHidden/>
          </w:rPr>
          <w:fldChar w:fldCharType="separate"/>
        </w:r>
        <w:r w:rsidR="00196E59">
          <w:rPr>
            <w:noProof/>
            <w:webHidden/>
          </w:rPr>
          <w:t>57</w:t>
        </w:r>
        <w:r w:rsidR="00196E59">
          <w:rPr>
            <w:noProof/>
            <w:webHidden/>
          </w:rPr>
          <w:fldChar w:fldCharType="end"/>
        </w:r>
      </w:hyperlink>
    </w:p>
    <w:p w:rsidR="00196E59" w:rsidRDefault="00AC171A">
      <w:pPr>
        <w:pStyle w:val="11"/>
        <w:rPr>
          <w:rFonts w:asciiTheme="minorHAnsi" w:eastAsiaTheme="minorEastAsia" w:hAnsiTheme="minorHAnsi" w:cstheme="minorBidi"/>
          <w:noProof/>
          <w:szCs w:val="22"/>
        </w:rPr>
      </w:pPr>
      <w:hyperlink w:anchor="_Toc35966336" w:history="1">
        <w:r w:rsidR="00196E59" w:rsidRPr="00AF28F8">
          <w:rPr>
            <w:rStyle w:val="a9"/>
            <w:b/>
            <w:bCs/>
            <w:noProof/>
          </w:rPr>
          <w:t xml:space="preserve">§12  </w:t>
        </w:r>
        <w:r w:rsidR="00196E59" w:rsidRPr="00AF28F8">
          <w:rPr>
            <w:rStyle w:val="a9"/>
            <w:rFonts w:hint="eastAsia"/>
            <w:b/>
            <w:bCs/>
            <w:noProof/>
          </w:rPr>
          <w:t>影响投资者决策的其他重要信息</w:t>
        </w:r>
        <w:r w:rsidR="00196E59">
          <w:rPr>
            <w:noProof/>
            <w:webHidden/>
          </w:rPr>
          <w:tab/>
        </w:r>
        <w:r w:rsidR="00196E59">
          <w:rPr>
            <w:noProof/>
            <w:webHidden/>
          </w:rPr>
          <w:fldChar w:fldCharType="begin"/>
        </w:r>
        <w:r w:rsidR="00196E59">
          <w:rPr>
            <w:noProof/>
            <w:webHidden/>
          </w:rPr>
          <w:instrText xml:space="preserve"> PAGEREF _Toc35966336 \h </w:instrText>
        </w:r>
        <w:r w:rsidR="00196E59">
          <w:rPr>
            <w:noProof/>
            <w:webHidden/>
          </w:rPr>
        </w:r>
        <w:r w:rsidR="00196E59">
          <w:rPr>
            <w:noProof/>
            <w:webHidden/>
          </w:rPr>
          <w:fldChar w:fldCharType="separate"/>
        </w:r>
        <w:r w:rsidR="00196E59">
          <w:rPr>
            <w:noProof/>
            <w:webHidden/>
          </w:rPr>
          <w:t>59</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337" w:history="1">
        <w:r w:rsidR="00196E59" w:rsidRPr="00AF28F8">
          <w:rPr>
            <w:rStyle w:val="a9"/>
            <w:noProof/>
          </w:rPr>
          <w:t xml:space="preserve">12.1 </w:t>
        </w:r>
        <w:r w:rsidR="00196E59" w:rsidRPr="00AF28F8">
          <w:rPr>
            <w:rStyle w:val="a9"/>
            <w:rFonts w:hint="eastAsia"/>
            <w:noProof/>
          </w:rPr>
          <w:t>影响投资者决策的其他重要信息</w:t>
        </w:r>
        <w:r w:rsidR="00196E59">
          <w:rPr>
            <w:noProof/>
            <w:webHidden/>
          </w:rPr>
          <w:tab/>
        </w:r>
        <w:r w:rsidR="00196E59">
          <w:rPr>
            <w:noProof/>
            <w:webHidden/>
          </w:rPr>
          <w:fldChar w:fldCharType="begin"/>
        </w:r>
        <w:r w:rsidR="00196E59">
          <w:rPr>
            <w:noProof/>
            <w:webHidden/>
          </w:rPr>
          <w:instrText xml:space="preserve"> PAGEREF _Toc35966337 \h </w:instrText>
        </w:r>
        <w:r w:rsidR="00196E59">
          <w:rPr>
            <w:noProof/>
            <w:webHidden/>
          </w:rPr>
        </w:r>
        <w:r w:rsidR="00196E59">
          <w:rPr>
            <w:noProof/>
            <w:webHidden/>
          </w:rPr>
          <w:fldChar w:fldCharType="separate"/>
        </w:r>
        <w:r w:rsidR="00196E59">
          <w:rPr>
            <w:noProof/>
            <w:webHidden/>
          </w:rPr>
          <w:t>59</w:t>
        </w:r>
        <w:r w:rsidR="00196E59">
          <w:rPr>
            <w:noProof/>
            <w:webHidden/>
          </w:rPr>
          <w:fldChar w:fldCharType="end"/>
        </w:r>
      </w:hyperlink>
    </w:p>
    <w:p w:rsidR="00196E59" w:rsidRDefault="00AC171A">
      <w:pPr>
        <w:pStyle w:val="11"/>
        <w:rPr>
          <w:rFonts w:asciiTheme="minorHAnsi" w:eastAsiaTheme="minorEastAsia" w:hAnsiTheme="minorHAnsi" w:cstheme="minorBidi"/>
          <w:noProof/>
          <w:szCs w:val="22"/>
        </w:rPr>
      </w:pPr>
      <w:hyperlink w:anchor="_Toc35966338" w:history="1">
        <w:r w:rsidR="00196E59" w:rsidRPr="00AF28F8">
          <w:rPr>
            <w:rStyle w:val="a9"/>
            <w:b/>
            <w:bCs/>
            <w:noProof/>
          </w:rPr>
          <w:t>§13</w:t>
        </w:r>
        <w:r w:rsidR="00196E59" w:rsidRPr="00AF28F8">
          <w:rPr>
            <w:rStyle w:val="a9"/>
            <w:rFonts w:hint="eastAsia"/>
            <w:b/>
            <w:bCs/>
            <w:noProof/>
          </w:rPr>
          <w:t>备查文件目录</w:t>
        </w:r>
        <w:r w:rsidR="00196E59">
          <w:rPr>
            <w:noProof/>
            <w:webHidden/>
          </w:rPr>
          <w:tab/>
        </w:r>
        <w:r w:rsidR="00196E59">
          <w:rPr>
            <w:noProof/>
            <w:webHidden/>
          </w:rPr>
          <w:fldChar w:fldCharType="begin"/>
        </w:r>
        <w:r w:rsidR="00196E59">
          <w:rPr>
            <w:noProof/>
            <w:webHidden/>
          </w:rPr>
          <w:instrText xml:space="preserve"> PAGEREF _Toc35966338 \h </w:instrText>
        </w:r>
        <w:r w:rsidR="00196E59">
          <w:rPr>
            <w:noProof/>
            <w:webHidden/>
          </w:rPr>
        </w:r>
        <w:r w:rsidR="00196E59">
          <w:rPr>
            <w:noProof/>
            <w:webHidden/>
          </w:rPr>
          <w:fldChar w:fldCharType="separate"/>
        </w:r>
        <w:r w:rsidR="00196E59">
          <w:rPr>
            <w:noProof/>
            <w:webHidden/>
          </w:rPr>
          <w:t>60</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339" w:history="1">
        <w:r w:rsidR="00196E59" w:rsidRPr="00AF28F8">
          <w:rPr>
            <w:rStyle w:val="a9"/>
            <w:noProof/>
          </w:rPr>
          <w:t xml:space="preserve">13.1 </w:t>
        </w:r>
        <w:r w:rsidR="00196E59" w:rsidRPr="00AF28F8">
          <w:rPr>
            <w:rStyle w:val="a9"/>
            <w:rFonts w:hint="eastAsia"/>
            <w:noProof/>
          </w:rPr>
          <w:t>备查文件目录</w:t>
        </w:r>
        <w:r w:rsidR="00196E59">
          <w:rPr>
            <w:noProof/>
            <w:webHidden/>
          </w:rPr>
          <w:tab/>
        </w:r>
        <w:r w:rsidR="00196E59">
          <w:rPr>
            <w:noProof/>
            <w:webHidden/>
          </w:rPr>
          <w:fldChar w:fldCharType="begin"/>
        </w:r>
        <w:r w:rsidR="00196E59">
          <w:rPr>
            <w:noProof/>
            <w:webHidden/>
          </w:rPr>
          <w:instrText xml:space="preserve"> PAGEREF _Toc35966339 \h </w:instrText>
        </w:r>
        <w:r w:rsidR="00196E59">
          <w:rPr>
            <w:noProof/>
            <w:webHidden/>
          </w:rPr>
        </w:r>
        <w:r w:rsidR="00196E59">
          <w:rPr>
            <w:noProof/>
            <w:webHidden/>
          </w:rPr>
          <w:fldChar w:fldCharType="separate"/>
        </w:r>
        <w:r w:rsidR="00196E59">
          <w:rPr>
            <w:noProof/>
            <w:webHidden/>
          </w:rPr>
          <w:t>60</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340" w:history="1">
        <w:r w:rsidR="00196E59" w:rsidRPr="00AF28F8">
          <w:rPr>
            <w:rStyle w:val="a9"/>
            <w:noProof/>
          </w:rPr>
          <w:t>13.2</w:t>
        </w:r>
        <w:r w:rsidR="00196E59" w:rsidRPr="00AF28F8">
          <w:rPr>
            <w:rStyle w:val="a9"/>
            <w:rFonts w:hint="eastAsia"/>
            <w:noProof/>
          </w:rPr>
          <w:t>存放地点</w:t>
        </w:r>
        <w:r w:rsidR="00196E59">
          <w:rPr>
            <w:noProof/>
            <w:webHidden/>
          </w:rPr>
          <w:tab/>
        </w:r>
        <w:r w:rsidR="00196E59">
          <w:rPr>
            <w:noProof/>
            <w:webHidden/>
          </w:rPr>
          <w:fldChar w:fldCharType="begin"/>
        </w:r>
        <w:r w:rsidR="00196E59">
          <w:rPr>
            <w:noProof/>
            <w:webHidden/>
          </w:rPr>
          <w:instrText xml:space="preserve"> PAGEREF _Toc35966340 \h </w:instrText>
        </w:r>
        <w:r w:rsidR="00196E59">
          <w:rPr>
            <w:noProof/>
            <w:webHidden/>
          </w:rPr>
        </w:r>
        <w:r w:rsidR="00196E59">
          <w:rPr>
            <w:noProof/>
            <w:webHidden/>
          </w:rPr>
          <w:fldChar w:fldCharType="separate"/>
        </w:r>
        <w:r w:rsidR="00196E59">
          <w:rPr>
            <w:noProof/>
            <w:webHidden/>
          </w:rPr>
          <w:t>60</w:t>
        </w:r>
        <w:r w:rsidR="00196E59">
          <w:rPr>
            <w:noProof/>
            <w:webHidden/>
          </w:rPr>
          <w:fldChar w:fldCharType="end"/>
        </w:r>
      </w:hyperlink>
    </w:p>
    <w:p w:rsidR="00196E59" w:rsidRDefault="00AC171A">
      <w:pPr>
        <w:pStyle w:val="22"/>
        <w:ind w:left="420"/>
        <w:rPr>
          <w:rFonts w:asciiTheme="minorHAnsi" w:eastAsiaTheme="minorEastAsia" w:hAnsiTheme="minorHAnsi" w:cstheme="minorBidi"/>
          <w:noProof/>
          <w:kern w:val="2"/>
          <w:szCs w:val="22"/>
        </w:rPr>
      </w:pPr>
      <w:hyperlink w:anchor="_Toc35966341" w:history="1">
        <w:r w:rsidR="00196E59" w:rsidRPr="00AF28F8">
          <w:rPr>
            <w:rStyle w:val="a9"/>
            <w:noProof/>
          </w:rPr>
          <w:t>13.3</w:t>
        </w:r>
        <w:r w:rsidR="00196E59" w:rsidRPr="00AF28F8">
          <w:rPr>
            <w:rStyle w:val="a9"/>
            <w:rFonts w:hint="eastAsia"/>
            <w:noProof/>
          </w:rPr>
          <w:t>查阅方式</w:t>
        </w:r>
        <w:r w:rsidR="00196E59">
          <w:rPr>
            <w:noProof/>
            <w:webHidden/>
          </w:rPr>
          <w:tab/>
        </w:r>
        <w:r w:rsidR="00196E59">
          <w:rPr>
            <w:noProof/>
            <w:webHidden/>
          </w:rPr>
          <w:fldChar w:fldCharType="begin"/>
        </w:r>
        <w:r w:rsidR="00196E59">
          <w:rPr>
            <w:noProof/>
            <w:webHidden/>
          </w:rPr>
          <w:instrText xml:space="preserve"> PAGEREF _Toc35966341 \h </w:instrText>
        </w:r>
        <w:r w:rsidR="00196E59">
          <w:rPr>
            <w:noProof/>
            <w:webHidden/>
          </w:rPr>
        </w:r>
        <w:r w:rsidR="00196E59">
          <w:rPr>
            <w:noProof/>
            <w:webHidden/>
          </w:rPr>
          <w:fldChar w:fldCharType="separate"/>
        </w:r>
        <w:r w:rsidR="00196E59">
          <w:rPr>
            <w:noProof/>
            <w:webHidden/>
          </w:rPr>
          <w:t>60</w:t>
        </w:r>
        <w:r w:rsidR="00196E59">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35966176"/>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35966177"/>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交银施罗德丰晟收益债券型证券投资基金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交银丰晟收益债券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005577</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005577</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契约型，本基金在基金合同生效之日起两年（含两年）的期间内封闭式运作，封闭期结束后转为开放式运作。</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2018</w:t>
            </w:r>
            <w:r w:rsidRPr="00400137">
              <w:rPr>
                <w:sz w:val="24"/>
              </w:rPr>
              <w:t>年</w:t>
            </w:r>
            <w:r w:rsidRPr="00400137">
              <w:rPr>
                <w:sz w:val="24"/>
              </w:rPr>
              <w:t>5</w:t>
            </w:r>
            <w:r w:rsidRPr="00400137">
              <w:rPr>
                <w:sz w:val="24"/>
              </w:rPr>
              <w:t>月</w:t>
            </w:r>
            <w:r w:rsidRPr="00400137">
              <w:rPr>
                <w:sz w:val="24"/>
              </w:rPr>
              <w:t>23</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招商银行股份有限公司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331,589,908.23</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交银丰晟收益债券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交银丰晟收益债券</w:t>
            </w:r>
            <w:r w:rsidRPr="00400137">
              <w:rPr>
                <w:sz w:val="24"/>
              </w:rPr>
              <w:t>C</w:t>
            </w:r>
          </w:p>
        </w:tc>
      </w:tr>
      <w:tr w:rsidR="00404CF4" w:rsidRPr="00D564C7" w:rsidTr="00F8131A">
        <w:tc>
          <w:tcPr>
            <w:tcW w:w="3119" w:type="dxa"/>
            <w:vAlign w:val="center"/>
          </w:tcPr>
          <w:p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959A6">
            <w:pPr>
              <w:adjustRightInd w:val="0"/>
              <w:spacing w:before="29" w:line="288" w:lineRule="auto"/>
              <w:ind w:left="17"/>
              <w:jc w:val="left"/>
              <w:rPr>
                <w:color w:val="000000"/>
                <w:sz w:val="24"/>
              </w:rPr>
            </w:pPr>
          </w:p>
        </w:tc>
        <w:tc>
          <w:tcPr>
            <w:tcW w:w="2880" w:type="dxa"/>
            <w:vAlign w:val="center"/>
          </w:tcPr>
          <w:p w:rsidR="00404CF4" w:rsidRPr="000E4C40" w:rsidRDefault="00404CF4" w:rsidP="00D959A6">
            <w:pPr>
              <w:spacing w:before="29" w:line="288" w:lineRule="auto"/>
              <w:jc w:val="left"/>
              <w:rPr>
                <w:sz w:val="24"/>
              </w:rPr>
            </w:pPr>
            <w:r w:rsidRPr="000E4C40">
              <w:rPr>
                <w:sz w:val="24"/>
              </w:rPr>
              <w:t>005577</w:t>
            </w:r>
          </w:p>
        </w:tc>
        <w:tc>
          <w:tcPr>
            <w:tcW w:w="2999" w:type="dxa"/>
            <w:vAlign w:val="center"/>
          </w:tcPr>
          <w:p w:rsidR="00404CF4" w:rsidRPr="000E4C40" w:rsidRDefault="00404CF4" w:rsidP="00D959A6">
            <w:pPr>
              <w:spacing w:before="29" w:line="288" w:lineRule="auto"/>
              <w:jc w:val="left"/>
              <w:rPr>
                <w:sz w:val="24"/>
              </w:rPr>
            </w:pPr>
            <w:r w:rsidRPr="000E4C40">
              <w:rPr>
                <w:sz w:val="24"/>
              </w:rPr>
              <w:t>005578</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330,813,244.80</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776,663.43</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503FDB" w:rsidRDefault="001A59F9" w:rsidP="00503FDB">
      <w:pPr>
        <w:pStyle w:val="20"/>
        <w:spacing w:before="29" w:after="0" w:line="288" w:lineRule="auto"/>
        <w:rPr>
          <w:rFonts w:ascii="Times New Roman" w:hAnsi="Times New Roman"/>
          <w:kern w:val="0"/>
          <w:szCs w:val="24"/>
        </w:rPr>
      </w:pPr>
      <w:bookmarkStart w:id="14" w:name="_Toc361324846"/>
      <w:bookmarkStart w:id="15" w:name="_Toc35966178"/>
      <w:r w:rsidRPr="00503FDB">
        <w:rPr>
          <w:rFonts w:ascii="Times New Roman" w:hAnsi="Times New Roman"/>
          <w:kern w:val="0"/>
          <w:szCs w:val="24"/>
        </w:rPr>
        <w:t xml:space="preserve">2.2 </w:t>
      </w:r>
      <w:r w:rsidRPr="00503FDB">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在严格控制风险的前提下</w:t>
            </w:r>
            <w:r w:rsidRPr="00400137">
              <w:rPr>
                <w:sz w:val="24"/>
              </w:rPr>
              <w:t>,</w:t>
            </w:r>
            <w:r w:rsidRPr="00400137">
              <w:rPr>
                <w:sz w:val="24"/>
              </w:rPr>
              <w:t>力求获得高于业绩基准的投资收益。</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644057" w:rsidRDefault="00A20092">
            <w:pPr>
              <w:spacing w:before="29" w:line="288" w:lineRule="auto"/>
              <w:rPr>
                <w:sz w:val="24"/>
              </w:rPr>
            </w:pPr>
            <w:r>
              <w:rPr>
                <w:sz w:val="24"/>
              </w:rPr>
              <w:t>封闭期内的投资策略：</w:t>
            </w:r>
          </w:p>
          <w:p w:rsidR="00644057" w:rsidRDefault="00A20092">
            <w:pPr>
              <w:spacing w:before="29" w:line="288" w:lineRule="auto"/>
              <w:rPr>
                <w:sz w:val="24"/>
              </w:rPr>
            </w:pPr>
            <w:r>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w:t>
            </w:r>
            <w:proofErr w:type="gramStart"/>
            <w:r>
              <w:rPr>
                <w:sz w:val="24"/>
              </w:rPr>
              <w:t>考量</w:t>
            </w:r>
            <w:proofErr w:type="gramEnd"/>
            <w:r>
              <w:rPr>
                <w:sz w:val="24"/>
              </w:rPr>
              <w:t>信用债券的信用评级，以及各类债券的流动性、供求关系和收益率水平等，自下而上精选投资标的。</w:t>
            </w:r>
          </w:p>
          <w:p w:rsidR="00644057" w:rsidRDefault="00A20092">
            <w:pPr>
              <w:spacing w:before="29" w:line="288" w:lineRule="auto"/>
              <w:rPr>
                <w:sz w:val="24"/>
              </w:rPr>
            </w:pPr>
            <w:r>
              <w:rPr>
                <w:sz w:val="24"/>
              </w:rPr>
              <w:t>转为开放式运作后的投资策略：</w:t>
            </w:r>
          </w:p>
          <w:p w:rsidR="001A59F9" w:rsidRPr="00400137" w:rsidRDefault="001A59F9" w:rsidP="00400137">
            <w:pPr>
              <w:spacing w:before="29" w:line="288" w:lineRule="auto"/>
              <w:rPr>
                <w:sz w:val="24"/>
              </w:rPr>
            </w:pPr>
            <w:r w:rsidRPr="00400137">
              <w:rPr>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w:t>
            </w:r>
            <w:proofErr w:type="gramStart"/>
            <w:r w:rsidRPr="00400137">
              <w:rPr>
                <w:sz w:val="24"/>
              </w:rPr>
              <w:t>考量</w:t>
            </w:r>
            <w:proofErr w:type="gramEnd"/>
            <w:r w:rsidRPr="00400137">
              <w:rPr>
                <w:sz w:val="24"/>
              </w:rPr>
              <w:t>信用债券的信用评级，以及各类债券的流动性、供求关系和收益率水平等，自下而上精选投资标的。</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w:t>
            </w:r>
            <w:proofErr w:type="gramStart"/>
            <w:r w:rsidRPr="00400137">
              <w:rPr>
                <w:sz w:val="24"/>
              </w:rPr>
              <w:t>债综合全价指数</w:t>
            </w:r>
            <w:proofErr w:type="gramEnd"/>
            <w:r w:rsidRPr="00400137">
              <w:rPr>
                <w:sz w:val="24"/>
              </w:rPr>
              <w:t>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本基金是一只债券型基金，其预期风险与预期收益高于货币市场基金，低于混合型基金和股票型基金。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BF0ABE" w:rsidRDefault="001A59F9" w:rsidP="00BF0ABE">
      <w:pPr>
        <w:pStyle w:val="20"/>
        <w:spacing w:before="29" w:after="0" w:line="288" w:lineRule="auto"/>
        <w:rPr>
          <w:rFonts w:ascii="Times New Roman" w:hAnsi="Times New Roman"/>
          <w:kern w:val="0"/>
          <w:szCs w:val="24"/>
        </w:rPr>
      </w:pPr>
      <w:bookmarkStart w:id="16" w:name="_Toc225498247"/>
      <w:bookmarkStart w:id="17" w:name="_Toc361324847"/>
      <w:bookmarkStart w:id="18" w:name="_Toc35966179"/>
      <w:r w:rsidRPr="00BF0ABE">
        <w:rPr>
          <w:rFonts w:ascii="Times New Roman" w:hAnsi="Times New Roman"/>
          <w:kern w:val="0"/>
          <w:szCs w:val="24"/>
        </w:rPr>
        <w:t xml:space="preserve">2.3 </w:t>
      </w:r>
      <w:r w:rsidRPr="00BF0ABE">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招商银行股份有限公司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张燕</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0755-83199084</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yan_zhang@cmbchina.com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95555</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0755-83195201</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深圳市深南大道</w:t>
            </w:r>
            <w:r w:rsidRPr="00400137">
              <w:rPr>
                <w:color w:val="000000"/>
                <w:kern w:val="0"/>
                <w:sz w:val="24"/>
              </w:rPr>
              <w:t>7088</w:t>
            </w:r>
            <w:r w:rsidRPr="00400137">
              <w:rPr>
                <w:color w:val="000000"/>
                <w:kern w:val="0"/>
                <w:sz w:val="24"/>
              </w:rPr>
              <w:t>号招商银行大厦</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w:t>
            </w:r>
            <w:proofErr w:type="gramStart"/>
            <w:r w:rsidRPr="00400137">
              <w:rPr>
                <w:color w:val="000000"/>
                <w:kern w:val="0"/>
                <w:sz w:val="24"/>
              </w:rPr>
              <w:t>新区世纪</w:t>
            </w:r>
            <w:proofErr w:type="gramEnd"/>
            <w:r w:rsidRPr="00400137">
              <w:rPr>
                <w:color w:val="000000"/>
                <w:kern w:val="0"/>
                <w:sz w:val="24"/>
              </w:rPr>
              <w:t>大道</w:t>
            </w:r>
            <w:r w:rsidRPr="00400137">
              <w:rPr>
                <w:color w:val="000000"/>
                <w:kern w:val="0"/>
                <w:sz w:val="24"/>
              </w:rPr>
              <w:t>8</w:t>
            </w:r>
            <w:r w:rsidRPr="00400137">
              <w:rPr>
                <w:color w:val="000000"/>
                <w:kern w:val="0"/>
                <w:sz w:val="24"/>
              </w:rPr>
              <w:t>号国</w:t>
            </w:r>
            <w:proofErr w:type="gramStart"/>
            <w:r w:rsidRPr="00400137">
              <w:rPr>
                <w:color w:val="000000"/>
                <w:kern w:val="0"/>
                <w:sz w:val="24"/>
              </w:rPr>
              <w:t>金中心</w:t>
            </w:r>
            <w:proofErr w:type="gramEnd"/>
            <w:r w:rsidRPr="00400137">
              <w:rPr>
                <w:color w:val="000000"/>
                <w:kern w:val="0"/>
                <w:sz w:val="24"/>
              </w:rPr>
              <w:t>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深圳市深南大道</w:t>
            </w:r>
            <w:r w:rsidRPr="00400137">
              <w:rPr>
                <w:color w:val="000000"/>
                <w:kern w:val="0"/>
                <w:sz w:val="24"/>
              </w:rPr>
              <w:t>7088</w:t>
            </w:r>
            <w:r w:rsidRPr="00400137">
              <w:rPr>
                <w:color w:val="000000"/>
                <w:kern w:val="0"/>
                <w:sz w:val="24"/>
              </w:rPr>
              <w:t>号招商银行大厦</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518040</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李建红</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BF0ABE" w:rsidRDefault="001A59F9" w:rsidP="00BF0ABE">
      <w:pPr>
        <w:pStyle w:val="20"/>
        <w:spacing w:before="29" w:after="0" w:line="288" w:lineRule="auto"/>
        <w:rPr>
          <w:rFonts w:ascii="Times New Roman" w:hAnsi="Times New Roman"/>
          <w:kern w:val="0"/>
          <w:szCs w:val="24"/>
        </w:rPr>
      </w:pPr>
      <w:bookmarkStart w:id="19" w:name="_Toc225498248"/>
      <w:bookmarkStart w:id="20" w:name="_Toc361324848"/>
      <w:bookmarkStart w:id="21" w:name="_Toc35966180"/>
      <w:r w:rsidRPr="00BF0ABE">
        <w:rPr>
          <w:rFonts w:ascii="Times New Roman" w:hAnsi="Times New Roman"/>
          <w:kern w:val="0"/>
          <w:szCs w:val="24"/>
        </w:rPr>
        <w:t xml:space="preserve">2.4 </w:t>
      </w:r>
      <w:r w:rsidRPr="00BF0ABE">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BF0ABE" w:rsidRDefault="001A59F9" w:rsidP="00BF0ABE">
      <w:pPr>
        <w:pStyle w:val="20"/>
        <w:spacing w:before="29" w:after="0" w:line="288" w:lineRule="auto"/>
        <w:rPr>
          <w:rFonts w:ascii="Times New Roman" w:hAnsi="Times New Roman"/>
          <w:kern w:val="0"/>
          <w:szCs w:val="24"/>
        </w:rPr>
      </w:pPr>
      <w:bookmarkStart w:id="22" w:name="_Toc225498249"/>
      <w:bookmarkStart w:id="23" w:name="_Toc361324849"/>
      <w:bookmarkStart w:id="24" w:name="_Toc35966181"/>
      <w:r w:rsidRPr="00BF0ABE">
        <w:rPr>
          <w:rFonts w:ascii="Times New Roman" w:hAnsi="Times New Roman"/>
          <w:kern w:val="0"/>
          <w:szCs w:val="24"/>
        </w:rPr>
        <w:t xml:space="preserve">2.5 </w:t>
      </w:r>
      <w:r w:rsidRPr="00BF0ABE">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35966182"/>
      <w:bookmarkStart w:id="28" w:name="_Toc194312019"/>
      <w:bookmarkStart w:id="29"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7"/>
    </w:p>
    <w:p w:rsidR="00DB6EA0" w:rsidRPr="00DB6EA0" w:rsidRDefault="00DB6EA0" w:rsidP="00DB6EA0"/>
    <w:p w:rsidR="001A59F9" w:rsidRPr="00BF0ABE" w:rsidRDefault="001A59F9" w:rsidP="00BF0ABE">
      <w:pPr>
        <w:pStyle w:val="20"/>
        <w:spacing w:before="29" w:after="0" w:line="288" w:lineRule="auto"/>
        <w:rPr>
          <w:rFonts w:ascii="Times New Roman" w:hAnsi="Times New Roman"/>
          <w:kern w:val="0"/>
          <w:szCs w:val="24"/>
        </w:rPr>
      </w:pPr>
      <w:bookmarkStart w:id="30" w:name="_Toc286996129"/>
      <w:bookmarkStart w:id="31" w:name="_Toc361324851"/>
      <w:bookmarkStart w:id="32" w:name="_Toc35966183"/>
      <w:r w:rsidRPr="00BF0ABE">
        <w:rPr>
          <w:rFonts w:ascii="Times New Roman" w:hAnsi="Times New Roman"/>
          <w:kern w:val="0"/>
          <w:szCs w:val="24"/>
        </w:rPr>
        <w:t xml:space="preserve">3.1 </w:t>
      </w:r>
      <w:r w:rsidRPr="00BF0ABE">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0"/>
        <w:gridCol w:w="1785"/>
        <w:gridCol w:w="1785"/>
        <w:gridCol w:w="1788"/>
        <w:gridCol w:w="1788"/>
      </w:tblGrid>
      <w:tr w:rsidR="00DD677A" w:rsidRPr="005C7DCF" w:rsidTr="00DD677A">
        <w:trPr>
          <w:trHeight w:val="487"/>
        </w:trPr>
        <w:tc>
          <w:tcPr>
            <w:tcW w:w="823" w:type="pct"/>
            <w:vMerge w:val="restart"/>
            <w:vAlign w:val="center"/>
          </w:tcPr>
          <w:bookmarkEnd w:id="28"/>
          <w:bookmarkEnd w:id="29"/>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r w:rsidRPr="005C7DCF">
              <w:rPr>
                <w:b/>
                <w:szCs w:val="21"/>
              </w:rPr>
              <w:t>5</w:t>
            </w:r>
            <w:r w:rsidRPr="005C7DCF">
              <w:rPr>
                <w:b/>
                <w:szCs w:val="21"/>
              </w:rPr>
              <w:t>月</w:t>
            </w:r>
            <w:r w:rsidRPr="005C7DCF">
              <w:rPr>
                <w:b/>
                <w:szCs w:val="21"/>
              </w:rPr>
              <w:t>23</w:t>
            </w:r>
            <w:r w:rsidRPr="005C7DCF">
              <w:rPr>
                <w:b/>
                <w:szCs w:val="21"/>
              </w:rPr>
              <w:t>日（基金合同生效日）至</w:t>
            </w:r>
            <w:r w:rsidRPr="005C7DCF">
              <w:rPr>
                <w:b/>
                <w:szCs w:val="21"/>
              </w:rPr>
              <w:t>2018</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DD677A" w:rsidRPr="005C7DCF" w:rsidTr="00DD677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交银丰晟收益债券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交银丰晟收益债券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交银丰晟收益债券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交银丰晟收益债券</w:t>
            </w:r>
            <w:r w:rsidRPr="005C7DCF">
              <w:rPr>
                <w:szCs w:val="21"/>
              </w:rPr>
              <w:t>C</w:t>
            </w:r>
          </w:p>
        </w:tc>
      </w:tr>
      <w:tr w:rsidR="00DD677A" w:rsidRPr="005C7DCF" w:rsidTr="00DD677A">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19,539,713.70</w:t>
            </w:r>
          </w:p>
        </w:tc>
        <w:tc>
          <w:tcPr>
            <w:tcW w:w="686" w:type="pct"/>
            <w:vAlign w:val="center"/>
          </w:tcPr>
          <w:p w:rsidR="001A59F9" w:rsidRPr="005C7DCF" w:rsidRDefault="001A59F9" w:rsidP="00704789">
            <w:pPr>
              <w:spacing w:before="29" w:line="288" w:lineRule="auto"/>
              <w:jc w:val="right"/>
              <w:rPr>
                <w:szCs w:val="21"/>
              </w:rPr>
            </w:pPr>
            <w:r w:rsidRPr="005C7DCF">
              <w:rPr>
                <w:szCs w:val="21"/>
              </w:rPr>
              <w:t>40,755.69</w:t>
            </w:r>
          </w:p>
        </w:tc>
        <w:tc>
          <w:tcPr>
            <w:tcW w:w="687" w:type="pct"/>
            <w:vAlign w:val="center"/>
          </w:tcPr>
          <w:p w:rsidR="001A59F9" w:rsidRPr="005C7DCF" w:rsidRDefault="00AB54C1" w:rsidP="00704789">
            <w:pPr>
              <w:spacing w:before="29" w:line="288" w:lineRule="auto"/>
              <w:jc w:val="right"/>
              <w:rPr>
                <w:szCs w:val="21"/>
              </w:rPr>
            </w:pPr>
            <w:r w:rsidRPr="005C7DCF">
              <w:rPr>
                <w:szCs w:val="21"/>
              </w:rPr>
              <w:t>12,167,959.63</w:t>
            </w:r>
          </w:p>
        </w:tc>
        <w:tc>
          <w:tcPr>
            <w:tcW w:w="687" w:type="pct"/>
            <w:vAlign w:val="center"/>
          </w:tcPr>
          <w:p w:rsidR="001A59F9" w:rsidRPr="005C7DCF" w:rsidRDefault="00AB54C1" w:rsidP="00704789">
            <w:pPr>
              <w:spacing w:before="29" w:line="288" w:lineRule="auto"/>
              <w:jc w:val="right"/>
              <w:rPr>
                <w:szCs w:val="21"/>
              </w:rPr>
            </w:pPr>
            <w:r w:rsidRPr="005C7DCF">
              <w:rPr>
                <w:szCs w:val="21"/>
              </w:rPr>
              <w:t>25,589.73</w:t>
            </w:r>
          </w:p>
        </w:tc>
      </w:tr>
      <w:tr w:rsidR="00DD677A" w:rsidRPr="005C7DCF" w:rsidTr="00DD677A">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18,891,751.24</w:t>
            </w:r>
          </w:p>
        </w:tc>
        <w:tc>
          <w:tcPr>
            <w:tcW w:w="686" w:type="pct"/>
            <w:vAlign w:val="center"/>
          </w:tcPr>
          <w:p w:rsidR="001A59F9" w:rsidRPr="005C7DCF" w:rsidRDefault="001A59F9" w:rsidP="00704789">
            <w:pPr>
              <w:spacing w:before="29" w:line="288" w:lineRule="auto"/>
              <w:jc w:val="right"/>
              <w:rPr>
                <w:szCs w:val="21"/>
              </w:rPr>
            </w:pPr>
            <w:r w:rsidRPr="005C7DCF">
              <w:rPr>
                <w:szCs w:val="21"/>
              </w:rPr>
              <w:t>39,238.18</w:t>
            </w:r>
          </w:p>
        </w:tc>
        <w:tc>
          <w:tcPr>
            <w:tcW w:w="687" w:type="pct"/>
            <w:vAlign w:val="center"/>
          </w:tcPr>
          <w:p w:rsidR="001A59F9" w:rsidRPr="005C7DCF" w:rsidRDefault="00AB54C1" w:rsidP="00704789">
            <w:pPr>
              <w:spacing w:before="29" w:line="288" w:lineRule="auto"/>
              <w:jc w:val="right"/>
              <w:rPr>
                <w:szCs w:val="21"/>
              </w:rPr>
            </w:pPr>
            <w:r w:rsidRPr="005C7DCF">
              <w:rPr>
                <w:szCs w:val="21"/>
              </w:rPr>
              <w:t>22,466,992.46</w:t>
            </w:r>
          </w:p>
        </w:tc>
        <w:tc>
          <w:tcPr>
            <w:tcW w:w="687" w:type="pct"/>
            <w:vAlign w:val="center"/>
          </w:tcPr>
          <w:p w:rsidR="001A59F9" w:rsidRPr="005C7DCF" w:rsidRDefault="00AB54C1" w:rsidP="00704789">
            <w:pPr>
              <w:spacing w:before="29" w:line="288" w:lineRule="auto"/>
              <w:jc w:val="right"/>
              <w:rPr>
                <w:szCs w:val="21"/>
              </w:rPr>
            </w:pPr>
            <w:r w:rsidRPr="005C7DCF">
              <w:rPr>
                <w:szCs w:val="21"/>
              </w:rPr>
              <w:t>49,726.27</w:t>
            </w:r>
          </w:p>
        </w:tc>
      </w:tr>
      <w:tr w:rsidR="00DD677A" w:rsidRPr="003B54DF" w:rsidTr="00DD677A">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0.0571</w:t>
            </w:r>
          </w:p>
        </w:tc>
        <w:tc>
          <w:tcPr>
            <w:tcW w:w="686" w:type="pct"/>
            <w:vAlign w:val="center"/>
          </w:tcPr>
          <w:p w:rsidR="001A59F9" w:rsidRPr="005C7DCF" w:rsidRDefault="001A59F9" w:rsidP="00704789">
            <w:pPr>
              <w:spacing w:before="29" w:line="288" w:lineRule="auto"/>
              <w:jc w:val="right"/>
              <w:rPr>
                <w:szCs w:val="21"/>
              </w:rPr>
            </w:pPr>
            <w:r w:rsidRPr="005C7DCF">
              <w:rPr>
                <w:szCs w:val="21"/>
              </w:rPr>
              <w:t>0.0505</w:t>
            </w:r>
          </w:p>
        </w:tc>
        <w:tc>
          <w:tcPr>
            <w:tcW w:w="687" w:type="pct"/>
            <w:vAlign w:val="center"/>
          </w:tcPr>
          <w:p w:rsidR="001A59F9" w:rsidRPr="005C7DCF" w:rsidRDefault="00AB54C1" w:rsidP="00704789">
            <w:pPr>
              <w:spacing w:before="29" w:line="288" w:lineRule="auto"/>
              <w:jc w:val="right"/>
              <w:rPr>
                <w:szCs w:val="21"/>
              </w:rPr>
            </w:pPr>
            <w:r w:rsidRPr="005C7DCF">
              <w:rPr>
                <w:szCs w:val="21"/>
              </w:rPr>
              <w:t>0.0679</w:t>
            </w:r>
          </w:p>
        </w:tc>
        <w:tc>
          <w:tcPr>
            <w:tcW w:w="687" w:type="pct"/>
            <w:vAlign w:val="center"/>
          </w:tcPr>
          <w:p w:rsidR="001A59F9" w:rsidRPr="005C7DCF" w:rsidRDefault="00AB54C1" w:rsidP="00704789">
            <w:pPr>
              <w:spacing w:before="29" w:line="288" w:lineRule="auto"/>
              <w:jc w:val="right"/>
              <w:rPr>
                <w:szCs w:val="21"/>
              </w:rPr>
            </w:pPr>
            <w:r w:rsidRPr="005C7DCF">
              <w:rPr>
                <w:szCs w:val="21"/>
              </w:rPr>
              <w:t>0.0640</w:t>
            </w:r>
          </w:p>
        </w:tc>
      </w:tr>
      <w:tr w:rsidR="00DD677A" w:rsidRPr="003B54DF" w:rsidTr="00DD677A">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5.33%</w:t>
            </w:r>
          </w:p>
        </w:tc>
        <w:tc>
          <w:tcPr>
            <w:tcW w:w="686" w:type="pct"/>
            <w:vAlign w:val="center"/>
          </w:tcPr>
          <w:p w:rsidR="001A59F9" w:rsidRPr="005C7DCF" w:rsidRDefault="001A59F9" w:rsidP="00704789">
            <w:pPr>
              <w:spacing w:before="29" w:line="288" w:lineRule="auto"/>
              <w:jc w:val="right"/>
              <w:rPr>
                <w:szCs w:val="21"/>
              </w:rPr>
            </w:pPr>
            <w:r w:rsidRPr="005C7DCF">
              <w:rPr>
                <w:szCs w:val="21"/>
              </w:rPr>
              <w:t>4.73%</w:t>
            </w:r>
          </w:p>
        </w:tc>
        <w:tc>
          <w:tcPr>
            <w:tcW w:w="687" w:type="pct"/>
            <w:vAlign w:val="center"/>
          </w:tcPr>
          <w:p w:rsidR="001A59F9" w:rsidRPr="005C7DCF" w:rsidRDefault="00AB54C1" w:rsidP="00704789">
            <w:pPr>
              <w:spacing w:before="29" w:line="288" w:lineRule="auto"/>
              <w:jc w:val="right"/>
              <w:rPr>
                <w:szCs w:val="21"/>
              </w:rPr>
            </w:pPr>
            <w:r w:rsidRPr="005C7DCF">
              <w:rPr>
                <w:szCs w:val="21"/>
              </w:rPr>
              <w:t>6.57%</w:t>
            </w:r>
          </w:p>
        </w:tc>
        <w:tc>
          <w:tcPr>
            <w:tcW w:w="687" w:type="pct"/>
            <w:vAlign w:val="center"/>
          </w:tcPr>
          <w:p w:rsidR="001A59F9" w:rsidRPr="005C7DCF" w:rsidRDefault="00AB54C1" w:rsidP="00704789">
            <w:pPr>
              <w:spacing w:before="29" w:line="288" w:lineRule="auto"/>
              <w:jc w:val="right"/>
              <w:rPr>
                <w:szCs w:val="21"/>
              </w:rPr>
            </w:pPr>
            <w:r w:rsidRPr="005C7DCF">
              <w:rPr>
                <w:szCs w:val="21"/>
              </w:rPr>
              <w:t>6.20%</w:t>
            </w:r>
          </w:p>
        </w:tc>
      </w:tr>
      <w:tr w:rsidR="00DD677A" w:rsidRPr="003B54DF" w:rsidTr="00DD677A">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5.48%</w:t>
            </w:r>
          </w:p>
        </w:tc>
        <w:tc>
          <w:tcPr>
            <w:tcW w:w="686" w:type="pct"/>
            <w:vAlign w:val="center"/>
          </w:tcPr>
          <w:p w:rsidR="001A59F9" w:rsidRPr="005C7DCF" w:rsidRDefault="001A59F9" w:rsidP="00704789">
            <w:pPr>
              <w:spacing w:before="29" w:line="288" w:lineRule="auto"/>
              <w:jc w:val="right"/>
              <w:rPr>
                <w:szCs w:val="21"/>
              </w:rPr>
            </w:pPr>
            <w:r w:rsidRPr="005C7DCF">
              <w:rPr>
                <w:szCs w:val="21"/>
              </w:rPr>
              <w:t>4.84%</w:t>
            </w:r>
          </w:p>
        </w:tc>
        <w:tc>
          <w:tcPr>
            <w:tcW w:w="687" w:type="pct"/>
            <w:vAlign w:val="center"/>
          </w:tcPr>
          <w:p w:rsidR="001A59F9" w:rsidRPr="005C7DCF" w:rsidRDefault="00AB54C1" w:rsidP="00704789">
            <w:pPr>
              <w:spacing w:before="29" w:line="288" w:lineRule="auto"/>
              <w:jc w:val="right"/>
              <w:rPr>
                <w:szCs w:val="21"/>
              </w:rPr>
            </w:pPr>
            <w:r w:rsidRPr="005C7DCF">
              <w:rPr>
                <w:szCs w:val="21"/>
              </w:rPr>
              <w:t>6.79%</w:t>
            </w:r>
          </w:p>
        </w:tc>
        <w:tc>
          <w:tcPr>
            <w:tcW w:w="687" w:type="pct"/>
            <w:vAlign w:val="center"/>
          </w:tcPr>
          <w:p w:rsidR="001A59F9" w:rsidRPr="005C7DCF" w:rsidRDefault="00AB54C1" w:rsidP="00704789">
            <w:pPr>
              <w:spacing w:before="29" w:line="288" w:lineRule="auto"/>
              <w:jc w:val="right"/>
              <w:rPr>
                <w:szCs w:val="21"/>
              </w:rPr>
            </w:pPr>
            <w:r w:rsidRPr="005C7DCF">
              <w:rPr>
                <w:szCs w:val="21"/>
              </w:rPr>
              <w:t>6.40%</w:t>
            </w:r>
          </w:p>
        </w:tc>
      </w:tr>
      <w:tr w:rsidR="00DD677A" w:rsidRPr="00D564C7" w:rsidTr="00DD677A">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DD677A" w:rsidRPr="00D564C7" w:rsidTr="00DD677A">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交银丰晟收益债券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交银丰晟收益债券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交银丰晟收益债券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交银丰晟收益债券</w:t>
            </w:r>
            <w:r w:rsidRPr="005C7DCF">
              <w:rPr>
                <w:szCs w:val="21"/>
              </w:rPr>
              <w:t>C</w:t>
            </w:r>
          </w:p>
        </w:tc>
      </w:tr>
      <w:tr w:rsidR="00DD677A" w:rsidRPr="00D564C7" w:rsidTr="00DD677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20,460,022.39</w:t>
            </w:r>
          </w:p>
        </w:tc>
        <w:tc>
          <w:tcPr>
            <w:tcW w:w="687" w:type="pct"/>
            <w:vAlign w:val="center"/>
          </w:tcPr>
          <w:p w:rsidR="001A59F9" w:rsidRPr="005C7DCF" w:rsidRDefault="001A59F9" w:rsidP="0078762A">
            <w:pPr>
              <w:spacing w:before="29" w:line="288" w:lineRule="auto"/>
              <w:jc w:val="right"/>
              <w:rPr>
                <w:szCs w:val="21"/>
              </w:rPr>
            </w:pPr>
            <w:r w:rsidRPr="005C7DCF">
              <w:rPr>
                <w:szCs w:val="21"/>
              </w:rPr>
              <w:t>43,045.50</w:t>
            </w:r>
          </w:p>
        </w:tc>
        <w:tc>
          <w:tcPr>
            <w:tcW w:w="688" w:type="pct"/>
            <w:vAlign w:val="center"/>
          </w:tcPr>
          <w:p w:rsidR="001A59F9" w:rsidRPr="005C7DCF" w:rsidRDefault="00AB54C1" w:rsidP="0078762A">
            <w:pPr>
              <w:spacing w:before="29" w:line="288" w:lineRule="auto"/>
              <w:jc w:val="right"/>
              <w:rPr>
                <w:szCs w:val="21"/>
              </w:rPr>
            </w:pPr>
            <w:r w:rsidRPr="005C7DCF">
              <w:rPr>
                <w:szCs w:val="21"/>
              </w:rPr>
              <w:t>12,167,959.63</w:t>
            </w:r>
          </w:p>
        </w:tc>
        <w:tc>
          <w:tcPr>
            <w:tcW w:w="688" w:type="pct"/>
            <w:vAlign w:val="center"/>
          </w:tcPr>
          <w:p w:rsidR="001A59F9" w:rsidRPr="005C7DCF" w:rsidRDefault="00AB54C1" w:rsidP="0078762A">
            <w:pPr>
              <w:spacing w:before="29" w:line="288" w:lineRule="auto"/>
              <w:jc w:val="right"/>
              <w:rPr>
                <w:szCs w:val="21"/>
              </w:rPr>
            </w:pPr>
            <w:r w:rsidRPr="005C7DCF">
              <w:rPr>
                <w:szCs w:val="21"/>
              </w:rPr>
              <w:t>25,589.73</w:t>
            </w:r>
          </w:p>
        </w:tc>
      </w:tr>
      <w:tr w:rsidR="00DD677A" w:rsidRPr="00D564C7" w:rsidTr="00DD677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0.0618</w:t>
            </w:r>
          </w:p>
        </w:tc>
        <w:tc>
          <w:tcPr>
            <w:tcW w:w="687" w:type="pct"/>
            <w:vAlign w:val="center"/>
          </w:tcPr>
          <w:p w:rsidR="001A59F9" w:rsidRPr="005C7DCF" w:rsidRDefault="001A59F9" w:rsidP="0078762A">
            <w:pPr>
              <w:spacing w:before="29" w:line="288" w:lineRule="auto"/>
              <w:jc w:val="right"/>
              <w:rPr>
                <w:szCs w:val="21"/>
              </w:rPr>
            </w:pPr>
            <w:r w:rsidRPr="005C7DCF">
              <w:rPr>
                <w:szCs w:val="21"/>
              </w:rPr>
              <w:t>0.0554</w:t>
            </w:r>
          </w:p>
        </w:tc>
        <w:tc>
          <w:tcPr>
            <w:tcW w:w="688" w:type="pct"/>
            <w:vAlign w:val="center"/>
          </w:tcPr>
          <w:p w:rsidR="001A59F9" w:rsidRPr="005C7DCF" w:rsidRDefault="00AB54C1" w:rsidP="0078762A">
            <w:pPr>
              <w:spacing w:before="29" w:line="288" w:lineRule="auto"/>
              <w:jc w:val="right"/>
              <w:rPr>
                <w:szCs w:val="21"/>
              </w:rPr>
            </w:pPr>
            <w:r w:rsidRPr="005C7DCF">
              <w:rPr>
                <w:szCs w:val="21"/>
              </w:rPr>
              <w:t>0.0368</w:t>
            </w:r>
          </w:p>
        </w:tc>
        <w:tc>
          <w:tcPr>
            <w:tcW w:w="688" w:type="pct"/>
            <w:vAlign w:val="center"/>
          </w:tcPr>
          <w:p w:rsidR="001A59F9" w:rsidRPr="005C7DCF" w:rsidRDefault="00AB54C1" w:rsidP="0078762A">
            <w:pPr>
              <w:spacing w:before="29" w:line="288" w:lineRule="auto"/>
              <w:jc w:val="right"/>
              <w:rPr>
                <w:szCs w:val="21"/>
              </w:rPr>
            </w:pPr>
            <w:r w:rsidRPr="005C7DCF">
              <w:rPr>
                <w:szCs w:val="21"/>
              </w:rPr>
              <w:t>0.0329</w:t>
            </w:r>
          </w:p>
        </w:tc>
      </w:tr>
      <w:tr w:rsidR="00DD677A" w:rsidRPr="00D564C7" w:rsidTr="00DD677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360,924,337.56</w:t>
            </w:r>
          </w:p>
        </w:tc>
        <w:tc>
          <w:tcPr>
            <w:tcW w:w="687" w:type="pct"/>
            <w:vAlign w:val="center"/>
          </w:tcPr>
          <w:p w:rsidR="001A59F9" w:rsidRPr="005C7DCF" w:rsidRDefault="001A59F9" w:rsidP="0078762A">
            <w:pPr>
              <w:spacing w:before="29" w:line="288" w:lineRule="auto"/>
              <w:jc w:val="right"/>
              <w:rPr>
                <w:szCs w:val="21"/>
              </w:rPr>
            </w:pPr>
            <w:r w:rsidRPr="005C7DCF">
              <w:rPr>
                <w:szCs w:val="21"/>
              </w:rPr>
              <w:t>842,327.96</w:t>
            </w:r>
          </w:p>
        </w:tc>
        <w:tc>
          <w:tcPr>
            <w:tcW w:w="688" w:type="pct"/>
            <w:vAlign w:val="center"/>
          </w:tcPr>
          <w:p w:rsidR="001A59F9" w:rsidRPr="005C7DCF" w:rsidRDefault="00AB54C1" w:rsidP="0078762A">
            <w:pPr>
              <w:spacing w:before="29" w:line="288" w:lineRule="auto"/>
              <w:jc w:val="right"/>
              <w:rPr>
                <w:szCs w:val="21"/>
              </w:rPr>
            </w:pPr>
            <w:r w:rsidRPr="005C7DCF">
              <w:rPr>
                <w:szCs w:val="21"/>
              </w:rPr>
              <w:t>353,280,237.26</w:t>
            </w:r>
          </w:p>
        </w:tc>
        <w:tc>
          <w:tcPr>
            <w:tcW w:w="688" w:type="pct"/>
            <w:vAlign w:val="center"/>
          </w:tcPr>
          <w:p w:rsidR="001A59F9" w:rsidRPr="005C7DCF" w:rsidRDefault="00AB54C1" w:rsidP="0078762A">
            <w:pPr>
              <w:spacing w:before="29" w:line="288" w:lineRule="auto"/>
              <w:jc w:val="right"/>
              <w:rPr>
                <w:szCs w:val="21"/>
              </w:rPr>
            </w:pPr>
            <w:r w:rsidRPr="005C7DCF">
              <w:rPr>
                <w:szCs w:val="21"/>
              </w:rPr>
              <w:t>826,389.70</w:t>
            </w:r>
          </w:p>
        </w:tc>
      </w:tr>
      <w:tr w:rsidR="00DD677A" w:rsidRPr="00D564C7" w:rsidTr="00DD677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1.0910</w:t>
            </w:r>
          </w:p>
        </w:tc>
        <w:tc>
          <w:tcPr>
            <w:tcW w:w="687" w:type="pct"/>
            <w:vAlign w:val="center"/>
          </w:tcPr>
          <w:p w:rsidR="001A59F9" w:rsidRPr="005C7DCF" w:rsidRDefault="001A59F9" w:rsidP="0078762A">
            <w:pPr>
              <w:spacing w:before="29" w:line="288" w:lineRule="auto"/>
              <w:jc w:val="right"/>
              <w:rPr>
                <w:szCs w:val="21"/>
              </w:rPr>
            </w:pPr>
            <w:r w:rsidRPr="005C7DCF">
              <w:rPr>
                <w:szCs w:val="21"/>
              </w:rPr>
              <w:t>1.0845</w:t>
            </w:r>
          </w:p>
        </w:tc>
        <w:tc>
          <w:tcPr>
            <w:tcW w:w="688" w:type="pct"/>
            <w:vAlign w:val="center"/>
          </w:tcPr>
          <w:p w:rsidR="001A59F9" w:rsidRPr="005C7DCF" w:rsidRDefault="00AB54C1" w:rsidP="0078762A">
            <w:pPr>
              <w:spacing w:before="29" w:line="288" w:lineRule="auto"/>
              <w:jc w:val="right"/>
              <w:rPr>
                <w:szCs w:val="21"/>
              </w:rPr>
            </w:pPr>
            <w:r w:rsidRPr="005C7DCF">
              <w:rPr>
                <w:szCs w:val="21"/>
              </w:rPr>
              <w:t>1.0679</w:t>
            </w:r>
          </w:p>
        </w:tc>
        <w:tc>
          <w:tcPr>
            <w:tcW w:w="688" w:type="pct"/>
            <w:vAlign w:val="center"/>
          </w:tcPr>
          <w:p w:rsidR="001A59F9" w:rsidRPr="005C7DCF" w:rsidRDefault="00AB54C1" w:rsidP="0078762A">
            <w:pPr>
              <w:spacing w:before="29" w:line="288" w:lineRule="auto"/>
              <w:jc w:val="right"/>
              <w:rPr>
                <w:szCs w:val="21"/>
              </w:rPr>
            </w:pPr>
            <w:r w:rsidRPr="005C7DCF">
              <w:rPr>
                <w:szCs w:val="21"/>
              </w:rPr>
              <w:t>1.0640</w:t>
            </w:r>
          </w:p>
        </w:tc>
      </w:tr>
      <w:tr w:rsidR="00DD677A" w:rsidRPr="00D564C7" w:rsidTr="00DD677A">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DD677A" w:rsidRPr="00D564C7" w:rsidTr="00DD677A">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交银丰晟收益债券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交银丰晟收益债券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交银丰晟收益债券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交银丰晟收益债券</w:t>
            </w:r>
            <w:r w:rsidRPr="005C7DCF">
              <w:rPr>
                <w:szCs w:val="21"/>
              </w:rPr>
              <w:t>C</w:t>
            </w:r>
          </w:p>
        </w:tc>
      </w:tr>
      <w:tr w:rsidR="00DD677A" w:rsidRPr="00D564C7" w:rsidTr="00DD677A">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12.64%</w:t>
            </w:r>
          </w:p>
        </w:tc>
        <w:tc>
          <w:tcPr>
            <w:tcW w:w="687" w:type="pct"/>
            <w:vAlign w:val="center"/>
          </w:tcPr>
          <w:p w:rsidR="001A59F9" w:rsidRPr="005C7DCF" w:rsidRDefault="001A59F9" w:rsidP="00704789">
            <w:pPr>
              <w:spacing w:before="29" w:line="288" w:lineRule="auto"/>
              <w:jc w:val="right"/>
              <w:rPr>
                <w:szCs w:val="21"/>
              </w:rPr>
            </w:pPr>
            <w:r w:rsidRPr="005C7DCF">
              <w:rPr>
                <w:szCs w:val="21"/>
              </w:rPr>
              <w:t>11.55%</w:t>
            </w:r>
          </w:p>
        </w:tc>
        <w:tc>
          <w:tcPr>
            <w:tcW w:w="687" w:type="pct"/>
            <w:vAlign w:val="center"/>
          </w:tcPr>
          <w:p w:rsidR="001A59F9" w:rsidRPr="005C7DCF" w:rsidRDefault="00AB54C1" w:rsidP="00704789">
            <w:pPr>
              <w:spacing w:before="29" w:line="288" w:lineRule="auto"/>
              <w:jc w:val="right"/>
              <w:rPr>
                <w:szCs w:val="21"/>
              </w:rPr>
            </w:pPr>
            <w:r w:rsidRPr="005C7DCF">
              <w:rPr>
                <w:szCs w:val="21"/>
              </w:rPr>
              <w:t>6.79%</w:t>
            </w:r>
          </w:p>
        </w:tc>
        <w:tc>
          <w:tcPr>
            <w:tcW w:w="688" w:type="pct"/>
            <w:vAlign w:val="center"/>
          </w:tcPr>
          <w:p w:rsidR="001A59F9" w:rsidRPr="005C7DCF" w:rsidRDefault="00AB54C1" w:rsidP="00704789">
            <w:pPr>
              <w:spacing w:before="29" w:line="288" w:lineRule="auto"/>
              <w:jc w:val="right"/>
              <w:rPr>
                <w:szCs w:val="21"/>
              </w:rPr>
            </w:pPr>
            <w:r w:rsidRPr="005C7DCF">
              <w:rPr>
                <w:szCs w:val="21"/>
              </w:rPr>
              <w:t>6.40%</w:t>
            </w:r>
          </w:p>
        </w:tc>
      </w:tr>
    </w:tbl>
    <w:p w:rsidR="00644057" w:rsidRDefault="00A20092">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proofErr w:type="gramStart"/>
      <w:r>
        <w:rPr>
          <w:kern w:val="0"/>
          <w:sz w:val="24"/>
        </w:rPr>
        <w:t>类业绩</w:t>
      </w:r>
      <w:proofErr w:type="gramEnd"/>
      <w:r>
        <w:rPr>
          <w:kern w:val="0"/>
          <w:sz w:val="24"/>
        </w:rPr>
        <w:t>指标不包括持有人认购或交易基金的各项费用，计入费用后的实际收益水平要低于所列数字。</w:t>
      </w:r>
      <w:r>
        <w:rPr>
          <w:kern w:val="0"/>
          <w:sz w:val="24"/>
        </w:rPr>
        <w:t xml:space="preserve"> </w:t>
      </w:r>
      <w:r>
        <w:rPr>
          <w:kern w:val="0"/>
          <w:sz w:val="24"/>
        </w:rPr>
        <w:t xml:space="preserve">　</w:t>
      </w:r>
    </w:p>
    <w:p w:rsidR="00644057" w:rsidRDefault="00A20092" w:rsidP="00DB6836">
      <w:pPr>
        <w:tabs>
          <w:tab w:val="left" w:pos="426"/>
        </w:tabs>
        <w:spacing w:before="29" w:line="288" w:lineRule="auto"/>
        <w:ind w:firstLineChars="200" w:firstLine="480"/>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BF0ABE" w:rsidRDefault="001A59F9" w:rsidP="00BF0ABE">
      <w:pPr>
        <w:pStyle w:val="20"/>
        <w:spacing w:before="29" w:after="0" w:line="288" w:lineRule="auto"/>
        <w:rPr>
          <w:rFonts w:ascii="Times New Roman" w:hAnsi="Times New Roman"/>
          <w:kern w:val="0"/>
          <w:szCs w:val="24"/>
        </w:rPr>
      </w:pPr>
      <w:bookmarkStart w:id="33" w:name="_Toc225498252"/>
      <w:bookmarkStart w:id="34" w:name="_Toc361324852"/>
      <w:bookmarkStart w:id="35" w:name="_Toc35966184"/>
      <w:r w:rsidRPr="00BF0ABE">
        <w:rPr>
          <w:rFonts w:ascii="Times New Roman" w:hAnsi="Times New Roman"/>
          <w:kern w:val="0"/>
          <w:szCs w:val="24"/>
        </w:rPr>
        <w:t xml:space="preserve">3.2 </w:t>
      </w:r>
      <w:r w:rsidRPr="00BF0ABE">
        <w:rPr>
          <w:rFonts w:ascii="Times New Roman" w:hAnsi="Times New Roman" w:hint="eastAsia"/>
          <w:kern w:val="0"/>
          <w:szCs w:val="24"/>
        </w:rPr>
        <w:t>基金净值表现</w:t>
      </w:r>
      <w:bookmarkEnd w:id="33"/>
      <w:bookmarkEnd w:id="34"/>
      <w:bookmarkEnd w:id="35"/>
    </w:p>
    <w:p w:rsidR="001A59F9" w:rsidRPr="00BF0ABE" w:rsidRDefault="001A59F9" w:rsidP="00BF0ABE">
      <w:pPr>
        <w:pStyle w:val="20"/>
        <w:spacing w:before="29" w:after="0" w:line="288" w:lineRule="auto"/>
        <w:rPr>
          <w:rFonts w:ascii="Times New Roman" w:hAnsi="Times New Roman"/>
          <w:kern w:val="0"/>
          <w:szCs w:val="24"/>
        </w:rPr>
      </w:pPr>
      <w:bookmarkStart w:id="36" w:name="_Toc35966185"/>
      <w:r w:rsidRPr="00BF0ABE">
        <w:rPr>
          <w:rFonts w:ascii="Times New Roman" w:hAnsi="Times New Roman"/>
          <w:kern w:val="0"/>
          <w:szCs w:val="24"/>
        </w:rPr>
        <w:t xml:space="preserve">3.2.1 </w:t>
      </w:r>
      <w:r w:rsidRPr="00BF0ABE">
        <w:rPr>
          <w:rFonts w:ascii="Times New Roman" w:hAnsi="Times New Roman" w:hint="eastAsia"/>
          <w:kern w:val="0"/>
          <w:szCs w:val="24"/>
        </w:rPr>
        <w:t>基金份额净值增长率及其与同期业绩比较基准收益率的比较</w:t>
      </w:r>
      <w:bookmarkEnd w:id="36"/>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交银丰晟收益债券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644057">
        <w:tc>
          <w:tcPr>
            <w:tcW w:w="1286" w:type="dxa"/>
            <w:vAlign w:val="center"/>
          </w:tcPr>
          <w:p w:rsidR="00644057" w:rsidRDefault="00A20092">
            <w:pPr>
              <w:jc w:val="left"/>
            </w:pPr>
            <w:r>
              <w:rPr>
                <w:color w:val="000000"/>
                <w:sz w:val="24"/>
              </w:rPr>
              <w:t>过去三个月</w:t>
            </w:r>
          </w:p>
        </w:tc>
        <w:tc>
          <w:tcPr>
            <w:tcW w:w="1286" w:type="dxa"/>
            <w:vAlign w:val="center"/>
          </w:tcPr>
          <w:p w:rsidR="00644057" w:rsidRDefault="00A20092">
            <w:pPr>
              <w:jc w:val="center"/>
            </w:pPr>
            <w:r>
              <w:rPr>
                <w:color w:val="000000"/>
                <w:sz w:val="24"/>
              </w:rPr>
              <w:t>0.31%</w:t>
            </w:r>
          </w:p>
        </w:tc>
        <w:tc>
          <w:tcPr>
            <w:tcW w:w="1286" w:type="dxa"/>
            <w:vAlign w:val="center"/>
          </w:tcPr>
          <w:p w:rsidR="00644057" w:rsidRDefault="00A20092">
            <w:pPr>
              <w:jc w:val="center"/>
            </w:pPr>
            <w:r>
              <w:rPr>
                <w:color w:val="000000"/>
                <w:sz w:val="24"/>
              </w:rPr>
              <w:t>0.03%</w:t>
            </w:r>
          </w:p>
        </w:tc>
        <w:tc>
          <w:tcPr>
            <w:tcW w:w="1285" w:type="dxa"/>
            <w:vAlign w:val="center"/>
          </w:tcPr>
          <w:p w:rsidR="00644057" w:rsidRDefault="00A20092">
            <w:pPr>
              <w:jc w:val="center"/>
            </w:pPr>
            <w:r>
              <w:rPr>
                <w:color w:val="000000"/>
                <w:sz w:val="24"/>
              </w:rPr>
              <w:t>0.62%</w:t>
            </w:r>
          </w:p>
        </w:tc>
        <w:tc>
          <w:tcPr>
            <w:tcW w:w="1285" w:type="dxa"/>
            <w:vAlign w:val="center"/>
          </w:tcPr>
          <w:p w:rsidR="00644057" w:rsidRDefault="00A20092">
            <w:pPr>
              <w:jc w:val="center"/>
            </w:pPr>
            <w:r>
              <w:rPr>
                <w:color w:val="000000"/>
                <w:sz w:val="24"/>
              </w:rPr>
              <w:t>0.04%</w:t>
            </w:r>
          </w:p>
        </w:tc>
        <w:tc>
          <w:tcPr>
            <w:tcW w:w="1285" w:type="dxa"/>
            <w:vAlign w:val="center"/>
          </w:tcPr>
          <w:p w:rsidR="00644057" w:rsidRDefault="00A20092">
            <w:pPr>
              <w:jc w:val="center"/>
            </w:pPr>
            <w:r>
              <w:rPr>
                <w:color w:val="000000"/>
                <w:sz w:val="24"/>
              </w:rPr>
              <w:t>-0.31%</w:t>
            </w:r>
          </w:p>
        </w:tc>
        <w:tc>
          <w:tcPr>
            <w:tcW w:w="1285" w:type="dxa"/>
            <w:vAlign w:val="center"/>
          </w:tcPr>
          <w:p w:rsidR="00644057" w:rsidRDefault="00A20092">
            <w:pPr>
              <w:jc w:val="center"/>
            </w:pPr>
            <w:r>
              <w:rPr>
                <w:color w:val="000000"/>
                <w:sz w:val="24"/>
              </w:rPr>
              <w:t>-0.01%</w:t>
            </w:r>
          </w:p>
        </w:tc>
      </w:tr>
      <w:tr w:rsidR="00644057">
        <w:tc>
          <w:tcPr>
            <w:tcW w:w="1286" w:type="dxa"/>
            <w:vAlign w:val="center"/>
          </w:tcPr>
          <w:p w:rsidR="00644057" w:rsidRDefault="00A20092">
            <w:pPr>
              <w:jc w:val="left"/>
            </w:pPr>
            <w:r>
              <w:rPr>
                <w:color w:val="000000"/>
                <w:sz w:val="24"/>
              </w:rPr>
              <w:t>过去六个月</w:t>
            </w:r>
          </w:p>
        </w:tc>
        <w:tc>
          <w:tcPr>
            <w:tcW w:w="1286" w:type="dxa"/>
            <w:vAlign w:val="center"/>
          </w:tcPr>
          <w:p w:rsidR="00644057" w:rsidRDefault="00A20092">
            <w:pPr>
              <w:jc w:val="center"/>
            </w:pPr>
            <w:r>
              <w:rPr>
                <w:color w:val="000000"/>
                <w:sz w:val="24"/>
              </w:rPr>
              <w:t>2.18%</w:t>
            </w:r>
          </w:p>
        </w:tc>
        <w:tc>
          <w:tcPr>
            <w:tcW w:w="1286" w:type="dxa"/>
            <w:vAlign w:val="center"/>
          </w:tcPr>
          <w:p w:rsidR="00644057" w:rsidRDefault="00A20092">
            <w:pPr>
              <w:jc w:val="center"/>
            </w:pPr>
            <w:r>
              <w:rPr>
                <w:color w:val="000000"/>
                <w:sz w:val="24"/>
              </w:rPr>
              <w:t>0.04%</w:t>
            </w:r>
          </w:p>
        </w:tc>
        <w:tc>
          <w:tcPr>
            <w:tcW w:w="1285" w:type="dxa"/>
            <w:vAlign w:val="center"/>
          </w:tcPr>
          <w:p w:rsidR="00644057" w:rsidRDefault="00A20092">
            <w:pPr>
              <w:jc w:val="center"/>
            </w:pPr>
            <w:r>
              <w:rPr>
                <w:color w:val="000000"/>
                <w:sz w:val="24"/>
              </w:rPr>
              <w:t>1.07%</w:t>
            </w:r>
          </w:p>
        </w:tc>
        <w:tc>
          <w:tcPr>
            <w:tcW w:w="1285" w:type="dxa"/>
            <w:vAlign w:val="center"/>
          </w:tcPr>
          <w:p w:rsidR="00644057" w:rsidRDefault="00A20092">
            <w:pPr>
              <w:jc w:val="center"/>
            </w:pPr>
            <w:r>
              <w:rPr>
                <w:color w:val="000000"/>
                <w:sz w:val="24"/>
              </w:rPr>
              <w:t>0.04%</w:t>
            </w:r>
          </w:p>
        </w:tc>
        <w:tc>
          <w:tcPr>
            <w:tcW w:w="1285" w:type="dxa"/>
            <w:vAlign w:val="center"/>
          </w:tcPr>
          <w:p w:rsidR="00644057" w:rsidRDefault="00A20092">
            <w:pPr>
              <w:jc w:val="center"/>
            </w:pPr>
            <w:r>
              <w:rPr>
                <w:color w:val="000000"/>
                <w:sz w:val="24"/>
              </w:rPr>
              <w:t>1.11%</w:t>
            </w:r>
          </w:p>
        </w:tc>
        <w:tc>
          <w:tcPr>
            <w:tcW w:w="1285" w:type="dxa"/>
            <w:vAlign w:val="center"/>
          </w:tcPr>
          <w:p w:rsidR="00644057" w:rsidRDefault="00A20092">
            <w:pPr>
              <w:jc w:val="center"/>
            </w:pPr>
            <w:r>
              <w:rPr>
                <w:color w:val="000000"/>
                <w:sz w:val="24"/>
              </w:rPr>
              <w:t>0.00%</w:t>
            </w:r>
          </w:p>
        </w:tc>
      </w:tr>
      <w:tr w:rsidR="00644057">
        <w:tc>
          <w:tcPr>
            <w:tcW w:w="1286" w:type="dxa"/>
            <w:vAlign w:val="center"/>
          </w:tcPr>
          <w:p w:rsidR="00644057" w:rsidRDefault="00A20092">
            <w:pPr>
              <w:jc w:val="left"/>
            </w:pPr>
            <w:r>
              <w:rPr>
                <w:color w:val="000000"/>
                <w:sz w:val="24"/>
              </w:rPr>
              <w:t>过去一年</w:t>
            </w:r>
          </w:p>
        </w:tc>
        <w:tc>
          <w:tcPr>
            <w:tcW w:w="1286" w:type="dxa"/>
            <w:vAlign w:val="center"/>
          </w:tcPr>
          <w:p w:rsidR="00644057" w:rsidRDefault="00A20092">
            <w:pPr>
              <w:jc w:val="center"/>
            </w:pPr>
            <w:r>
              <w:rPr>
                <w:color w:val="000000"/>
                <w:sz w:val="24"/>
              </w:rPr>
              <w:t>5.48%</w:t>
            </w:r>
          </w:p>
        </w:tc>
        <w:tc>
          <w:tcPr>
            <w:tcW w:w="1286" w:type="dxa"/>
            <w:vAlign w:val="center"/>
          </w:tcPr>
          <w:p w:rsidR="00644057" w:rsidRDefault="00A20092">
            <w:pPr>
              <w:jc w:val="center"/>
            </w:pPr>
            <w:r>
              <w:rPr>
                <w:color w:val="000000"/>
                <w:sz w:val="24"/>
              </w:rPr>
              <w:t>0.06%</w:t>
            </w:r>
          </w:p>
        </w:tc>
        <w:tc>
          <w:tcPr>
            <w:tcW w:w="1285" w:type="dxa"/>
            <w:vAlign w:val="center"/>
          </w:tcPr>
          <w:p w:rsidR="00644057" w:rsidRDefault="00A20092">
            <w:pPr>
              <w:jc w:val="center"/>
            </w:pPr>
            <w:r>
              <w:rPr>
                <w:color w:val="000000"/>
                <w:sz w:val="24"/>
              </w:rPr>
              <w:t>1.31%</w:t>
            </w:r>
          </w:p>
        </w:tc>
        <w:tc>
          <w:tcPr>
            <w:tcW w:w="1285" w:type="dxa"/>
            <w:vAlign w:val="center"/>
          </w:tcPr>
          <w:p w:rsidR="00644057" w:rsidRDefault="00A20092">
            <w:pPr>
              <w:jc w:val="center"/>
            </w:pPr>
            <w:r>
              <w:rPr>
                <w:color w:val="000000"/>
                <w:sz w:val="24"/>
              </w:rPr>
              <w:t>0.05%</w:t>
            </w:r>
          </w:p>
        </w:tc>
        <w:tc>
          <w:tcPr>
            <w:tcW w:w="1285" w:type="dxa"/>
            <w:vAlign w:val="center"/>
          </w:tcPr>
          <w:p w:rsidR="00644057" w:rsidRDefault="00A20092">
            <w:pPr>
              <w:jc w:val="center"/>
            </w:pPr>
            <w:r>
              <w:rPr>
                <w:color w:val="000000"/>
                <w:sz w:val="24"/>
              </w:rPr>
              <w:t>4.17%</w:t>
            </w:r>
          </w:p>
        </w:tc>
        <w:tc>
          <w:tcPr>
            <w:tcW w:w="1285" w:type="dxa"/>
            <w:vAlign w:val="center"/>
          </w:tcPr>
          <w:p w:rsidR="00644057" w:rsidRDefault="00A20092">
            <w:pPr>
              <w:jc w:val="center"/>
            </w:pPr>
            <w:r>
              <w:rPr>
                <w:color w:val="000000"/>
                <w:sz w:val="24"/>
              </w:rPr>
              <w:t>0.01%</w:t>
            </w:r>
          </w:p>
        </w:tc>
      </w:tr>
      <w:tr w:rsidR="00644057">
        <w:tc>
          <w:tcPr>
            <w:tcW w:w="1286" w:type="dxa"/>
            <w:vAlign w:val="center"/>
          </w:tcPr>
          <w:p w:rsidR="00644057" w:rsidRDefault="00A20092">
            <w:pPr>
              <w:jc w:val="left"/>
            </w:pPr>
            <w:r>
              <w:rPr>
                <w:color w:val="000000"/>
                <w:sz w:val="24"/>
              </w:rPr>
              <w:t>自基金合同生效至今</w:t>
            </w:r>
          </w:p>
        </w:tc>
        <w:tc>
          <w:tcPr>
            <w:tcW w:w="1286" w:type="dxa"/>
            <w:vAlign w:val="center"/>
          </w:tcPr>
          <w:p w:rsidR="00644057" w:rsidRDefault="00A20092">
            <w:pPr>
              <w:jc w:val="center"/>
            </w:pPr>
            <w:r>
              <w:rPr>
                <w:color w:val="000000"/>
                <w:sz w:val="24"/>
              </w:rPr>
              <w:t>12.64%</w:t>
            </w:r>
          </w:p>
        </w:tc>
        <w:tc>
          <w:tcPr>
            <w:tcW w:w="1286" w:type="dxa"/>
            <w:vAlign w:val="center"/>
          </w:tcPr>
          <w:p w:rsidR="00644057" w:rsidRDefault="00A20092">
            <w:pPr>
              <w:jc w:val="center"/>
            </w:pPr>
            <w:r>
              <w:rPr>
                <w:color w:val="000000"/>
                <w:sz w:val="24"/>
              </w:rPr>
              <w:t>0.08%</w:t>
            </w:r>
          </w:p>
        </w:tc>
        <w:tc>
          <w:tcPr>
            <w:tcW w:w="1285" w:type="dxa"/>
            <w:vAlign w:val="center"/>
          </w:tcPr>
          <w:p w:rsidR="00644057" w:rsidRDefault="00A20092">
            <w:pPr>
              <w:jc w:val="center"/>
            </w:pPr>
            <w:r>
              <w:rPr>
                <w:color w:val="000000"/>
                <w:sz w:val="24"/>
              </w:rPr>
              <w:t>4.39%</w:t>
            </w:r>
          </w:p>
        </w:tc>
        <w:tc>
          <w:tcPr>
            <w:tcW w:w="1285" w:type="dxa"/>
            <w:vAlign w:val="center"/>
          </w:tcPr>
          <w:p w:rsidR="00644057" w:rsidRDefault="00A20092">
            <w:pPr>
              <w:jc w:val="center"/>
            </w:pPr>
            <w:r>
              <w:rPr>
                <w:color w:val="000000"/>
                <w:sz w:val="24"/>
              </w:rPr>
              <w:t>0.05%</w:t>
            </w:r>
          </w:p>
        </w:tc>
        <w:tc>
          <w:tcPr>
            <w:tcW w:w="1285" w:type="dxa"/>
            <w:vAlign w:val="center"/>
          </w:tcPr>
          <w:p w:rsidR="00644057" w:rsidRDefault="00A20092">
            <w:pPr>
              <w:jc w:val="center"/>
            </w:pPr>
            <w:r>
              <w:rPr>
                <w:color w:val="000000"/>
                <w:sz w:val="24"/>
              </w:rPr>
              <w:t>8.25%</w:t>
            </w:r>
          </w:p>
        </w:tc>
        <w:tc>
          <w:tcPr>
            <w:tcW w:w="1285" w:type="dxa"/>
            <w:vAlign w:val="center"/>
          </w:tcPr>
          <w:p w:rsidR="00644057" w:rsidRDefault="00A20092">
            <w:pPr>
              <w:jc w:val="center"/>
            </w:pPr>
            <w:r>
              <w:rPr>
                <w:color w:val="000000"/>
                <w:sz w:val="24"/>
              </w:rPr>
              <w:t>0.03%</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w:t>
      </w:r>
      <w:proofErr w:type="gramStart"/>
      <w:r w:rsidRPr="00400137">
        <w:rPr>
          <w:kern w:val="0"/>
          <w:sz w:val="24"/>
        </w:rPr>
        <w:t>债综合</w:t>
      </w:r>
      <w:proofErr w:type="gramEnd"/>
      <w:r w:rsidRPr="00400137">
        <w:rPr>
          <w:kern w:val="0"/>
          <w:sz w:val="24"/>
        </w:rPr>
        <w:t>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交银丰晟收益债券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644057">
        <w:tc>
          <w:tcPr>
            <w:tcW w:w="1286" w:type="dxa"/>
            <w:vAlign w:val="center"/>
          </w:tcPr>
          <w:p w:rsidR="00644057" w:rsidRDefault="00A20092">
            <w:pPr>
              <w:jc w:val="left"/>
            </w:pPr>
            <w:r>
              <w:rPr>
                <w:color w:val="000000"/>
                <w:sz w:val="24"/>
              </w:rPr>
              <w:t>过去三个月</w:t>
            </w:r>
          </w:p>
        </w:tc>
        <w:tc>
          <w:tcPr>
            <w:tcW w:w="1286" w:type="dxa"/>
            <w:vAlign w:val="center"/>
          </w:tcPr>
          <w:p w:rsidR="00644057" w:rsidRDefault="00A20092">
            <w:pPr>
              <w:jc w:val="center"/>
            </w:pPr>
            <w:r>
              <w:rPr>
                <w:color w:val="000000"/>
                <w:sz w:val="24"/>
              </w:rPr>
              <w:t>0.16%</w:t>
            </w:r>
          </w:p>
        </w:tc>
        <w:tc>
          <w:tcPr>
            <w:tcW w:w="1286" w:type="dxa"/>
            <w:vAlign w:val="center"/>
          </w:tcPr>
          <w:p w:rsidR="00644057" w:rsidRDefault="00A20092">
            <w:pPr>
              <w:jc w:val="center"/>
            </w:pPr>
            <w:r>
              <w:rPr>
                <w:color w:val="000000"/>
                <w:sz w:val="24"/>
              </w:rPr>
              <w:t>0.03%</w:t>
            </w:r>
          </w:p>
        </w:tc>
        <w:tc>
          <w:tcPr>
            <w:tcW w:w="1285" w:type="dxa"/>
            <w:vAlign w:val="center"/>
          </w:tcPr>
          <w:p w:rsidR="00644057" w:rsidRDefault="00A20092">
            <w:pPr>
              <w:jc w:val="center"/>
            </w:pPr>
            <w:r>
              <w:rPr>
                <w:color w:val="000000"/>
                <w:sz w:val="24"/>
              </w:rPr>
              <w:t>0.62%</w:t>
            </w:r>
          </w:p>
        </w:tc>
        <w:tc>
          <w:tcPr>
            <w:tcW w:w="1285" w:type="dxa"/>
            <w:vAlign w:val="center"/>
          </w:tcPr>
          <w:p w:rsidR="00644057" w:rsidRDefault="00A20092">
            <w:pPr>
              <w:jc w:val="center"/>
            </w:pPr>
            <w:r>
              <w:rPr>
                <w:color w:val="000000"/>
                <w:sz w:val="24"/>
              </w:rPr>
              <w:t>0.04%</w:t>
            </w:r>
          </w:p>
        </w:tc>
        <w:tc>
          <w:tcPr>
            <w:tcW w:w="1285" w:type="dxa"/>
            <w:vAlign w:val="center"/>
          </w:tcPr>
          <w:p w:rsidR="00644057" w:rsidRDefault="00A20092">
            <w:pPr>
              <w:jc w:val="center"/>
            </w:pPr>
            <w:r>
              <w:rPr>
                <w:color w:val="000000"/>
                <w:sz w:val="24"/>
              </w:rPr>
              <w:t>-0.46%</w:t>
            </w:r>
          </w:p>
        </w:tc>
        <w:tc>
          <w:tcPr>
            <w:tcW w:w="1285" w:type="dxa"/>
            <w:vAlign w:val="center"/>
          </w:tcPr>
          <w:p w:rsidR="00644057" w:rsidRDefault="00A20092">
            <w:pPr>
              <w:jc w:val="center"/>
            </w:pPr>
            <w:r>
              <w:rPr>
                <w:color w:val="000000"/>
                <w:sz w:val="24"/>
              </w:rPr>
              <w:t>-0.01%</w:t>
            </w:r>
          </w:p>
        </w:tc>
      </w:tr>
      <w:tr w:rsidR="00644057">
        <w:tc>
          <w:tcPr>
            <w:tcW w:w="1286" w:type="dxa"/>
            <w:vAlign w:val="center"/>
          </w:tcPr>
          <w:p w:rsidR="00644057" w:rsidRDefault="00A20092">
            <w:pPr>
              <w:jc w:val="left"/>
            </w:pPr>
            <w:r>
              <w:rPr>
                <w:color w:val="000000"/>
                <w:sz w:val="24"/>
              </w:rPr>
              <w:t>过去六个月</w:t>
            </w:r>
          </w:p>
        </w:tc>
        <w:tc>
          <w:tcPr>
            <w:tcW w:w="1286" w:type="dxa"/>
            <w:vAlign w:val="center"/>
          </w:tcPr>
          <w:p w:rsidR="00644057" w:rsidRDefault="00A20092">
            <w:pPr>
              <w:jc w:val="center"/>
            </w:pPr>
            <w:r>
              <w:rPr>
                <w:color w:val="000000"/>
                <w:sz w:val="24"/>
              </w:rPr>
              <w:t>1.88%</w:t>
            </w:r>
          </w:p>
        </w:tc>
        <w:tc>
          <w:tcPr>
            <w:tcW w:w="1286" w:type="dxa"/>
            <w:vAlign w:val="center"/>
          </w:tcPr>
          <w:p w:rsidR="00644057" w:rsidRDefault="00A20092">
            <w:pPr>
              <w:jc w:val="center"/>
            </w:pPr>
            <w:r>
              <w:rPr>
                <w:color w:val="000000"/>
                <w:sz w:val="24"/>
              </w:rPr>
              <w:t>0.04%</w:t>
            </w:r>
          </w:p>
        </w:tc>
        <w:tc>
          <w:tcPr>
            <w:tcW w:w="1285" w:type="dxa"/>
            <w:vAlign w:val="center"/>
          </w:tcPr>
          <w:p w:rsidR="00644057" w:rsidRDefault="00A20092">
            <w:pPr>
              <w:jc w:val="center"/>
            </w:pPr>
            <w:r>
              <w:rPr>
                <w:color w:val="000000"/>
                <w:sz w:val="24"/>
              </w:rPr>
              <w:t>1.07%</w:t>
            </w:r>
          </w:p>
        </w:tc>
        <w:tc>
          <w:tcPr>
            <w:tcW w:w="1285" w:type="dxa"/>
            <w:vAlign w:val="center"/>
          </w:tcPr>
          <w:p w:rsidR="00644057" w:rsidRDefault="00A20092">
            <w:pPr>
              <w:jc w:val="center"/>
            </w:pPr>
            <w:r>
              <w:rPr>
                <w:color w:val="000000"/>
                <w:sz w:val="24"/>
              </w:rPr>
              <w:t>0.04%</w:t>
            </w:r>
          </w:p>
        </w:tc>
        <w:tc>
          <w:tcPr>
            <w:tcW w:w="1285" w:type="dxa"/>
            <w:vAlign w:val="center"/>
          </w:tcPr>
          <w:p w:rsidR="00644057" w:rsidRDefault="00A20092">
            <w:pPr>
              <w:jc w:val="center"/>
            </w:pPr>
            <w:r>
              <w:rPr>
                <w:color w:val="000000"/>
                <w:sz w:val="24"/>
              </w:rPr>
              <w:t>0.81%</w:t>
            </w:r>
          </w:p>
        </w:tc>
        <w:tc>
          <w:tcPr>
            <w:tcW w:w="1285" w:type="dxa"/>
            <w:vAlign w:val="center"/>
          </w:tcPr>
          <w:p w:rsidR="00644057" w:rsidRDefault="00A20092">
            <w:pPr>
              <w:jc w:val="center"/>
            </w:pPr>
            <w:r>
              <w:rPr>
                <w:color w:val="000000"/>
                <w:sz w:val="24"/>
              </w:rPr>
              <w:t>0.00%</w:t>
            </w:r>
          </w:p>
        </w:tc>
      </w:tr>
      <w:tr w:rsidR="00644057">
        <w:tc>
          <w:tcPr>
            <w:tcW w:w="1286" w:type="dxa"/>
            <w:vAlign w:val="center"/>
          </w:tcPr>
          <w:p w:rsidR="00644057" w:rsidRDefault="00A20092">
            <w:pPr>
              <w:jc w:val="left"/>
            </w:pPr>
            <w:r>
              <w:rPr>
                <w:color w:val="000000"/>
                <w:sz w:val="24"/>
              </w:rPr>
              <w:t>过去一年</w:t>
            </w:r>
          </w:p>
        </w:tc>
        <w:tc>
          <w:tcPr>
            <w:tcW w:w="1286" w:type="dxa"/>
            <w:vAlign w:val="center"/>
          </w:tcPr>
          <w:p w:rsidR="00644057" w:rsidRDefault="00A20092">
            <w:pPr>
              <w:jc w:val="center"/>
            </w:pPr>
            <w:r>
              <w:rPr>
                <w:color w:val="000000"/>
                <w:sz w:val="24"/>
              </w:rPr>
              <w:t>4.84%</w:t>
            </w:r>
          </w:p>
        </w:tc>
        <w:tc>
          <w:tcPr>
            <w:tcW w:w="1286" w:type="dxa"/>
            <w:vAlign w:val="center"/>
          </w:tcPr>
          <w:p w:rsidR="00644057" w:rsidRDefault="00A20092">
            <w:pPr>
              <w:jc w:val="center"/>
            </w:pPr>
            <w:r>
              <w:rPr>
                <w:color w:val="000000"/>
                <w:sz w:val="24"/>
              </w:rPr>
              <w:t>0.06%</w:t>
            </w:r>
          </w:p>
        </w:tc>
        <w:tc>
          <w:tcPr>
            <w:tcW w:w="1285" w:type="dxa"/>
            <w:vAlign w:val="center"/>
          </w:tcPr>
          <w:p w:rsidR="00644057" w:rsidRDefault="00A20092">
            <w:pPr>
              <w:jc w:val="center"/>
            </w:pPr>
            <w:r>
              <w:rPr>
                <w:color w:val="000000"/>
                <w:sz w:val="24"/>
              </w:rPr>
              <w:t>1.31%</w:t>
            </w:r>
          </w:p>
        </w:tc>
        <w:tc>
          <w:tcPr>
            <w:tcW w:w="1285" w:type="dxa"/>
            <w:vAlign w:val="center"/>
          </w:tcPr>
          <w:p w:rsidR="00644057" w:rsidRDefault="00A20092">
            <w:pPr>
              <w:jc w:val="center"/>
            </w:pPr>
            <w:r>
              <w:rPr>
                <w:color w:val="000000"/>
                <w:sz w:val="24"/>
              </w:rPr>
              <w:t>0.05%</w:t>
            </w:r>
          </w:p>
        </w:tc>
        <w:tc>
          <w:tcPr>
            <w:tcW w:w="1285" w:type="dxa"/>
            <w:vAlign w:val="center"/>
          </w:tcPr>
          <w:p w:rsidR="00644057" w:rsidRDefault="00A20092">
            <w:pPr>
              <w:jc w:val="center"/>
            </w:pPr>
            <w:r>
              <w:rPr>
                <w:color w:val="000000"/>
                <w:sz w:val="24"/>
              </w:rPr>
              <w:t>3.53%</w:t>
            </w:r>
          </w:p>
        </w:tc>
        <w:tc>
          <w:tcPr>
            <w:tcW w:w="1285" w:type="dxa"/>
            <w:vAlign w:val="center"/>
          </w:tcPr>
          <w:p w:rsidR="00644057" w:rsidRDefault="00A20092">
            <w:pPr>
              <w:jc w:val="center"/>
            </w:pPr>
            <w:r>
              <w:rPr>
                <w:color w:val="000000"/>
                <w:sz w:val="24"/>
              </w:rPr>
              <w:t>0.01%</w:t>
            </w:r>
          </w:p>
        </w:tc>
      </w:tr>
      <w:tr w:rsidR="00644057">
        <w:tc>
          <w:tcPr>
            <w:tcW w:w="1286" w:type="dxa"/>
            <w:vAlign w:val="center"/>
          </w:tcPr>
          <w:p w:rsidR="00644057" w:rsidRDefault="00A20092">
            <w:pPr>
              <w:jc w:val="left"/>
            </w:pPr>
            <w:r>
              <w:rPr>
                <w:color w:val="000000"/>
                <w:sz w:val="24"/>
              </w:rPr>
              <w:t>自基金合同生效至今</w:t>
            </w:r>
          </w:p>
        </w:tc>
        <w:tc>
          <w:tcPr>
            <w:tcW w:w="1286" w:type="dxa"/>
            <w:vAlign w:val="center"/>
          </w:tcPr>
          <w:p w:rsidR="00644057" w:rsidRDefault="00A20092">
            <w:pPr>
              <w:jc w:val="center"/>
            </w:pPr>
            <w:r>
              <w:rPr>
                <w:color w:val="000000"/>
                <w:sz w:val="24"/>
              </w:rPr>
              <w:t>11.55%</w:t>
            </w:r>
          </w:p>
        </w:tc>
        <w:tc>
          <w:tcPr>
            <w:tcW w:w="1286" w:type="dxa"/>
            <w:vAlign w:val="center"/>
          </w:tcPr>
          <w:p w:rsidR="00644057" w:rsidRDefault="00A20092">
            <w:pPr>
              <w:jc w:val="center"/>
            </w:pPr>
            <w:r>
              <w:rPr>
                <w:color w:val="000000"/>
                <w:sz w:val="24"/>
              </w:rPr>
              <w:t>0.08%</w:t>
            </w:r>
          </w:p>
        </w:tc>
        <w:tc>
          <w:tcPr>
            <w:tcW w:w="1285" w:type="dxa"/>
            <w:vAlign w:val="center"/>
          </w:tcPr>
          <w:p w:rsidR="00644057" w:rsidRDefault="00A20092">
            <w:pPr>
              <w:jc w:val="center"/>
            </w:pPr>
            <w:r>
              <w:rPr>
                <w:color w:val="000000"/>
                <w:sz w:val="24"/>
              </w:rPr>
              <w:t>4.39%</w:t>
            </w:r>
          </w:p>
        </w:tc>
        <w:tc>
          <w:tcPr>
            <w:tcW w:w="1285" w:type="dxa"/>
            <w:vAlign w:val="center"/>
          </w:tcPr>
          <w:p w:rsidR="00644057" w:rsidRDefault="00A20092">
            <w:pPr>
              <w:jc w:val="center"/>
            </w:pPr>
            <w:r>
              <w:rPr>
                <w:color w:val="000000"/>
                <w:sz w:val="24"/>
              </w:rPr>
              <w:t>0.05%</w:t>
            </w:r>
          </w:p>
        </w:tc>
        <w:tc>
          <w:tcPr>
            <w:tcW w:w="1285" w:type="dxa"/>
            <w:vAlign w:val="center"/>
          </w:tcPr>
          <w:p w:rsidR="00644057" w:rsidRDefault="00A20092">
            <w:pPr>
              <w:jc w:val="center"/>
            </w:pPr>
            <w:r>
              <w:rPr>
                <w:color w:val="000000"/>
                <w:sz w:val="24"/>
              </w:rPr>
              <w:t>7.16%</w:t>
            </w:r>
          </w:p>
        </w:tc>
        <w:tc>
          <w:tcPr>
            <w:tcW w:w="1285" w:type="dxa"/>
            <w:vAlign w:val="center"/>
          </w:tcPr>
          <w:p w:rsidR="00644057" w:rsidRDefault="00A20092">
            <w:pPr>
              <w:jc w:val="center"/>
            </w:pPr>
            <w:r>
              <w:rPr>
                <w:color w:val="000000"/>
                <w:sz w:val="24"/>
              </w:rPr>
              <w:t>0.03%</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w:t>
      </w:r>
      <w:proofErr w:type="gramStart"/>
      <w:r w:rsidRPr="00400137">
        <w:rPr>
          <w:kern w:val="0"/>
          <w:sz w:val="24"/>
        </w:rPr>
        <w:t>债综合</w:t>
      </w:r>
      <w:proofErr w:type="gramEnd"/>
      <w:r w:rsidRPr="00400137">
        <w:rPr>
          <w:kern w:val="0"/>
          <w:sz w:val="24"/>
        </w:rPr>
        <w:t>全价指数。</w:t>
      </w:r>
    </w:p>
    <w:p w:rsidR="00BF0ABE" w:rsidRPr="00400137" w:rsidRDefault="00BF0ABE" w:rsidP="00400137">
      <w:pPr>
        <w:tabs>
          <w:tab w:val="left" w:pos="426"/>
        </w:tabs>
        <w:spacing w:before="29" w:line="288" w:lineRule="auto"/>
        <w:jc w:val="left"/>
        <w:rPr>
          <w:kern w:val="0"/>
          <w:sz w:val="24"/>
        </w:rPr>
      </w:pPr>
    </w:p>
    <w:p w:rsidR="00852116" w:rsidRPr="00BF0ABE" w:rsidRDefault="00852116" w:rsidP="00BF0ABE">
      <w:pPr>
        <w:pStyle w:val="20"/>
        <w:spacing w:before="29" w:after="0" w:line="288" w:lineRule="auto"/>
        <w:rPr>
          <w:rFonts w:ascii="Times New Roman" w:hAnsi="Times New Roman"/>
          <w:kern w:val="0"/>
          <w:szCs w:val="24"/>
        </w:rPr>
      </w:pPr>
      <w:bookmarkStart w:id="37" w:name="_Toc35966186"/>
      <w:r w:rsidRPr="00BF0ABE">
        <w:rPr>
          <w:rFonts w:ascii="Times New Roman" w:hAnsi="Times New Roman" w:hint="eastAsia"/>
          <w:kern w:val="0"/>
          <w:szCs w:val="24"/>
        </w:rPr>
        <w:t xml:space="preserve">3.2.2 </w:t>
      </w:r>
      <w:r w:rsidR="00BC415C" w:rsidRPr="00BF0ABE">
        <w:rPr>
          <w:rFonts w:ascii="Times New Roman" w:hAnsi="Times New Roman"/>
          <w:kern w:val="0"/>
          <w:szCs w:val="24"/>
        </w:rPr>
        <w:t>自基金合同生效以来</w:t>
      </w:r>
      <w:r w:rsidRPr="00BF0ABE">
        <w:rPr>
          <w:rFonts w:ascii="Times New Roman" w:hAnsi="Times New Roman"/>
          <w:kern w:val="0"/>
          <w:szCs w:val="24"/>
        </w:rPr>
        <w:t>基金份额累计净值增长率变动及其与同期业绩比较基准收益率变动的比较</w:t>
      </w:r>
      <w:bookmarkEnd w:id="37"/>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交银丰晟收益债券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交银丰晟收益债券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BF0ABE" w:rsidRDefault="001A59F9" w:rsidP="00BF0ABE">
      <w:pPr>
        <w:pStyle w:val="20"/>
        <w:spacing w:before="29" w:after="0" w:line="288" w:lineRule="auto"/>
        <w:rPr>
          <w:rFonts w:ascii="Times New Roman" w:hAnsi="Times New Roman"/>
          <w:kern w:val="0"/>
          <w:szCs w:val="24"/>
        </w:rPr>
      </w:pPr>
      <w:bookmarkStart w:id="38" w:name="_Toc35966187"/>
      <w:r w:rsidRPr="00BF0ABE">
        <w:rPr>
          <w:rFonts w:ascii="Times New Roman" w:hAnsi="Times New Roman"/>
          <w:kern w:val="0"/>
          <w:szCs w:val="24"/>
        </w:rPr>
        <w:t xml:space="preserve">3.2.3 </w:t>
      </w:r>
      <w:r w:rsidR="00A225D8" w:rsidRPr="00BF0ABE">
        <w:rPr>
          <w:rFonts w:ascii="Times New Roman" w:hAnsi="Times New Roman" w:hint="eastAsia"/>
          <w:kern w:val="0"/>
          <w:szCs w:val="24"/>
        </w:rPr>
        <w:t>自基金合同生效以来</w:t>
      </w:r>
      <w:r w:rsidRPr="00BF0ABE">
        <w:rPr>
          <w:rFonts w:ascii="Times New Roman" w:hAnsi="Times New Roman" w:hint="eastAsia"/>
          <w:kern w:val="0"/>
          <w:szCs w:val="24"/>
        </w:rPr>
        <w:t>基金每年净值增长率及其与同期业绩比较基准收益率的比较</w:t>
      </w:r>
      <w:bookmarkEnd w:id="38"/>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交银丰晟收益债券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2018</w:t>
      </w:r>
      <w:r w:rsidRPr="00400137">
        <w:rPr>
          <w:kern w:val="0"/>
          <w:sz w:val="24"/>
        </w:rPr>
        <w:t>年</w:t>
      </w:r>
      <w:r w:rsidRPr="00400137">
        <w:rPr>
          <w:kern w:val="0"/>
          <w:sz w:val="24"/>
        </w:rPr>
        <w:t>5</w:t>
      </w:r>
      <w:r w:rsidRPr="00400137">
        <w:rPr>
          <w:kern w:val="0"/>
          <w:sz w:val="24"/>
        </w:rPr>
        <w:t>月</w:t>
      </w:r>
      <w:r w:rsidRPr="00400137">
        <w:rPr>
          <w:kern w:val="0"/>
          <w:sz w:val="24"/>
        </w:rPr>
        <w:t>23</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交银丰晟收益债券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2018</w:t>
      </w:r>
      <w:r w:rsidRPr="00400137">
        <w:rPr>
          <w:kern w:val="0"/>
          <w:sz w:val="24"/>
        </w:rPr>
        <w:t>年</w:t>
      </w:r>
      <w:r w:rsidRPr="00400137">
        <w:rPr>
          <w:kern w:val="0"/>
          <w:sz w:val="24"/>
        </w:rPr>
        <w:t>5</w:t>
      </w:r>
      <w:r w:rsidRPr="00400137">
        <w:rPr>
          <w:kern w:val="0"/>
          <w:sz w:val="24"/>
        </w:rPr>
        <w:t>月</w:t>
      </w:r>
      <w:r w:rsidRPr="00400137">
        <w:rPr>
          <w:kern w:val="0"/>
          <w:sz w:val="24"/>
        </w:rPr>
        <w:t>23</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BF0ABE" w:rsidRDefault="000B2C76" w:rsidP="00BF0ABE">
      <w:pPr>
        <w:pStyle w:val="20"/>
        <w:spacing w:before="29" w:after="0" w:line="288" w:lineRule="auto"/>
        <w:rPr>
          <w:rFonts w:ascii="Times New Roman" w:hAnsi="Times New Roman"/>
          <w:kern w:val="0"/>
          <w:szCs w:val="24"/>
        </w:rPr>
      </w:pPr>
      <w:bookmarkStart w:id="39" w:name="_Toc249760033"/>
      <w:bookmarkStart w:id="40" w:name="_Toc361324853"/>
      <w:bookmarkStart w:id="41" w:name="_Toc35966188"/>
      <w:r w:rsidRPr="00BF0ABE">
        <w:rPr>
          <w:rFonts w:ascii="Times New Roman" w:hAnsi="Times New Roman"/>
          <w:kern w:val="0"/>
          <w:szCs w:val="24"/>
        </w:rPr>
        <w:t>3.3</w:t>
      </w:r>
      <w:r w:rsidRPr="00BF0ABE">
        <w:rPr>
          <w:rFonts w:ascii="Times New Roman" w:hAnsi="Times New Roman" w:hint="eastAsia"/>
          <w:kern w:val="0"/>
          <w:szCs w:val="24"/>
        </w:rPr>
        <w:t>过去三年基金的利润分配情况</w:t>
      </w:r>
      <w:bookmarkEnd w:id="39"/>
      <w:bookmarkEnd w:id="40"/>
      <w:bookmarkEnd w:id="41"/>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交银丰晟收益债券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644057">
        <w:trPr>
          <w:jc w:val="center"/>
        </w:trPr>
        <w:tc>
          <w:tcPr>
            <w:tcW w:w="1157" w:type="dxa"/>
            <w:vAlign w:val="center"/>
          </w:tcPr>
          <w:p w:rsidR="00644057" w:rsidRDefault="00A20092">
            <w:pPr>
              <w:jc w:val="center"/>
            </w:pPr>
            <w:r>
              <w:rPr>
                <w:color w:val="000000"/>
                <w:sz w:val="24"/>
              </w:rPr>
              <w:t>2019</w:t>
            </w:r>
            <w:r>
              <w:rPr>
                <w:color w:val="000000"/>
                <w:sz w:val="24"/>
              </w:rPr>
              <w:t>年</w:t>
            </w:r>
          </w:p>
        </w:tc>
        <w:tc>
          <w:tcPr>
            <w:tcW w:w="1378" w:type="dxa"/>
            <w:vAlign w:val="center"/>
          </w:tcPr>
          <w:p w:rsidR="00644057" w:rsidRDefault="00A20092">
            <w:pPr>
              <w:jc w:val="right"/>
            </w:pPr>
            <w:r>
              <w:rPr>
                <w:color w:val="000000"/>
                <w:sz w:val="24"/>
              </w:rPr>
              <w:t>0.340</w:t>
            </w:r>
          </w:p>
        </w:tc>
        <w:tc>
          <w:tcPr>
            <w:tcW w:w="1839" w:type="dxa"/>
            <w:vAlign w:val="center"/>
          </w:tcPr>
          <w:p w:rsidR="00644057" w:rsidRDefault="00A20092">
            <w:pPr>
              <w:jc w:val="right"/>
            </w:pPr>
            <w:r>
              <w:rPr>
                <w:color w:val="000000"/>
                <w:sz w:val="24"/>
              </w:rPr>
              <w:t>11,247,650.94</w:t>
            </w:r>
          </w:p>
        </w:tc>
        <w:tc>
          <w:tcPr>
            <w:tcW w:w="1950" w:type="dxa"/>
            <w:vAlign w:val="center"/>
          </w:tcPr>
          <w:p w:rsidR="00644057" w:rsidRDefault="00A20092">
            <w:pPr>
              <w:jc w:val="right"/>
            </w:pPr>
            <w:r>
              <w:rPr>
                <w:color w:val="000000"/>
                <w:sz w:val="24"/>
              </w:rPr>
              <w:t>0.00</w:t>
            </w:r>
          </w:p>
        </w:tc>
        <w:tc>
          <w:tcPr>
            <w:tcW w:w="1894" w:type="dxa"/>
            <w:vAlign w:val="center"/>
          </w:tcPr>
          <w:p w:rsidR="00644057" w:rsidRDefault="00A20092">
            <w:pPr>
              <w:jc w:val="right"/>
            </w:pPr>
            <w:r>
              <w:rPr>
                <w:color w:val="000000"/>
                <w:sz w:val="24"/>
              </w:rPr>
              <w:t>11,247,650.94</w:t>
            </w:r>
          </w:p>
        </w:tc>
        <w:tc>
          <w:tcPr>
            <w:tcW w:w="1068" w:type="dxa"/>
            <w:vAlign w:val="center"/>
          </w:tcPr>
          <w:p w:rsidR="00644057" w:rsidRDefault="00A20092">
            <w:pPr>
              <w:jc w:val="left"/>
            </w:pPr>
            <w:r>
              <w:rPr>
                <w:color w:val="000000"/>
                <w:sz w:val="24"/>
              </w:rPr>
              <w:t>-</w:t>
            </w:r>
          </w:p>
        </w:tc>
      </w:tr>
      <w:tr w:rsidR="00644057">
        <w:trPr>
          <w:jc w:val="center"/>
        </w:trPr>
        <w:tc>
          <w:tcPr>
            <w:tcW w:w="1157" w:type="dxa"/>
            <w:vAlign w:val="center"/>
          </w:tcPr>
          <w:p w:rsidR="00644057" w:rsidRDefault="00A20092">
            <w:pPr>
              <w:jc w:val="center"/>
            </w:pPr>
            <w:r>
              <w:rPr>
                <w:color w:val="000000"/>
                <w:sz w:val="24"/>
              </w:rPr>
              <w:t>2018</w:t>
            </w:r>
            <w:r>
              <w:rPr>
                <w:color w:val="000000"/>
                <w:sz w:val="24"/>
              </w:rPr>
              <w:t>年</w:t>
            </w:r>
          </w:p>
        </w:tc>
        <w:tc>
          <w:tcPr>
            <w:tcW w:w="1378" w:type="dxa"/>
            <w:vAlign w:val="center"/>
          </w:tcPr>
          <w:p w:rsidR="00644057" w:rsidRDefault="00A20092">
            <w:pPr>
              <w:jc w:val="right"/>
            </w:pPr>
            <w:r>
              <w:rPr>
                <w:color w:val="000000"/>
                <w:sz w:val="24"/>
              </w:rPr>
              <w:t>-</w:t>
            </w:r>
          </w:p>
        </w:tc>
        <w:tc>
          <w:tcPr>
            <w:tcW w:w="1839" w:type="dxa"/>
            <w:vAlign w:val="center"/>
          </w:tcPr>
          <w:p w:rsidR="00644057" w:rsidRDefault="00A20092">
            <w:pPr>
              <w:jc w:val="right"/>
            </w:pPr>
            <w:r>
              <w:rPr>
                <w:color w:val="000000"/>
                <w:sz w:val="24"/>
              </w:rPr>
              <w:t>-</w:t>
            </w:r>
          </w:p>
        </w:tc>
        <w:tc>
          <w:tcPr>
            <w:tcW w:w="1950" w:type="dxa"/>
            <w:vAlign w:val="center"/>
          </w:tcPr>
          <w:p w:rsidR="00644057" w:rsidRDefault="00A20092">
            <w:pPr>
              <w:jc w:val="right"/>
            </w:pPr>
            <w:r>
              <w:rPr>
                <w:color w:val="000000"/>
                <w:sz w:val="24"/>
              </w:rPr>
              <w:t>-</w:t>
            </w:r>
          </w:p>
        </w:tc>
        <w:tc>
          <w:tcPr>
            <w:tcW w:w="1894" w:type="dxa"/>
            <w:vAlign w:val="center"/>
          </w:tcPr>
          <w:p w:rsidR="00644057" w:rsidRDefault="00A20092">
            <w:pPr>
              <w:jc w:val="right"/>
            </w:pPr>
            <w:r>
              <w:rPr>
                <w:color w:val="000000"/>
                <w:sz w:val="24"/>
              </w:rPr>
              <w:t>-</w:t>
            </w:r>
          </w:p>
        </w:tc>
        <w:tc>
          <w:tcPr>
            <w:tcW w:w="1068" w:type="dxa"/>
            <w:vAlign w:val="center"/>
          </w:tcPr>
          <w:p w:rsidR="00644057" w:rsidRDefault="00A20092">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0.340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11,247,650.94</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11,247,650.94</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交银丰晟收益债券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644057">
        <w:trPr>
          <w:jc w:val="center"/>
        </w:trPr>
        <w:tc>
          <w:tcPr>
            <w:tcW w:w="1157" w:type="dxa"/>
            <w:vAlign w:val="center"/>
          </w:tcPr>
          <w:p w:rsidR="00644057" w:rsidRDefault="00A20092">
            <w:pPr>
              <w:jc w:val="center"/>
            </w:pPr>
            <w:r>
              <w:rPr>
                <w:color w:val="000000"/>
                <w:sz w:val="24"/>
              </w:rPr>
              <w:t>2019</w:t>
            </w:r>
            <w:r>
              <w:rPr>
                <w:color w:val="000000"/>
                <w:sz w:val="24"/>
              </w:rPr>
              <w:t>年</w:t>
            </w:r>
          </w:p>
        </w:tc>
        <w:tc>
          <w:tcPr>
            <w:tcW w:w="1378" w:type="dxa"/>
            <w:vAlign w:val="center"/>
          </w:tcPr>
          <w:p w:rsidR="00644057" w:rsidRDefault="00A20092">
            <w:pPr>
              <w:jc w:val="right"/>
            </w:pPr>
            <w:r>
              <w:rPr>
                <w:color w:val="000000"/>
                <w:sz w:val="24"/>
              </w:rPr>
              <w:t>0.300</w:t>
            </w:r>
          </w:p>
        </w:tc>
        <w:tc>
          <w:tcPr>
            <w:tcW w:w="1839" w:type="dxa"/>
            <w:vAlign w:val="center"/>
          </w:tcPr>
          <w:p w:rsidR="00644057" w:rsidRDefault="00A20092">
            <w:pPr>
              <w:jc w:val="right"/>
            </w:pPr>
            <w:r>
              <w:rPr>
                <w:color w:val="000000"/>
                <w:sz w:val="24"/>
              </w:rPr>
              <w:t>23,299.92</w:t>
            </w:r>
          </w:p>
        </w:tc>
        <w:tc>
          <w:tcPr>
            <w:tcW w:w="1950" w:type="dxa"/>
            <w:vAlign w:val="center"/>
          </w:tcPr>
          <w:p w:rsidR="00644057" w:rsidRDefault="00A20092">
            <w:pPr>
              <w:jc w:val="right"/>
            </w:pPr>
            <w:r>
              <w:rPr>
                <w:color w:val="000000"/>
                <w:sz w:val="24"/>
              </w:rPr>
              <w:t>0.00</w:t>
            </w:r>
          </w:p>
        </w:tc>
        <w:tc>
          <w:tcPr>
            <w:tcW w:w="1894" w:type="dxa"/>
            <w:vAlign w:val="center"/>
          </w:tcPr>
          <w:p w:rsidR="00644057" w:rsidRDefault="00A20092">
            <w:pPr>
              <w:jc w:val="right"/>
            </w:pPr>
            <w:r>
              <w:rPr>
                <w:color w:val="000000"/>
                <w:sz w:val="24"/>
              </w:rPr>
              <w:t>23,299.92</w:t>
            </w:r>
          </w:p>
        </w:tc>
        <w:tc>
          <w:tcPr>
            <w:tcW w:w="1068" w:type="dxa"/>
            <w:vAlign w:val="center"/>
          </w:tcPr>
          <w:p w:rsidR="00644057" w:rsidRDefault="00A20092">
            <w:pPr>
              <w:jc w:val="left"/>
            </w:pPr>
            <w:r>
              <w:rPr>
                <w:color w:val="000000"/>
                <w:sz w:val="24"/>
              </w:rPr>
              <w:t>-</w:t>
            </w:r>
          </w:p>
        </w:tc>
      </w:tr>
      <w:tr w:rsidR="00644057">
        <w:trPr>
          <w:jc w:val="center"/>
        </w:trPr>
        <w:tc>
          <w:tcPr>
            <w:tcW w:w="1157" w:type="dxa"/>
            <w:vAlign w:val="center"/>
          </w:tcPr>
          <w:p w:rsidR="00644057" w:rsidRDefault="00A20092">
            <w:pPr>
              <w:jc w:val="center"/>
            </w:pPr>
            <w:r>
              <w:rPr>
                <w:color w:val="000000"/>
                <w:sz w:val="24"/>
              </w:rPr>
              <w:t>2018</w:t>
            </w:r>
            <w:r>
              <w:rPr>
                <w:color w:val="000000"/>
                <w:sz w:val="24"/>
              </w:rPr>
              <w:t>年</w:t>
            </w:r>
          </w:p>
        </w:tc>
        <w:tc>
          <w:tcPr>
            <w:tcW w:w="1378" w:type="dxa"/>
            <w:vAlign w:val="center"/>
          </w:tcPr>
          <w:p w:rsidR="00644057" w:rsidRDefault="00A20092">
            <w:pPr>
              <w:jc w:val="right"/>
            </w:pPr>
            <w:r>
              <w:rPr>
                <w:color w:val="000000"/>
                <w:sz w:val="24"/>
              </w:rPr>
              <w:t>-</w:t>
            </w:r>
          </w:p>
        </w:tc>
        <w:tc>
          <w:tcPr>
            <w:tcW w:w="1839" w:type="dxa"/>
            <w:vAlign w:val="center"/>
          </w:tcPr>
          <w:p w:rsidR="00644057" w:rsidRDefault="00A20092">
            <w:pPr>
              <w:jc w:val="right"/>
            </w:pPr>
            <w:r>
              <w:rPr>
                <w:color w:val="000000"/>
                <w:sz w:val="24"/>
              </w:rPr>
              <w:t>-</w:t>
            </w:r>
          </w:p>
        </w:tc>
        <w:tc>
          <w:tcPr>
            <w:tcW w:w="1950" w:type="dxa"/>
            <w:vAlign w:val="center"/>
          </w:tcPr>
          <w:p w:rsidR="00644057" w:rsidRDefault="00A20092">
            <w:pPr>
              <w:jc w:val="right"/>
            </w:pPr>
            <w:r>
              <w:rPr>
                <w:color w:val="000000"/>
                <w:sz w:val="24"/>
              </w:rPr>
              <w:t>-</w:t>
            </w:r>
          </w:p>
        </w:tc>
        <w:tc>
          <w:tcPr>
            <w:tcW w:w="1894" w:type="dxa"/>
            <w:vAlign w:val="center"/>
          </w:tcPr>
          <w:p w:rsidR="00644057" w:rsidRDefault="00A20092">
            <w:pPr>
              <w:jc w:val="right"/>
            </w:pPr>
            <w:r>
              <w:rPr>
                <w:color w:val="000000"/>
                <w:sz w:val="24"/>
              </w:rPr>
              <w:t>-</w:t>
            </w:r>
          </w:p>
        </w:tc>
        <w:tc>
          <w:tcPr>
            <w:tcW w:w="1068" w:type="dxa"/>
            <w:vAlign w:val="center"/>
          </w:tcPr>
          <w:p w:rsidR="00644057" w:rsidRDefault="00A20092">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0.300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23,299.92</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23,299.92</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42" w:name="_Toc225498254"/>
      <w:bookmarkStart w:id="43" w:name="_Toc361324854"/>
      <w:bookmarkStart w:id="44" w:name="_Toc35966189"/>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42"/>
      <w:bookmarkEnd w:id="43"/>
      <w:bookmarkEnd w:id="44"/>
    </w:p>
    <w:p w:rsidR="00DB6EA0" w:rsidRPr="00DB6EA0" w:rsidRDefault="00DB6EA0" w:rsidP="00DB6EA0"/>
    <w:p w:rsidR="001A59F9" w:rsidRPr="00BF0ABE" w:rsidRDefault="001A59F9" w:rsidP="00BF0ABE">
      <w:pPr>
        <w:pStyle w:val="20"/>
        <w:spacing w:before="29" w:after="0" w:line="288" w:lineRule="auto"/>
        <w:rPr>
          <w:rFonts w:ascii="Times New Roman" w:hAnsi="Times New Roman"/>
          <w:kern w:val="0"/>
          <w:szCs w:val="24"/>
        </w:rPr>
      </w:pPr>
      <w:bookmarkStart w:id="45" w:name="_Toc361324855"/>
      <w:bookmarkStart w:id="46" w:name="_Toc35966190"/>
      <w:r w:rsidRPr="00BF0ABE">
        <w:rPr>
          <w:rFonts w:ascii="Times New Roman" w:hAnsi="Times New Roman"/>
          <w:kern w:val="0"/>
          <w:szCs w:val="24"/>
        </w:rPr>
        <w:t xml:space="preserve">4.1 </w:t>
      </w:r>
      <w:r w:rsidRPr="00BF0ABE">
        <w:rPr>
          <w:rFonts w:ascii="Times New Roman" w:hAnsi="Times New Roman" w:hint="eastAsia"/>
          <w:kern w:val="0"/>
          <w:szCs w:val="24"/>
        </w:rPr>
        <w:t>基金管理人及基金经理情况</w:t>
      </w:r>
      <w:bookmarkEnd w:id="45"/>
      <w:bookmarkEnd w:id="46"/>
    </w:p>
    <w:p w:rsidR="001A59F9" w:rsidRPr="00BF0ABE" w:rsidRDefault="001A59F9" w:rsidP="00BF0ABE">
      <w:pPr>
        <w:pStyle w:val="20"/>
        <w:spacing w:before="29" w:after="0" w:line="288" w:lineRule="auto"/>
        <w:rPr>
          <w:rFonts w:ascii="Times New Roman" w:hAnsi="Times New Roman"/>
          <w:kern w:val="0"/>
          <w:szCs w:val="24"/>
        </w:rPr>
      </w:pPr>
      <w:bookmarkStart w:id="47" w:name="_Toc35966191"/>
      <w:r w:rsidRPr="00BF0ABE">
        <w:rPr>
          <w:rFonts w:ascii="Times New Roman" w:hAnsi="Times New Roman"/>
          <w:kern w:val="0"/>
          <w:szCs w:val="24"/>
        </w:rPr>
        <w:t>4.1.1</w:t>
      </w:r>
      <w:r w:rsidRPr="00BF0ABE">
        <w:rPr>
          <w:rFonts w:ascii="Times New Roman" w:hAnsi="Times New Roman" w:hint="eastAsia"/>
          <w:kern w:val="0"/>
          <w:szCs w:val="24"/>
        </w:rPr>
        <w:t>基金管理人及其管理基金的经验</w:t>
      </w:r>
      <w:bookmarkEnd w:id="47"/>
    </w:p>
    <w:p w:rsidR="00644057" w:rsidRDefault="00A20092">
      <w:pPr>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84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BF0ABE" w:rsidRDefault="001A59F9" w:rsidP="00BF0ABE">
      <w:pPr>
        <w:pStyle w:val="20"/>
        <w:spacing w:before="29" w:after="0" w:line="288" w:lineRule="auto"/>
        <w:rPr>
          <w:rFonts w:ascii="Times New Roman" w:hAnsi="Times New Roman"/>
          <w:kern w:val="0"/>
          <w:szCs w:val="24"/>
        </w:rPr>
      </w:pPr>
      <w:bookmarkStart w:id="48" w:name="_Toc35966192"/>
      <w:r w:rsidRPr="00BF0ABE">
        <w:rPr>
          <w:rFonts w:ascii="Times New Roman" w:hAnsi="Times New Roman"/>
          <w:kern w:val="0"/>
          <w:szCs w:val="24"/>
        </w:rPr>
        <w:t>4.1.2</w:t>
      </w:r>
      <w:r w:rsidRPr="00BF0ABE">
        <w:rPr>
          <w:rFonts w:ascii="Times New Roman" w:hAnsi="Times New Roman" w:hint="eastAsia"/>
          <w:kern w:val="0"/>
          <w:szCs w:val="24"/>
        </w:rPr>
        <w:t>基金经理（或基金经理小组）及基金经理助理的简介</w:t>
      </w:r>
      <w:bookmarkEnd w:id="48"/>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proofErr w:type="gramStart"/>
            <w:r w:rsidRPr="001E6AA7">
              <w:rPr>
                <w:rFonts w:hint="eastAsia"/>
                <w:color w:val="000000"/>
                <w:sz w:val="24"/>
              </w:rPr>
              <w:t>任本基金</w:t>
            </w:r>
            <w:proofErr w:type="gramEnd"/>
            <w:r w:rsidRPr="001E6AA7">
              <w:rPr>
                <w:rFonts w:hint="eastAsia"/>
                <w:color w:val="000000"/>
                <w:sz w:val="24"/>
              </w:rPr>
              <w:t>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644057">
        <w:tc>
          <w:tcPr>
            <w:tcW w:w="1276" w:type="dxa"/>
            <w:vAlign w:val="center"/>
          </w:tcPr>
          <w:p w:rsidR="00644057" w:rsidRDefault="00A20092">
            <w:pPr>
              <w:jc w:val="center"/>
            </w:pPr>
            <w:proofErr w:type="gramStart"/>
            <w:r>
              <w:rPr>
                <w:color w:val="000000"/>
                <w:sz w:val="24"/>
              </w:rPr>
              <w:t>于海颖</w:t>
            </w:r>
            <w:proofErr w:type="gramEnd"/>
          </w:p>
        </w:tc>
        <w:tc>
          <w:tcPr>
            <w:tcW w:w="1134" w:type="dxa"/>
            <w:vAlign w:val="center"/>
          </w:tcPr>
          <w:p w:rsidR="00644057" w:rsidRDefault="00A20092">
            <w:pPr>
              <w:jc w:val="center"/>
            </w:pPr>
            <w:r>
              <w:rPr>
                <w:color w:val="000000"/>
                <w:sz w:val="24"/>
              </w:rPr>
              <w:t>交银增利债券、交</w:t>
            </w:r>
            <w:proofErr w:type="gramStart"/>
            <w:r>
              <w:rPr>
                <w:color w:val="000000"/>
                <w:sz w:val="24"/>
              </w:rPr>
              <w:t>银纯债</w:t>
            </w:r>
            <w:proofErr w:type="gramEnd"/>
            <w:r>
              <w:rPr>
                <w:color w:val="000000"/>
                <w:sz w:val="24"/>
              </w:rPr>
              <w:t>债券发起、交银丰盈收益债券、交银丰晟收益债券、交银</w:t>
            </w:r>
            <w:proofErr w:type="gramStart"/>
            <w:r>
              <w:rPr>
                <w:color w:val="000000"/>
                <w:sz w:val="24"/>
              </w:rPr>
              <w:t>裕如纯债债券</w:t>
            </w:r>
            <w:proofErr w:type="gramEnd"/>
            <w:r>
              <w:rPr>
                <w:color w:val="000000"/>
                <w:sz w:val="24"/>
              </w:rPr>
              <w:t>、</w:t>
            </w:r>
            <w:proofErr w:type="gramStart"/>
            <w:r>
              <w:rPr>
                <w:color w:val="000000"/>
                <w:sz w:val="24"/>
              </w:rPr>
              <w:t>交银裕泰</w:t>
            </w:r>
            <w:proofErr w:type="gramEnd"/>
            <w:r>
              <w:rPr>
                <w:color w:val="000000"/>
                <w:sz w:val="24"/>
              </w:rPr>
              <w:t>两年定期开放债券、交</w:t>
            </w:r>
            <w:proofErr w:type="gramStart"/>
            <w:r>
              <w:rPr>
                <w:color w:val="000000"/>
                <w:sz w:val="24"/>
              </w:rPr>
              <w:t>银裕坤纯债</w:t>
            </w:r>
            <w:proofErr w:type="gramEnd"/>
            <w:r>
              <w:rPr>
                <w:color w:val="000000"/>
                <w:sz w:val="24"/>
              </w:rPr>
              <w:t>一年定期开放债券的基金经理，公司固定收益（公募）投资总监</w:t>
            </w:r>
          </w:p>
        </w:tc>
        <w:tc>
          <w:tcPr>
            <w:tcW w:w="1418" w:type="dxa"/>
            <w:vAlign w:val="center"/>
          </w:tcPr>
          <w:p w:rsidR="00644057" w:rsidRDefault="00A20092">
            <w:pPr>
              <w:jc w:val="center"/>
            </w:pPr>
            <w:r>
              <w:rPr>
                <w:color w:val="000000"/>
                <w:sz w:val="24"/>
              </w:rPr>
              <w:t>2018-05-23</w:t>
            </w:r>
          </w:p>
        </w:tc>
        <w:tc>
          <w:tcPr>
            <w:tcW w:w="1275" w:type="dxa"/>
            <w:vAlign w:val="center"/>
          </w:tcPr>
          <w:p w:rsidR="00644057" w:rsidRDefault="00A20092">
            <w:pPr>
              <w:jc w:val="center"/>
            </w:pPr>
            <w:r>
              <w:rPr>
                <w:color w:val="000000"/>
                <w:sz w:val="24"/>
              </w:rPr>
              <w:t>-</w:t>
            </w:r>
          </w:p>
        </w:tc>
        <w:tc>
          <w:tcPr>
            <w:tcW w:w="993" w:type="dxa"/>
            <w:vAlign w:val="center"/>
          </w:tcPr>
          <w:p w:rsidR="00644057" w:rsidRDefault="00A20092">
            <w:pPr>
              <w:jc w:val="center"/>
            </w:pPr>
            <w:r>
              <w:rPr>
                <w:color w:val="000000"/>
                <w:sz w:val="24"/>
              </w:rPr>
              <w:t>13</w:t>
            </w:r>
            <w:r>
              <w:rPr>
                <w:color w:val="000000"/>
                <w:sz w:val="24"/>
              </w:rPr>
              <w:t>年</w:t>
            </w:r>
          </w:p>
        </w:tc>
        <w:tc>
          <w:tcPr>
            <w:tcW w:w="2902" w:type="dxa"/>
            <w:vAlign w:val="center"/>
          </w:tcPr>
          <w:p w:rsidR="00644057" w:rsidRDefault="00A20092" w:rsidP="009519B5">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w:t>
            </w:r>
            <w:proofErr w:type="gramStart"/>
            <w:r>
              <w:rPr>
                <w:color w:val="000000"/>
                <w:sz w:val="24"/>
              </w:rPr>
              <w:t>矿证券</w:t>
            </w:r>
            <w:proofErr w:type="gramEnd"/>
            <w:r>
              <w:rPr>
                <w:color w:val="000000"/>
                <w:sz w:val="24"/>
              </w:rPr>
              <w:t>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w:t>
            </w:r>
            <w:proofErr w:type="gramStart"/>
            <w:r>
              <w:rPr>
                <w:color w:val="000000"/>
                <w:sz w:val="24"/>
              </w:rPr>
              <w:t>信货</w:t>
            </w:r>
            <w:proofErr w:type="gramEnd"/>
            <w:r>
              <w:rPr>
                <w:color w:val="000000"/>
                <w:sz w:val="24"/>
              </w:rPr>
              <w:t>币市场</w:t>
            </w:r>
            <w:proofErr w:type="gramStart"/>
            <w:r>
              <w:rPr>
                <w:color w:val="000000"/>
                <w:sz w:val="24"/>
              </w:rPr>
              <w:t>基金基金</w:t>
            </w:r>
            <w:proofErr w:type="gramEnd"/>
            <w:r>
              <w:rPr>
                <w:color w:val="000000"/>
                <w:sz w:val="24"/>
              </w:rPr>
              <w:t>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proofErr w:type="gramStart"/>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w:t>
            </w:r>
            <w:proofErr w:type="gramEnd"/>
            <w:r>
              <w:rPr>
                <w:color w:val="000000"/>
                <w:sz w:val="24"/>
              </w:rPr>
              <w:t>保本混合型证券投资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proofErr w:type="gramStart"/>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w:t>
            </w:r>
            <w:proofErr w:type="gramEnd"/>
            <w:r>
              <w:rPr>
                <w:color w:val="000000"/>
                <w:sz w:val="24"/>
              </w:rPr>
              <w:t>货币市场证券投资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w:t>
            </w:r>
            <w:proofErr w:type="gramStart"/>
            <w:r>
              <w:rPr>
                <w:color w:val="000000"/>
                <w:sz w:val="24"/>
              </w:rPr>
              <w:t>任银华纯债</w:t>
            </w:r>
            <w:proofErr w:type="gramEnd"/>
            <w:r>
              <w:rPr>
                <w:color w:val="000000"/>
                <w:sz w:val="24"/>
              </w:rPr>
              <w:t>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w:t>
            </w:r>
            <w:proofErr w:type="gramStart"/>
            <w:r>
              <w:rPr>
                <w:color w:val="000000"/>
                <w:sz w:val="24"/>
              </w:rPr>
              <w:t>任银华交易</w:t>
            </w:r>
            <w:proofErr w:type="gramEnd"/>
            <w:r>
              <w:rPr>
                <w:color w:val="000000"/>
                <w:sz w:val="24"/>
              </w:rPr>
              <w:t>型货币市场</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信用四季红债券型证券投资</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信用季季红债券型证券投资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信用债券型证券投资基金</w:t>
            </w:r>
            <w:r>
              <w:rPr>
                <w:color w:val="000000"/>
                <w:sz w:val="24"/>
              </w:rPr>
              <w:t>(LOF)</w:t>
            </w:r>
            <w:r>
              <w:rPr>
                <w:color w:val="000000"/>
                <w:sz w:val="24"/>
              </w:rPr>
              <w:t>基金经理。</w:t>
            </w:r>
            <w:r w:rsidR="00AC171A" w:rsidRPr="00AC171A">
              <w:rPr>
                <w:rFonts w:hint="eastAsia"/>
                <w:color w:val="000000"/>
                <w:sz w:val="24"/>
              </w:rPr>
              <w:t>2016</w:t>
            </w:r>
            <w:r w:rsidR="00AC171A" w:rsidRPr="00AC171A">
              <w:rPr>
                <w:rFonts w:hint="eastAsia"/>
                <w:color w:val="000000"/>
                <w:sz w:val="24"/>
              </w:rPr>
              <w:t>年加入交银施罗德基金管理有限公司。</w:t>
            </w:r>
            <w:r w:rsidR="00AC171A" w:rsidRPr="00AC171A">
              <w:rPr>
                <w:rFonts w:hint="eastAsia"/>
                <w:color w:val="000000"/>
                <w:sz w:val="24"/>
              </w:rPr>
              <w:t>2017</w:t>
            </w:r>
            <w:r w:rsidR="00AC171A" w:rsidRPr="00AC171A">
              <w:rPr>
                <w:rFonts w:hint="eastAsia"/>
                <w:color w:val="000000"/>
                <w:sz w:val="24"/>
              </w:rPr>
              <w:t>年</w:t>
            </w:r>
            <w:r w:rsidR="00AC171A" w:rsidRPr="00AC171A">
              <w:rPr>
                <w:rFonts w:hint="eastAsia"/>
                <w:color w:val="000000"/>
                <w:sz w:val="24"/>
              </w:rPr>
              <w:t>6</w:t>
            </w:r>
            <w:r w:rsidR="00AC171A" w:rsidRPr="00AC171A">
              <w:rPr>
                <w:rFonts w:hint="eastAsia"/>
                <w:color w:val="000000"/>
                <w:sz w:val="24"/>
              </w:rPr>
              <w:t>月</w:t>
            </w:r>
            <w:r w:rsidR="00AC171A" w:rsidRPr="00AC171A">
              <w:rPr>
                <w:rFonts w:hint="eastAsia"/>
                <w:color w:val="000000"/>
                <w:sz w:val="24"/>
              </w:rPr>
              <w:t>10</w:t>
            </w:r>
            <w:r w:rsidR="00AC171A" w:rsidRPr="00AC171A">
              <w:rPr>
                <w:rFonts w:hint="eastAsia"/>
                <w:color w:val="000000"/>
                <w:sz w:val="24"/>
              </w:rPr>
              <w:t>日至</w:t>
            </w:r>
            <w:r w:rsidR="00AC171A" w:rsidRPr="00AC171A">
              <w:rPr>
                <w:rFonts w:hint="eastAsia"/>
                <w:color w:val="000000"/>
                <w:sz w:val="24"/>
              </w:rPr>
              <w:t>2018</w:t>
            </w:r>
            <w:r w:rsidR="00AC171A" w:rsidRPr="00AC171A">
              <w:rPr>
                <w:rFonts w:hint="eastAsia"/>
                <w:color w:val="000000"/>
                <w:sz w:val="24"/>
              </w:rPr>
              <w:t>年</w:t>
            </w:r>
            <w:r w:rsidR="00AC171A" w:rsidRPr="00AC171A">
              <w:rPr>
                <w:rFonts w:hint="eastAsia"/>
                <w:color w:val="000000"/>
                <w:sz w:val="24"/>
              </w:rPr>
              <w:t>7</w:t>
            </w:r>
            <w:r w:rsidR="00AC171A" w:rsidRPr="00AC171A">
              <w:rPr>
                <w:rFonts w:hint="eastAsia"/>
                <w:color w:val="000000"/>
                <w:sz w:val="24"/>
              </w:rPr>
              <w:t>月</w:t>
            </w:r>
            <w:r w:rsidR="00AC171A" w:rsidRPr="00AC171A">
              <w:rPr>
                <w:rFonts w:hint="eastAsia"/>
                <w:color w:val="000000"/>
                <w:sz w:val="24"/>
              </w:rPr>
              <w:t>18</w:t>
            </w:r>
            <w:r w:rsidR="00AC171A" w:rsidRPr="00AC171A">
              <w:rPr>
                <w:rFonts w:hint="eastAsia"/>
                <w:color w:val="000000"/>
                <w:sz w:val="24"/>
              </w:rPr>
              <w:t>日担任交银施罗德丰硕收益债券型证券投资基金的基金经理。</w:t>
            </w:r>
            <w:r w:rsidR="00AC171A" w:rsidRPr="00AC171A">
              <w:rPr>
                <w:rFonts w:hint="eastAsia"/>
                <w:color w:val="000000"/>
                <w:sz w:val="24"/>
              </w:rPr>
              <w:t>2017</w:t>
            </w:r>
            <w:r w:rsidR="00AC171A" w:rsidRPr="00AC171A">
              <w:rPr>
                <w:rFonts w:hint="eastAsia"/>
                <w:color w:val="000000"/>
                <w:sz w:val="24"/>
              </w:rPr>
              <w:t>年</w:t>
            </w:r>
            <w:r w:rsidR="00AC171A" w:rsidRPr="00AC171A">
              <w:rPr>
                <w:rFonts w:hint="eastAsia"/>
                <w:color w:val="000000"/>
                <w:sz w:val="24"/>
              </w:rPr>
              <w:t>6</w:t>
            </w:r>
            <w:r w:rsidR="00AC171A" w:rsidRPr="00AC171A">
              <w:rPr>
                <w:rFonts w:hint="eastAsia"/>
                <w:color w:val="000000"/>
                <w:sz w:val="24"/>
              </w:rPr>
              <w:t>月</w:t>
            </w:r>
            <w:r w:rsidR="00AC171A" w:rsidRPr="00AC171A">
              <w:rPr>
                <w:rFonts w:hint="eastAsia"/>
                <w:color w:val="000000"/>
                <w:sz w:val="24"/>
              </w:rPr>
              <w:t>10</w:t>
            </w:r>
            <w:r w:rsidR="00AC171A" w:rsidRPr="00AC171A">
              <w:rPr>
                <w:rFonts w:hint="eastAsia"/>
                <w:color w:val="000000"/>
                <w:sz w:val="24"/>
              </w:rPr>
              <w:t>日至</w:t>
            </w:r>
            <w:r w:rsidR="00AC171A" w:rsidRPr="00AC171A">
              <w:rPr>
                <w:rFonts w:hint="eastAsia"/>
                <w:color w:val="000000"/>
                <w:sz w:val="24"/>
              </w:rPr>
              <w:t>2019</w:t>
            </w:r>
            <w:r w:rsidR="00AC171A" w:rsidRPr="00AC171A">
              <w:rPr>
                <w:rFonts w:hint="eastAsia"/>
                <w:color w:val="000000"/>
                <w:sz w:val="24"/>
              </w:rPr>
              <w:t>年</w:t>
            </w:r>
            <w:r w:rsidR="00AC171A" w:rsidRPr="00AC171A">
              <w:rPr>
                <w:rFonts w:hint="eastAsia"/>
                <w:color w:val="000000"/>
                <w:sz w:val="24"/>
              </w:rPr>
              <w:t>3</w:t>
            </w:r>
            <w:r w:rsidR="00AC171A" w:rsidRPr="00AC171A">
              <w:rPr>
                <w:rFonts w:hint="eastAsia"/>
                <w:color w:val="000000"/>
                <w:sz w:val="24"/>
              </w:rPr>
              <w:t>月</w:t>
            </w:r>
            <w:r w:rsidR="00AC171A" w:rsidRPr="00AC171A">
              <w:rPr>
                <w:rFonts w:hint="eastAsia"/>
                <w:color w:val="000000"/>
                <w:sz w:val="24"/>
              </w:rPr>
              <w:t>14</w:t>
            </w:r>
            <w:r w:rsidR="00AC171A" w:rsidRPr="00AC171A">
              <w:rPr>
                <w:rFonts w:hint="eastAsia"/>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bookmarkStart w:id="49" w:name="_GoBack"/>
            <w:bookmarkEnd w:id="49"/>
          </w:p>
        </w:tc>
      </w:tr>
      <w:tr w:rsidR="00644057">
        <w:tc>
          <w:tcPr>
            <w:tcW w:w="1276" w:type="dxa"/>
            <w:vAlign w:val="center"/>
          </w:tcPr>
          <w:p w:rsidR="00644057" w:rsidRDefault="00A20092">
            <w:pPr>
              <w:jc w:val="center"/>
            </w:pPr>
            <w:r>
              <w:rPr>
                <w:color w:val="000000"/>
                <w:sz w:val="24"/>
              </w:rPr>
              <w:t>魏玉敏</w:t>
            </w:r>
          </w:p>
        </w:tc>
        <w:tc>
          <w:tcPr>
            <w:tcW w:w="1134" w:type="dxa"/>
            <w:vAlign w:val="center"/>
          </w:tcPr>
          <w:p w:rsidR="00644057" w:rsidRDefault="00A20092">
            <w:pPr>
              <w:jc w:val="center"/>
            </w:pPr>
            <w:r>
              <w:rPr>
                <w:color w:val="000000"/>
                <w:sz w:val="24"/>
              </w:rPr>
              <w:t>交银增利债券、交</w:t>
            </w:r>
            <w:proofErr w:type="gramStart"/>
            <w:r>
              <w:rPr>
                <w:color w:val="000000"/>
                <w:sz w:val="24"/>
              </w:rPr>
              <w:t>银纯债</w:t>
            </w:r>
            <w:proofErr w:type="gramEnd"/>
            <w:r>
              <w:rPr>
                <w:color w:val="000000"/>
                <w:sz w:val="24"/>
              </w:rPr>
              <w:t>债券发起、交银丰润收益债券、交银增利增强债券、交银丰晟收益债券、交银</w:t>
            </w:r>
            <w:proofErr w:type="gramStart"/>
            <w:r>
              <w:rPr>
                <w:color w:val="000000"/>
                <w:sz w:val="24"/>
              </w:rPr>
              <w:t>裕如纯债债券</w:t>
            </w:r>
            <w:proofErr w:type="gramEnd"/>
            <w:r>
              <w:rPr>
                <w:color w:val="000000"/>
                <w:sz w:val="24"/>
              </w:rPr>
              <w:t>、交银中债</w:t>
            </w:r>
            <w:r>
              <w:rPr>
                <w:color w:val="000000"/>
                <w:sz w:val="24"/>
              </w:rPr>
              <w:t>1-3</w:t>
            </w:r>
            <w:r>
              <w:rPr>
                <w:color w:val="000000"/>
                <w:sz w:val="24"/>
              </w:rPr>
              <w:t>年农发债指数、交银可转债债券、</w:t>
            </w:r>
            <w:proofErr w:type="gramStart"/>
            <w:r>
              <w:rPr>
                <w:color w:val="000000"/>
                <w:sz w:val="24"/>
              </w:rPr>
              <w:t>交银裕泰</w:t>
            </w:r>
            <w:proofErr w:type="gramEnd"/>
            <w:r>
              <w:rPr>
                <w:color w:val="000000"/>
                <w:sz w:val="24"/>
              </w:rPr>
              <w:t>两年定期开放债券的基金经理</w:t>
            </w:r>
          </w:p>
        </w:tc>
        <w:tc>
          <w:tcPr>
            <w:tcW w:w="1418" w:type="dxa"/>
            <w:vAlign w:val="center"/>
          </w:tcPr>
          <w:p w:rsidR="00644057" w:rsidRDefault="00A20092">
            <w:pPr>
              <w:jc w:val="center"/>
            </w:pPr>
            <w:r>
              <w:rPr>
                <w:color w:val="000000"/>
                <w:sz w:val="24"/>
              </w:rPr>
              <w:t>2018-08-29</w:t>
            </w:r>
          </w:p>
        </w:tc>
        <w:tc>
          <w:tcPr>
            <w:tcW w:w="1275" w:type="dxa"/>
            <w:vAlign w:val="center"/>
          </w:tcPr>
          <w:p w:rsidR="00644057" w:rsidRDefault="00A20092">
            <w:pPr>
              <w:jc w:val="center"/>
            </w:pPr>
            <w:r>
              <w:rPr>
                <w:color w:val="000000"/>
                <w:sz w:val="24"/>
              </w:rPr>
              <w:t>-</w:t>
            </w:r>
          </w:p>
        </w:tc>
        <w:tc>
          <w:tcPr>
            <w:tcW w:w="993" w:type="dxa"/>
            <w:vAlign w:val="center"/>
          </w:tcPr>
          <w:p w:rsidR="00644057" w:rsidRDefault="00A20092">
            <w:pPr>
              <w:jc w:val="center"/>
            </w:pPr>
            <w:r>
              <w:rPr>
                <w:color w:val="000000"/>
                <w:sz w:val="24"/>
              </w:rPr>
              <w:t>7</w:t>
            </w:r>
            <w:r>
              <w:rPr>
                <w:color w:val="000000"/>
                <w:sz w:val="24"/>
              </w:rPr>
              <w:t>年</w:t>
            </w:r>
          </w:p>
        </w:tc>
        <w:tc>
          <w:tcPr>
            <w:tcW w:w="2902" w:type="dxa"/>
            <w:vAlign w:val="center"/>
          </w:tcPr>
          <w:p w:rsidR="00644057" w:rsidRDefault="00A20092">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644057" w:rsidRDefault="00A2009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644057" w:rsidRDefault="00A20092" w:rsidP="00BF0ABE">
      <w:pPr>
        <w:tabs>
          <w:tab w:val="left" w:pos="426"/>
        </w:tabs>
        <w:spacing w:before="29" w:line="288" w:lineRule="auto"/>
        <w:ind w:firstLineChars="200" w:firstLine="480"/>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BF0ABE">
      <w:pPr>
        <w:tabs>
          <w:tab w:val="left" w:pos="426"/>
        </w:tabs>
        <w:spacing w:before="29" w:line="288" w:lineRule="auto"/>
        <w:ind w:firstLineChars="200" w:firstLine="480"/>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945C0B" w:rsidRDefault="001A59F9" w:rsidP="00945C0B">
      <w:pPr>
        <w:pStyle w:val="20"/>
        <w:spacing w:before="29" w:after="0" w:line="288" w:lineRule="auto"/>
        <w:rPr>
          <w:rFonts w:ascii="Times New Roman" w:hAnsi="Times New Roman"/>
          <w:kern w:val="0"/>
          <w:szCs w:val="24"/>
        </w:rPr>
      </w:pPr>
      <w:bookmarkStart w:id="50" w:name="_Toc225498256"/>
      <w:bookmarkStart w:id="51" w:name="_Toc361324856"/>
      <w:bookmarkStart w:id="52" w:name="_Toc35966193"/>
      <w:r w:rsidRPr="00945C0B">
        <w:rPr>
          <w:rFonts w:ascii="Times New Roman" w:hAnsi="Times New Roman"/>
          <w:kern w:val="0"/>
          <w:szCs w:val="24"/>
        </w:rPr>
        <w:t xml:space="preserve">4.2 </w:t>
      </w:r>
      <w:r w:rsidRPr="00945C0B">
        <w:rPr>
          <w:rFonts w:ascii="Times New Roman" w:hAnsi="Times New Roman" w:hint="eastAsia"/>
          <w:kern w:val="0"/>
          <w:szCs w:val="24"/>
        </w:rPr>
        <w:t>管理人对报告期内本基金运作遵规守信情况的说明</w:t>
      </w:r>
      <w:bookmarkEnd w:id="50"/>
      <w:bookmarkEnd w:id="51"/>
      <w:bookmarkEnd w:id="52"/>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945C0B" w:rsidRDefault="001A59F9" w:rsidP="00945C0B">
      <w:pPr>
        <w:pStyle w:val="20"/>
        <w:spacing w:before="29" w:after="0" w:line="288" w:lineRule="auto"/>
        <w:rPr>
          <w:rFonts w:ascii="Times New Roman" w:hAnsi="Times New Roman"/>
          <w:kern w:val="0"/>
          <w:szCs w:val="24"/>
        </w:rPr>
      </w:pPr>
      <w:bookmarkStart w:id="53" w:name="_Toc225498257"/>
      <w:bookmarkStart w:id="54" w:name="_Toc361324857"/>
      <w:bookmarkStart w:id="55" w:name="_Toc35966194"/>
      <w:r w:rsidRPr="00945C0B">
        <w:rPr>
          <w:rFonts w:ascii="Times New Roman" w:hAnsi="Times New Roman"/>
          <w:kern w:val="0"/>
          <w:szCs w:val="24"/>
        </w:rPr>
        <w:t xml:space="preserve">4.3 </w:t>
      </w:r>
      <w:r w:rsidRPr="00945C0B">
        <w:rPr>
          <w:rFonts w:ascii="Times New Roman" w:hAnsi="Times New Roman" w:hint="eastAsia"/>
          <w:kern w:val="0"/>
          <w:szCs w:val="24"/>
        </w:rPr>
        <w:t>管理人对报告期内公平交易情况的专项说明</w:t>
      </w:r>
      <w:bookmarkEnd w:id="53"/>
      <w:bookmarkEnd w:id="54"/>
      <w:bookmarkEnd w:id="55"/>
    </w:p>
    <w:p w:rsidR="001A59F9" w:rsidRPr="00945C0B" w:rsidRDefault="001A59F9" w:rsidP="00945C0B">
      <w:pPr>
        <w:pStyle w:val="20"/>
        <w:spacing w:before="29" w:after="0" w:line="288" w:lineRule="auto"/>
        <w:rPr>
          <w:rFonts w:ascii="Times New Roman" w:hAnsi="Times New Roman"/>
          <w:kern w:val="0"/>
          <w:szCs w:val="24"/>
        </w:rPr>
      </w:pPr>
      <w:bookmarkStart w:id="56" w:name="_Toc35966195"/>
      <w:r w:rsidRPr="00945C0B">
        <w:rPr>
          <w:rFonts w:ascii="Times New Roman" w:hAnsi="Times New Roman"/>
          <w:kern w:val="0"/>
          <w:szCs w:val="24"/>
        </w:rPr>
        <w:t>4.3.1</w:t>
      </w:r>
      <w:r w:rsidRPr="00945C0B">
        <w:rPr>
          <w:rFonts w:ascii="Times New Roman" w:hAnsi="Times New Roman" w:hint="eastAsia"/>
          <w:kern w:val="0"/>
          <w:szCs w:val="24"/>
        </w:rPr>
        <w:t>公平交易制度和控制方法</w:t>
      </w:r>
      <w:bookmarkEnd w:id="56"/>
    </w:p>
    <w:p w:rsidR="00644057" w:rsidRDefault="00A20092">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44057" w:rsidRDefault="00A20092">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644057" w:rsidRDefault="00A20092">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644057" w:rsidRDefault="00A20092">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644057" w:rsidRDefault="00A20092">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945C0B" w:rsidRDefault="001A59F9" w:rsidP="00945C0B">
      <w:pPr>
        <w:pStyle w:val="20"/>
        <w:spacing w:before="29" w:after="0" w:line="288" w:lineRule="auto"/>
        <w:rPr>
          <w:rFonts w:ascii="Times New Roman" w:hAnsi="Times New Roman"/>
          <w:kern w:val="0"/>
          <w:szCs w:val="24"/>
        </w:rPr>
      </w:pPr>
      <w:bookmarkStart w:id="57" w:name="_Toc35966196"/>
      <w:r w:rsidRPr="00945C0B">
        <w:rPr>
          <w:rFonts w:ascii="Times New Roman" w:hAnsi="Times New Roman"/>
          <w:kern w:val="0"/>
          <w:szCs w:val="24"/>
        </w:rPr>
        <w:t>4.3.2</w:t>
      </w:r>
      <w:r w:rsidRPr="00945C0B">
        <w:rPr>
          <w:rFonts w:ascii="Times New Roman" w:hAnsi="Times New Roman" w:hint="eastAsia"/>
          <w:kern w:val="0"/>
          <w:szCs w:val="24"/>
        </w:rPr>
        <w:t>公平交易制度的执行情况</w:t>
      </w:r>
      <w:bookmarkEnd w:id="57"/>
    </w:p>
    <w:p w:rsidR="00644057" w:rsidRDefault="00A20092">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44057" w:rsidRDefault="00A20092">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644057" w:rsidRDefault="00A20092">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945C0B" w:rsidRDefault="001A59F9" w:rsidP="00945C0B">
      <w:pPr>
        <w:pStyle w:val="20"/>
        <w:spacing w:before="29" w:after="0" w:line="288" w:lineRule="auto"/>
        <w:rPr>
          <w:rFonts w:ascii="Times New Roman" w:hAnsi="Times New Roman"/>
          <w:kern w:val="0"/>
          <w:szCs w:val="24"/>
        </w:rPr>
      </w:pPr>
      <w:bookmarkStart w:id="58" w:name="_Toc35966197"/>
      <w:r w:rsidRPr="00945C0B">
        <w:rPr>
          <w:rFonts w:ascii="Times New Roman" w:hAnsi="Times New Roman"/>
          <w:kern w:val="0"/>
          <w:szCs w:val="24"/>
        </w:rPr>
        <w:t>4.3.3</w:t>
      </w:r>
      <w:r w:rsidRPr="00945C0B">
        <w:rPr>
          <w:rFonts w:ascii="Times New Roman" w:hAnsi="Times New Roman" w:hint="eastAsia"/>
          <w:kern w:val="0"/>
          <w:szCs w:val="24"/>
        </w:rPr>
        <w:t>异常交易行为的专项说明</w:t>
      </w:r>
      <w:bookmarkEnd w:id="58"/>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本基金于本报告期内未发现异常交易行为。本报告期内，本公司管理的所有投资组合参与的交易所公开竞价同日反向交易成交较少的单边交易量超过该证券当日总成交量</w:t>
      </w:r>
      <w:r w:rsidRPr="00A40DA7">
        <w:rPr>
          <w:kern w:val="0"/>
          <w:sz w:val="24"/>
        </w:rPr>
        <w:t>5%</w:t>
      </w:r>
      <w:r w:rsidRPr="00A40DA7">
        <w:rPr>
          <w:kern w:val="0"/>
          <w:sz w:val="24"/>
        </w:rPr>
        <w:t>的情况有</w:t>
      </w:r>
      <w:r w:rsidRPr="00A40DA7">
        <w:rPr>
          <w:kern w:val="0"/>
          <w:sz w:val="24"/>
        </w:rPr>
        <w:t>1</w:t>
      </w:r>
      <w:r w:rsidRPr="00A40DA7">
        <w:rPr>
          <w:kern w:val="0"/>
          <w:sz w:val="24"/>
        </w:rPr>
        <w:t>次，是投资</w:t>
      </w:r>
      <w:proofErr w:type="gramStart"/>
      <w:r w:rsidRPr="00A40DA7">
        <w:rPr>
          <w:kern w:val="0"/>
          <w:sz w:val="24"/>
        </w:rPr>
        <w:t>组合因</w:t>
      </w:r>
      <w:proofErr w:type="gramEnd"/>
      <w:r w:rsidRPr="00A40DA7">
        <w:rPr>
          <w:kern w:val="0"/>
          <w:sz w:val="24"/>
        </w:rPr>
        <w:t>投资策略需要而发生同日反向交易，未发现不公平交易和利益输送的情况。本基金与本公司管理的其他投资组合在不同时间窗下（如日内、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日内）同向交易的交易价差未发现异常。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945C0B" w:rsidRDefault="001A59F9" w:rsidP="00945C0B">
      <w:pPr>
        <w:pStyle w:val="20"/>
        <w:spacing w:before="29" w:after="0" w:line="288" w:lineRule="auto"/>
        <w:rPr>
          <w:rFonts w:ascii="Times New Roman" w:hAnsi="Times New Roman"/>
          <w:kern w:val="0"/>
          <w:szCs w:val="24"/>
        </w:rPr>
      </w:pPr>
      <w:bookmarkStart w:id="59" w:name="_Toc225498258"/>
      <w:bookmarkStart w:id="60" w:name="_Toc361324858"/>
      <w:bookmarkStart w:id="61" w:name="_Toc35966198"/>
      <w:r w:rsidRPr="00945C0B">
        <w:rPr>
          <w:rFonts w:ascii="Times New Roman" w:hAnsi="Times New Roman"/>
          <w:kern w:val="0"/>
          <w:szCs w:val="24"/>
        </w:rPr>
        <w:t xml:space="preserve">4.4 </w:t>
      </w:r>
      <w:r w:rsidRPr="00945C0B">
        <w:rPr>
          <w:rFonts w:ascii="Times New Roman" w:hAnsi="Times New Roman" w:hint="eastAsia"/>
          <w:kern w:val="0"/>
          <w:szCs w:val="24"/>
        </w:rPr>
        <w:t>管理人对报告期内基金的投资策略和业绩表现的说明</w:t>
      </w:r>
      <w:bookmarkEnd w:id="59"/>
      <w:bookmarkEnd w:id="60"/>
      <w:bookmarkEnd w:id="61"/>
    </w:p>
    <w:p w:rsidR="001A59F9" w:rsidRPr="00945C0B" w:rsidRDefault="001A59F9" w:rsidP="00945C0B">
      <w:pPr>
        <w:pStyle w:val="20"/>
        <w:spacing w:before="29" w:after="0" w:line="288" w:lineRule="auto"/>
        <w:rPr>
          <w:rFonts w:ascii="Times New Roman" w:hAnsi="Times New Roman"/>
          <w:kern w:val="0"/>
          <w:szCs w:val="24"/>
        </w:rPr>
      </w:pPr>
      <w:bookmarkStart w:id="62" w:name="_Toc35966199"/>
      <w:r w:rsidRPr="00945C0B">
        <w:rPr>
          <w:rFonts w:ascii="Times New Roman" w:hAnsi="Times New Roman"/>
          <w:kern w:val="0"/>
          <w:szCs w:val="24"/>
        </w:rPr>
        <w:t>4.4.1</w:t>
      </w:r>
      <w:r w:rsidRPr="00945C0B">
        <w:rPr>
          <w:rFonts w:ascii="Times New Roman" w:hAnsi="Times New Roman" w:hint="eastAsia"/>
          <w:kern w:val="0"/>
          <w:szCs w:val="24"/>
        </w:rPr>
        <w:t>报告期内基金投资策略和运作分析</w:t>
      </w:r>
      <w:bookmarkEnd w:id="62"/>
    </w:p>
    <w:p w:rsidR="00644057" w:rsidRDefault="00A20092">
      <w:pPr>
        <w:spacing w:before="29" w:line="288" w:lineRule="auto"/>
        <w:ind w:firstLineChars="200" w:firstLine="480"/>
        <w:rPr>
          <w:kern w:val="0"/>
          <w:sz w:val="24"/>
        </w:rPr>
      </w:pPr>
      <w:r>
        <w:rPr>
          <w:kern w:val="0"/>
          <w:sz w:val="24"/>
        </w:rPr>
        <w:t>2019</w:t>
      </w:r>
      <w:r>
        <w:rPr>
          <w:kern w:val="0"/>
          <w:sz w:val="24"/>
        </w:rPr>
        <w:t>年债市整体区间震荡，经济数据季节性波动、贸易摩擦反复、通胀预期灵活多变不断影响着债券市场，长</w:t>
      </w:r>
      <w:proofErr w:type="gramStart"/>
      <w:r>
        <w:rPr>
          <w:kern w:val="0"/>
          <w:sz w:val="24"/>
        </w:rPr>
        <w:t>端利率</w:t>
      </w:r>
      <w:proofErr w:type="gramEnd"/>
      <w:r>
        <w:rPr>
          <w:kern w:val="0"/>
          <w:sz w:val="24"/>
        </w:rPr>
        <w:t>在多空因素交织下窄幅波动，信用债表现好于利率债，收益率曲线整体陡峭化。具体运行节奏来看，五至八月和十一月由于资金面宽松、贸易摩擦升级和经济</w:t>
      </w:r>
      <w:proofErr w:type="gramStart"/>
      <w:r>
        <w:rPr>
          <w:kern w:val="0"/>
          <w:sz w:val="24"/>
        </w:rPr>
        <w:t>超数据</w:t>
      </w:r>
      <w:proofErr w:type="gramEnd"/>
      <w:r>
        <w:rPr>
          <w:kern w:val="0"/>
          <w:sz w:val="24"/>
        </w:rPr>
        <w:t>预期下行，债券市场收益率迅速下行，而在四月和九至十月，由于货币收紧预期升温、通胀压力和经济企稳预期，债券收益率震荡上行。</w:t>
      </w:r>
    </w:p>
    <w:p w:rsidR="001A59F9" w:rsidRPr="00A40DA7" w:rsidRDefault="001A59F9" w:rsidP="00A40DA7">
      <w:pPr>
        <w:spacing w:before="29" w:line="288" w:lineRule="auto"/>
        <w:ind w:firstLineChars="200" w:firstLine="480"/>
        <w:rPr>
          <w:kern w:val="0"/>
          <w:sz w:val="24"/>
        </w:rPr>
      </w:pPr>
      <w:r w:rsidRPr="00A40DA7">
        <w:rPr>
          <w:kern w:val="0"/>
          <w:sz w:val="24"/>
        </w:rPr>
        <w:t>报告期内，本基金继续</w:t>
      </w:r>
      <w:proofErr w:type="gramStart"/>
      <w:r w:rsidRPr="00A40DA7">
        <w:rPr>
          <w:kern w:val="0"/>
          <w:sz w:val="24"/>
        </w:rPr>
        <w:t>采用久期匹配</w:t>
      </w:r>
      <w:proofErr w:type="gramEnd"/>
      <w:r w:rsidRPr="00A40DA7">
        <w:rPr>
          <w:kern w:val="0"/>
          <w:sz w:val="24"/>
        </w:rPr>
        <w:t>策略配置信用债，并根据市场情况适时优化组合持仓。本基金以信用债为主要配置，充分利用杠杆，获得稳定的票息和杠杆收益。</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945C0B" w:rsidRDefault="001A59F9" w:rsidP="00945C0B">
      <w:pPr>
        <w:pStyle w:val="20"/>
        <w:spacing w:before="29" w:after="0" w:line="288" w:lineRule="auto"/>
        <w:rPr>
          <w:rFonts w:ascii="Times New Roman" w:hAnsi="Times New Roman"/>
          <w:kern w:val="0"/>
          <w:szCs w:val="24"/>
        </w:rPr>
      </w:pPr>
      <w:bookmarkStart w:id="63" w:name="_Toc35966200"/>
      <w:r w:rsidRPr="00945C0B">
        <w:rPr>
          <w:rFonts w:ascii="Times New Roman" w:hAnsi="Times New Roman"/>
          <w:kern w:val="0"/>
          <w:szCs w:val="24"/>
        </w:rPr>
        <w:t>4.4.2</w:t>
      </w:r>
      <w:r w:rsidRPr="00945C0B">
        <w:rPr>
          <w:rFonts w:ascii="Times New Roman" w:hAnsi="Times New Roman" w:hint="eastAsia"/>
          <w:kern w:val="0"/>
          <w:szCs w:val="24"/>
        </w:rPr>
        <w:t>报告期内基金的业绩表现</w:t>
      </w:r>
      <w:bookmarkEnd w:id="63"/>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945C0B" w:rsidRDefault="001A59F9" w:rsidP="00945C0B">
      <w:pPr>
        <w:pStyle w:val="20"/>
        <w:spacing w:before="29" w:after="0" w:line="288" w:lineRule="auto"/>
        <w:rPr>
          <w:rFonts w:ascii="Times New Roman" w:hAnsi="Times New Roman"/>
          <w:kern w:val="0"/>
          <w:szCs w:val="24"/>
        </w:rPr>
      </w:pPr>
      <w:bookmarkStart w:id="64" w:name="_Toc225498259"/>
      <w:bookmarkStart w:id="65" w:name="_Toc361324859"/>
      <w:bookmarkStart w:id="66" w:name="_Toc35966201"/>
      <w:r w:rsidRPr="00945C0B">
        <w:rPr>
          <w:rFonts w:ascii="Times New Roman" w:hAnsi="Times New Roman"/>
          <w:kern w:val="0"/>
          <w:szCs w:val="24"/>
        </w:rPr>
        <w:t xml:space="preserve">4.5 </w:t>
      </w:r>
      <w:r w:rsidRPr="00945C0B">
        <w:rPr>
          <w:rFonts w:ascii="Times New Roman" w:hAnsi="Times New Roman" w:hint="eastAsia"/>
          <w:kern w:val="0"/>
          <w:szCs w:val="24"/>
        </w:rPr>
        <w:t>管理人对宏观经济、证券市场及行业走势的简要展望</w:t>
      </w:r>
      <w:bookmarkEnd w:id="64"/>
      <w:bookmarkEnd w:id="65"/>
      <w:bookmarkEnd w:id="66"/>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2020</w:t>
      </w:r>
      <w:r w:rsidRPr="00A40DA7">
        <w:rPr>
          <w:kern w:val="0"/>
          <w:sz w:val="24"/>
        </w:rPr>
        <w:t>年，宏观经济内生动力较弱叠加政策托而不举，经济仍面临一定下行压力。一方面全球经济疲弱出口难见起色，而中国扩大对美进口对净出口形成拖累，地产投资在房住不炒的定位下延续缓慢下行趋势；另一方面，</w:t>
      </w:r>
      <w:proofErr w:type="gramStart"/>
      <w:r w:rsidRPr="00A40DA7">
        <w:rPr>
          <w:kern w:val="0"/>
          <w:sz w:val="24"/>
        </w:rPr>
        <w:t>稳增长</w:t>
      </w:r>
      <w:proofErr w:type="gramEnd"/>
      <w:r w:rsidRPr="00A40DA7">
        <w:rPr>
          <w:kern w:val="0"/>
          <w:sz w:val="24"/>
        </w:rPr>
        <w:t>政策发力对基建投资形成拉动，制造业投资和消费在长期下行之后对经济的拖累减弱。通胀年初录得高点之后逐渐回落，猪肉和油价供给弹性影响通胀预期，但结构性通胀对货币政策掣肘有限。整体来看，在</w:t>
      </w:r>
      <w:r w:rsidRPr="00A40DA7">
        <w:rPr>
          <w:kern w:val="0"/>
          <w:sz w:val="24"/>
        </w:rPr>
        <w:t>2020</w:t>
      </w:r>
      <w:r w:rsidRPr="00A40DA7">
        <w:rPr>
          <w:kern w:val="0"/>
          <w:sz w:val="24"/>
        </w:rPr>
        <w:t>年全面建成小康社会之年，政策基调以稳为主，操作上多基于底线思维，流动性预计保持合理充裕，</w:t>
      </w:r>
      <w:r w:rsidRPr="00A40DA7">
        <w:rPr>
          <w:kern w:val="0"/>
          <w:sz w:val="24"/>
        </w:rPr>
        <w:t>LPR</w:t>
      </w:r>
      <w:r w:rsidRPr="00A40DA7">
        <w:rPr>
          <w:kern w:val="0"/>
          <w:sz w:val="24"/>
        </w:rPr>
        <w:t>改革后宽信用效果将逐渐显现，预计长</w:t>
      </w:r>
      <w:proofErr w:type="gramStart"/>
      <w:r w:rsidRPr="00A40DA7">
        <w:rPr>
          <w:kern w:val="0"/>
          <w:sz w:val="24"/>
        </w:rPr>
        <w:t>端利率</w:t>
      </w:r>
      <w:proofErr w:type="gramEnd"/>
      <w:r w:rsidRPr="00A40DA7">
        <w:rPr>
          <w:kern w:val="0"/>
          <w:sz w:val="24"/>
        </w:rPr>
        <w:t>维持区间震荡格局，票息策略</w:t>
      </w:r>
      <w:proofErr w:type="gramStart"/>
      <w:r w:rsidRPr="00A40DA7">
        <w:rPr>
          <w:kern w:val="0"/>
          <w:sz w:val="24"/>
        </w:rPr>
        <w:t>优于久期策略</w:t>
      </w:r>
      <w:proofErr w:type="gramEnd"/>
      <w:r w:rsidRPr="00A40DA7">
        <w:rPr>
          <w:kern w:val="0"/>
          <w:sz w:val="24"/>
        </w:rPr>
        <w:t>。操作策略方面，组合将维持久期匹配的套息策略，控制组</w:t>
      </w:r>
      <w:proofErr w:type="gramStart"/>
      <w:r w:rsidRPr="00A40DA7">
        <w:rPr>
          <w:kern w:val="0"/>
          <w:sz w:val="24"/>
        </w:rPr>
        <w:t>合资金</w:t>
      </w:r>
      <w:proofErr w:type="gramEnd"/>
      <w:r w:rsidRPr="00A40DA7">
        <w:rPr>
          <w:kern w:val="0"/>
          <w:sz w:val="24"/>
        </w:rPr>
        <w:t>成本，以期获得较好的票息和杠杆收益，同时考虑封闭期临近到期，组合将逐步变现资产，做好流动性管理。</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945C0B" w:rsidRDefault="001A59F9" w:rsidP="00945C0B">
      <w:pPr>
        <w:pStyle w:val="20"/>
        <w:spacing w:before="29" w:after="0" w:line="288" w:lineRule="auto"/>
        <w:rPr>
          <w:rFonts w:ascii="Times New Roman" w:hAnsi="Times New Roman"/>
          <w:kern w:val="0"/>
          <w:szCs w:val="24"/>
        </w:rPr>
      </w:pPr>
      <w:bookmarkStart w:id="67" w:name="_Toc247959456"/>
      <w:bookmarkStart w:id="68" w:name="_Toc245801806"/>
      <w:bookmarkStart w:id="69" w:name="_Toc361324860"/>
      <w:bookmarkStart w:id="70" w:name="_Toc35966202"/>
      <w:r w:rsidRPr="00945C0B">
        <w:rPr>
          <w:rFonts w:ascii="Times New Roman" w:hAnsi="Times New Roman"/>
          <w:kern w:val="0"/>
          <w:szCs w:val="24"/>
        </w:rPr>
        <w:t xml:space="preserve">4.6 </w:t>
      </w:r>
      <w:r w:rsidRPr="00945C0B">
        <w:rPr>
          <w:rFonts w:ascii="Times New Roman" w:hAnsi="Times New Roman" w:hint="eastAsia"/>
          <w:kern w:val="0"/>
          <w:szCs w:val="24"/>
        </w:rPr>
        <w:t>管理人内部有关本基金的监察稽核工作情况</w:t>
      </w:r>
      <w:bookmarkEnd w:id="67"/>
      <w:bookmarkEnd w:id="68"/>
      <w:bookmarkEnd w:id="69"/>
      <w:bookmarkEnd w:id="70"/>
    </w:p>
    <w:p w:rsidR="00644057" w:rsidRDefault="00A20092">
      <w:pPr>
        <w:spacing w:before="29" w:line="288" w:lineRule="auto"/>
        <w:ind w:firstLineChars="200" w:firstLine="480"/>
        <w:rPr>
          <w:kern w:val="0"/>
          <w:sz w:val="24"/>
        </w:rPr>
      </w:pPr>
      <w:r>
        <w:rPr>
          <w:kern w:val="0"/>
          <w:sz w:val="24"/>
        </w:rPr>
        <w:t>2019</w:t>
      </w:r>
      <w:r>
        <w:rPr>
          <w:kern w:val="0"/>
          <w:sz w:val="24"/>
        </w:rPr>
        <w:t>年度，根据《证券投资基金法》等法律法规及有关要求，本基金管理人诚实守信、勤勉尽责，依法履行基金管理人职责，落实风险控制，强化合</w:t>
      </w:r>
      <w:proofErr w:type="gramStart"/>
      <w:r>
        <w:rPr>
          <w:kern w:val="0"/>
          <w:sz w:val="24"/>
        </w:rPr>
        <w:t>规</w:t>
      </w:r>
      <w:proofErr w:type="gramEnd"/>
      <w:r>
        <w:rPr>
          <w:kern w:val="0"/>
          <w:sz w:val="24"/>
        </w:rPr>
        <w:t>管理职能，确保基金管理业务运作的安全、规范，保护基金投资人的合法权益。</w:t>
      </w:r>
    </w:p>
    <w:p w:rsidR="00644057" w:rsidRDefault="00A20092">
      <w:pPr>
        <w:spacing w:before="29" w:line="288" w:lineRule="auto"/>
        <w:ind w:firstLineChars="200" w:firstLine="480"/>
        <w:rPr>
          <w:kern w:val="0"/>
          <w:sz w:val="24"/>
        </w:rPr>
      </w:pPr>
      <w:r>
        <w:rPr>
          <w:kern w:val="0"/>
          <w:sz w:val="24"/>
        </w:rPr>
        <w:t>本报告期内，本基金管理人为了确保公司业务的规范运作，主要做了以下工作：</w:t>
      </w:r>
    </w:p>
    <w:p w:rsidR="00644057" w:rsidRDefault="00A20092">
      <w:pPr>
        <w:spacing w:before="29" w:line="288" w:lineRule="auto"/>
        <w:ind w:firstLineChars="200" w:firstLine="480"/>
        <w:rPr>
          <w:kern w:val="0"/>
          <w:sz w:val="24"/>
        </w:rPr>
      </w:pPr>
      <w:r>
        <w:rPr>
          <w:kern w:val="0"/>
          <w:sz w:val="24"/>
        </w:rPr>
        <w:t>（一）继续深化全面风险管理，提高风险控制有效性。</w:t>
      </w:r>
    </w:p>
    <w:p w:rsidR="00644057" w:rsidRDefault="00A20092">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644057" w:rsidRDefault="00A20092">
      <w:pPr>
        <w:spacing w:before="29" w:line="288" w:lineRule="auto"/>
        <w:ind w:firstLineChars="200" w:firstLine="480"/>
        <w:rPr>
          <w:kern w:val="0"/>
          <w:sz w:val="24"/>
        </w:rPr>
      </w:pPr>
      <w:r>
        <w:rPr>
          <w:kern w:val="0"/>
          <w:sz w:val="24"/>
        </w:rPr>
        <w:t>（二）全面开展内部监督检查，强化公司内部控制。</w:t>
      </w:r>
    </w:p>
    <w:p w:rsidR="00644057" w:rsidRDefault="00A20092">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644057" w:rsidRDefault="00A20092">
      <w:pPr>
        <w:spacing w:before="29" w:line="288" w:lineRule="auto"/>
        <w:ind w:firstLineChars="200" w:firstLine="480"/>
        <w:rPr>
          <w:kern w:val="0"/>
          <w:sz w:val="24"/>
        </w:rPr>
      </w:pPr>
      <w:r>
        <w:rPr>
          <w:kern w:val="0"/>
          <w:sz w:val="24"/>
        </w:rPr>
        <w:t>（三）强化全员合</w:t>
      </w:r>
      <w:proofErr w:type="gramStart"/>
      <w:r>
        <w:rPr>
          <w:kern w:val="0"/>
          <w:sz w:val="24"/>
        </w:rPr>
        <w:t>规</w:t>
      </w:r>
      <w:proofErr w:type="gramEnd"/>
      <w:r>
        <w:rPr>
          <w:kern w:val="0"/>
          <w:sz w:val="24"/>
        </w:rPr>
        <w:t>理念，突出重点，全面提升法律、合</w:t>
      </w:r>
      <w:proofErr w:type="gramStart"/>
      <w:r>
        <w:rPr>
          <w:kern w:val="0"/>
          <w:sz w:val="24"/>
        </w:rPr>
        <w:t>规</w:t>
      </w:r>
      <w:proofErr w:type="gramEnd"/>
      <w:r>
        <w:rPr>
          <w:kern w:val="0"/>
          <w:sz w:val="24"/>
        </w:rPr>
        <w:t>管理水平。</w:t>
      </w:r>
    </w:p>
    <w:p w:rsidR="00644057" w:rsidRDefault="00A20092">
      <w:pPr>
        <w:spacing w:before="29" w:line="288" w:lineRule="auto"/>
        <w:ind w:firstLineChars="200" w:firstLine="480"/>
        <w:rPr>
          <w:kern w:val="0"/>
          <w:sz w:val="24"/>
        </w:rPr>
      </w:pPr>
      <w:r>
        <w:rPr>
          <w:kern w:val="0"/>
          <w:sz w:val="24"/>
        </w:rPr>
        <w:t>公司法律合</w:t>
      </w:r>
      <w:proofErr w:type="gramStart"/>
      <w:r>
        <w:rPr>
          <w:kern w:val="0"/>
          <w:sz w:val="24"/>
        </w:rPr>
        <w:t>规</w:t>
      </w:r>
      <w:proofErr w:type="gramEnd"/>
      <w:r>
        <w:rPr>
          <w:kern w:val="0"/>
          <w:sz w:val="24"/>
        </w:rPr>
        <w:t>部门持续落实《合规管理办法》各项工作要求，进一步完善合</w:t>
      </w:r>
      <w:proofErr w:type="gramStart"/>
      <w:r>
        <w:rPr>
          <w:kern w:val="0"/>
          <w:sz w:val="24"/>
        </w:rPr>
        <w:t>规</w:t>
      </w:r>
      <w:proofErr w:type="gramEnd"/>
      <w:r>
        <w:rPr>
          <w:kern w:val="0"/>
          <w:sz w:val="24"/>
        </w:rPr>
        <w:t>管理体系化建设工作，全员合</w:t>
      </w:r>
      <w:proofErr w:type="gramStart"/>
      <w:r>
        <w:rPr>
          <w:kern w:val="0"/>
          <w:sz w:val="24"/>
        </w:rPr>
        <w:t>规</w:t>
      </w:r>
      <w:proofErr w:type="gramEnd"/>
      <w:r>
        <w:rPr>
          <w:kern w:val="0"/>
          <w:sz w:val="24"/>
        </w:rPr>
        <w:t>意识得以强化；全年着力推动全年新法规跟踪落实工作，认真分析潜在影响，督促新法规予以贯彻落实；重点推进公司制度体系化建设工作，以抓好制度建设助</w:t>
      </w:r>
      <w:proofErr w:type="gramStart"/>
      <w:r>
        <w:rPr>
          <w:kern w:val="0"/>
          <w:sz w:val="24"/>
        </w:rPr>
        <w:t>推公司合规</w:t>
      </w:r>
      <w:proofErr w:type="gramEnd"/>
      <w:r>
        <w:rPr>
          <w:kern w:val="0"/>
          <w:sz w:val="24"/>
        </w:rPr>
        <w:t>管理常态长效发展。</w:t>
      </w:r>
    </w:p>
    <w:p w:rsidR="00644057" w:rsidRDefault="00A20092">
      <w:pPr>
        <w:spacing w:before="29" w:line="288" w:lineRule="auto"/>
        <w:ind w:firstLineChars="200" w:firstLine="480"/>
        <w:rPr>
          <w:kern w:val="0"/>
          <w:sz w:val="24"/>
        </w:rPr>
      </w:pPr>
      <w:r>
        <w:rPr>
          <w:kern w:val="0"/>
          <w:sz w:val="24"/>
        </w:rPr>
        <w:t>（四）围绕行业热点、难点、重点问题，强化培训教育及合</w:t>
      </w:r>
      <w:proofErr w:type="gramStart"/>
      <w:r>
        <w:rPr>
          <w:kern w:val="0"/>
          <w:sz w:val="24"/>
        </w:rPr>
        <w:t>规</w:t>
      </w:r>
      <w:proofErr w:type="gramEnd"/>
      <w:r>
        <w:rPr>
          <w:kern w:val="0"/>
          <w:sz w:val="24"/>
        </w:rPr>
        <w:t>提示，持续提高全员风险合</w:t>
      </w:r>
      <w:proofErr w:type="gramStart"/>
      <w:r>
        <w:rPr>
          <w:kern w:val="0"/>
          <w:sz w:val="24"/>
        </w:rPr>
        <w:t>规</w:t>
      </w:r>
      <w:proofErr w:type="gramEnd"/>
      <w:r>
        <w:rPr>
          <w:kern w:val="0"/>
          <w:sz w:val="24"/>
        </w:rPr>
        <w:t>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w:t>
      </w:r>
      <w:proofErr w:type="gramStart"/>
      <w:r w:rsidRPr="00A40DA7">
        <w:rPr>
          <w:kern w:val="0"/>
          <w:sz w:val="24"/>
        </w:rPr>
        <w:t>规</w:t>
      </w:r>
      <w:proofErr w:type="gramEnd"/>
      <w:r w:rsidRPr="00A40DA7">
        <w:rPr>
          <w:kern w:val="0"/>
          <w:sz w:val="24"/>
        </w:rPr>
        <w:t>教育工作。公司围绕行业热点、重点、难点问题，组织开展了多场培训工作，加强重点领域合</w:t>
      </w:r>
      <w:proofErr w:type="gramStart"/>
      <w:r w:rsidRPr="00A40DA7">
        <w:rPr>
          <w:kern w:val="0"/>
          <w:sz w:val="24"/>
        </w:rPr>
        <w:t>规</w:t>
      </w:r>
      <w:proofErr w:type="gramEnd"/>
      <w:r w:rsidRPr="00A40DA7">
        <w:rPr>
          <w:kern w:val="0"/>
          <w:sz w:val="24"/>
        </w:rPr>
        <w:t>提示，加深了员工对新法规的理解及强化其风险合</w:t>
      </w:r>
      <w:proofErr w:type="gramStart"/>
      <w:r w:rsidRPr="00A40DA7">
        <w:rPr>
          <w:kern w:val="0"/>
          <w:sz w:val="24"/>
        </w:rPr>
        <w:t>规</w:t>
      </w:r>
      <w:proofErr w:type="gramEnd"/>
      <w:r w:rsidRPr="00A40DA7">
        <w:rPr>
          <w:kern w:val="0"/>
          <w:sz w:val="24"/>
        </w:rPr>
        <w:t>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945C0B" w:rsidRDefault="001A59F9" w:rsidP="00945C0B">
      <w:pPr>
        <w:pStyle w:val="20"/>
        <w:spacing w:before="29" w:after="0" w:line="288" w:lineRule="auto"/>
        <w:rPr>
          <w:rFonts w:ascii="Times New Roman" w:hAnsi="Times New Roman"/>
          <w:kern w:val="0"/>
          <w:szCs w:val="24"/>
        </w:rPr>
      </w:pPr>
      <w:bookmarkStart w:id="71" w:name="_Toc247959457"/>
      <w:bookmarkStart w:id="72" w:name="_Toc225570083"/>
      <w:bookmarkStart w:id="73" w:name="_Toc361324861"/>
      <w:bookmarkStart w:id="74" w:name="_Toc35966203"/>
      <w:r w:rsidRPr="00945C0B">
        <w:rPr>
          <w:rFonts w:ascii="Times New Roman" w:hAnsi="Times New Roman"/>
          <w:kern w:val="0"/>
          <w:szCs w:val="24"/>
        </w:rPr>
        <w:t xml:space="preserve">4.7 </w:t>
      </w:r>
      <w:r w:rsidRPr="00945C0B">
        <w:rPr>
          <w:rFonts w:ascii="Times New Roman" w:hAnsi="Times New Roman" w:hint="eastAsia"/>
          <w:kern w:val="0"/>
          <w:szCs w:val="24"/>
        </w:rPr>
        <w:t>管理人对报告期内基金估值程序等事项的说明</w:t>
      </w:r>
      <w:bookmarkEnd w:id="71"/>
      <w:bookmarkEnd w:id="72"/>
      <w:bookmarkEnd w:id="73"/>
      <w:bookmarkEnd w:id="74"/>
    </w:p>
    <w:p w:rsidR="00644057" w:rsidRDefault="00A20092">
      <w:pPr>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p>
    <w:p w:rsidR="00644057" w:rsidRDefault="00A20092">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945C0B" w:rsidRDefault="00BB731C" w:rsidP="00945C0B">
      <w:pPr>
        <w:pStyle w:val="20"/>
        <w:spacing w:before="29" w:after="0" w:line="288" w:lineRule="auto"/>
        <w:rPr>
          <w:rFonts w:ascii="Times New Roman" w:hAnsi="Times New Roman"/>
          <w:kern w:val="0"/>
          <w:szCs w:val="24"/>
        </w:rPr>
      </w:pPr>
      <w:bookmarkStart w:id="75" w:name="_Toc247959458"/>
      <w:bookmarkStart w:id="76" w:name="_Toc225570084"/>
      <w:bookmarkStart w:id="77" w:name="_Toc361324862"/>
      <w:bookmarkStart w:id="78" w:name="_Toc35966204"/>
      <w:r w:rsidRPr="00945C0B">
        <w:rPr>
          <w:rFonts w:ascii="Times New Roman" w:hAnsi="Times New Roman"/>
          <w:kern w:val="0"/>
          <w:szCs w:val="24"/>
        </w:rPr>
        <w:t>4.</w:t>
      </w:r>
      <w:r w:rsidRPr="00945C0B">
        <w:rPr>
          <w:rFonts w:ascii="Times New Roman" w:hAnsi="Times New Roman" w:hint="eastAsia"/>
          <w:kern w:val="0"/>
          <w:szCs w:val="24"/>
        </w:rPr>
        <w:t>8</w:t>
      </w:r>
      <w:r w:rsidRPr="00945C0B">
        <w:rPr>
          <w:rFonts w:ascii="Times New Roman" w:hAnsi="Times New Roman"/>
          <w:kern w:val="0"/>
          <w:szCs w:val="24"/>
        </w:rPr>
        <w:t>管理人对报告期内基金利润分配情况的说明</w:t>
      </w:r>
      <w:bookmarkEnd w:id="75"/>
      <w:bookmarkEnd w:id="76"/>
      <w:bookmarkEnd w:id="77"/>
      <w:bookmarkEnd w:id="78"/>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根据相关法律法规和基金合同的规定，本基金对上一年度及本报告期应分配的可供分配利润进行了收益分配，具体情况参见</w:t>
      </w:r>
      <w:r w:rsidRPr="00BB731C">
        <w:rPr>
          <w:kern w:val="0"/>
          <w:sz w:val="24"/>
        </w:rPr>
        <w:t>7.4.8.2</w:t>
      </w:r>
      <w:r w:rsidRPr="00BB731C">
        <w:rPr>
          <w:kern w:val="0"/>
          <w:sz w:val="24"/>
        </w:rPr>
        <w:t>资产负债表日后事项及</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945C0B" w:rsidRDefault="00BB731C" w:rsidP="00945C0B">
      <w:pPr>
        <w:pStyle w:val="20"/>
        <w:spacing w:before="29" w:after="0" w:line="288" w:lineRule="auto"/>
        <w:rPr>
          <w:rFonts w:ascii="Times New Roman" w:hAnsi="Times New Roman"/>
          <w:kern w:val="0"/>
          <w:szCs w:val="24"/>
        </w:rPr>
      </w:pPr>
      <w:bookmarkStart w:id="79" w:name="_Toc35966205"/>
      <w:r w:rsidRPr="00945C0B">
        <w:rPr>
          <w:rFonts w:ascii="Times New Roman" w:hAnsi="Times New Roman"/>
          <w:kern w:val="0"/>
          <w:szCs w:val="24"/>
        </w:rPr>
        <w:t>4.9</w:t>
      </w:r>
      <w:r w:rsidRPr="00945C0B">
        <w:rPr>
          <w:rFonts w:ascii="Times New Roman" w:hAnsi="Times New Roman" w:hint="eastAsia"/>
          <w:kern w:val="0"/>
          <w:szCs w:val="24"/>
        </w:rPr>
        <w:t>报告期内管理人对本基金持有人数或基金资产净值预警情形的说明</w:t>
      </w:r>
      <w:bookmarkEnd w:id="79"/>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80" w:name="_Toc225498263"/>
      <w:bookmarkStart w:id="81" w:name="_Toc361324864"/>
      <w:bookmarkStart w:id="82" w:name="_Toc35966206"/>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80"/>
      <w:bookmarkEnd w:id="81"/>
      <w:bookmarkEnd w:id="82"/>
    </w:p>
    <w:p w:rsidR="00DB6EA0" w:rsidRPr="00DB6EA0" w:rsidRDefault="00DB6EA0" w:rsidP="00DB6EA0"/>
    <w:p w:rsidR="001A59F9" w:rsidRPr="00945C0B" w:rsidRDefault="001A59F9" w:rsidP="00945C0B">
      <w:pPr>
        <w:pStyle w:val="20"/>
        <w:spacing w:before="29" w:after="0" w:line="288" w:lineRule="auto"/>
        <w:rPr>
          <w:rFonts w:ascii="Times New Roman" w:hAnsi="Times New Roman"/>
          <w:kern w:val="0"/>
          <w:szCs w:val="24"/>
        </w:rPr>
      </w:pPr>
      <w:bookmarkStart w:id="83" w:name="_Toc225498264"/>
      <w:bookmarkStart w:id="84" w:name="_Toc361324865"/>
      <w:bookmarkStart w:id="85" w:name="_Toc35966207"/>
      <w:r w:rsidRPr="00945C0B">
        <w:rPr>
          <w:rFonts w:ascii="Times New Roman" w:hAnsi="Times New Roman"/>
          <w:kern w:val="0"/>
          <w:szCs w:val="24"/>
        </w:rPr>
        <w:t xml:space="preserve">5.1 </w:t>
      </w:r>
      <w:r w:rsidRPr="00945C0B">
        <w:rPr>
          <w:rFonts w:ascii="Times New Roman" w:hAnsi="Times New Roman" w:hint="eastAsia"/>
          <w:kern w:val="0"/>
          <w:szCs w:val="24"/>
        </w:rPr>
        <w:t>报告期内本基金托管人遵规守信情况声明</w:t>
      </w:r>
      <w:bookmarkEnd w:id="83"/>
      <w:bookmarkEnd w:id="84"/>
      <w:bookmarkEnd w:id="85"/>
    </w:p>
    <w:p w:rsidR="001A59F9" w:rsidRPr="00A40DA7" w:rsidRDefault="001A59F9" w:rsidP="00A40DA7">
      <w:pPr>
        <w:spacing w:before="29" w:line="288" w:lineRule="auto"/>
        <w:ind w:firstLineChars="200" w:firstLine="480"/>
        <w:rPr>
          <w:kern w:val="0"/>
          <w:sz w:val="24"/>
        </w:rPr>
      </w:pPr>
      <w:r w:rsidRPr="00A40DA7">
        <w:rPr>
          <w:kern w:val="0"/>
          <w:sz w:val="24"/>
        </w:rPr>
        <w:t>招商银行具备完善的公司治理结构、内部稽核监控制度和风险控制制度，我行在履行托管职责中，严格遵守有关法律法规、托管协议的规定，尽职尽责地履行托管义务并安全保管托管资产。</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945C0B" w:rsidRDefault="001A59F9" w:rsidP="00945C0B">
      <w:pPr>
        <w:pStyle w:val="20"/>
        <w:spacing w:before="29" w:after="0" w:line="288" w:lineRule="auto"/>
        <w:rPr>
          <w:rFonts w:ascii="Times New Roman" w:hAnsi="Times New Roman"/>
          <w:kern w:val="0"/>
          <w:szCs w:val="24"/>
        </w:rPr>
      </w:pPr>
      <w:bookmarkStart w:id="86" w:name="_Toc225498265"/>
      <w:bookmarkStart w:id="87" w:name="_Toc361324866"/>
      <w:bookmarkStart w:id="88" w:name="_Toc35966208"/>
      <w:r w:rsidRPr="00945C0B">
        <w:rPr>
          <w:rFonts w:ascii="Times New Roman" w:hAnsi="Times New Roman"/>
          <w:kern w:val="0"/>
          <w:szCs w:val="24"/>
        </w:rPr>
        <w:t xml:space="preserve">5.2 </w:t>
      </w:r>
      <w:r w:rsidRPr="00945C0B">
        <w:rPr>
          <w:rFonts w:ascii="Times New Roman" w:hAnsi="Times New Roman" w:hint="eastAsia"/>
          <w:kern w:val="0"/>
          <w:szCs w:val="24"/>
        </w:rPr>
        <w:t>托管人对报告期内本基金投资运作遵规守信、净值计算、利润分配等情况的</w:t>
      </w:r>
      <w:bookmarkEnd w:id="86"/>
      <w:r w:rsidRPr="00945C0B">
        <w:rPr>
          <w:rFonts w:ascii="Times New Roman" w:hAnsi="Times New Roman" w:hint="eastAsia"/>
          <w:kern w:val="0"/>
          <w:szCs w:val="24"/>
        </w:rPr>
        <w:t>说明</w:t>
      </w:r>
      <w:bookmarkEnd w:id="87"/>
      <w:bookmarkEnd w:id="88"/>
    </w:p>
    <w:p w:rsidR="00644057" w:rsidRDefault="00A20092">
      <w:pPr>
        <w:spacing w:before="29" w:line="288" w:lineRule="auto"/>
        <w:ind w:firstLineChars="200" w:firstLine="480"/>
        <w:rPr>
          <w:kern w:val="0"/>
          <w:sz w:val="24"/>
        </w:rPr>
      </w:pPr>
      <w:r>
        <w:rPr>
          <w:kern w:val="0"/>
          <w:sz w:val="24"/>
        </w:rPr>
        <w:t>招商银行根据法律法规、托管协议约定的投资监督条款，对托管产品的投资行为进行监督，并根据监管要求履行报告义务。</w:t>
      </w:r>
    </w:p>
    <w:p w:rsidR="00644057" w:rsidRDefault="00A20092">
      <w:pPr>
        <w:spacing w:before="29" w:line="288" w:lineRule="auto"/>
        <w:ind w:firstLineChars="200" w:firstLine="480"/>
        <w:rPr>
          <w:kern w:val="0"/>
          <w:sz w:val="24"/>
        </w:rPr>
      </w:pPr>
      <w:r>
        <w:rPr>
          <w:kern w:val="0"/>
          <w:sz w:val="24"/>
        </w:rPr>
        <w:t>招商银行按照托管协议约定的统一记账方法和会计处理原则，独立地设置、登录和保管本产品的全套账册，进行会计核算和资产估值并与管理人建立对账机制。</w:t>
      </w:r>
    </w:p>
    <w:p w:rsidR="001A59F9" w:rsidRPr="00A40DA7" w:rsidRDefault="001A59F9" w:rsidP="00A40DA7">
      <w:pPr>
        <w:spacing w:before="29" w:line="288" w:lineRule="auto"/>
        <w:ind w:firstLineChars="200" w:firstLine="480"/>
        <w:rPr>
          <w:kern w:val="0"/>
          <w:sz w:val="24"/>
        </w:rPr>
      </w:pPr>
      <w:r w:rsidRPr="00A40DA7">
        <w:rPr>
          <w:kern w:val="0"/>
          <w:sz w:val="24"/>
        </w:rPr>
        <w:t>本年度报告中利润分配情况真实、准确。</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945C0B" w:rsidRDefault="001A59F9" w:rsidP="00945C0B">
      <w:pPr>
        <w:pStyle w:val="20"/>
        <w:spacing w:before="29" w:after="0" w:line="288" w:lineRule="auto"/>
        <w:rPr>
          <w:rFonts w:ascii="Times New Roman" w:hAnsi="Times New Roman"/>
          <w:kern w:val="0"/>
          <w:szCs w:val="24"/>
        </w:rPr>
      </w:pPr>
      <w:bookmarkStart w:id="89" w:name="_Toc225498266"/>
      <w:bookmarkStart w:id="90" w:name="_Toc361324867"/>
      <w:bookmarkStart w:id="91" w:name="_Toc35966209"/>
      <w:r w:rsidRPr="00945C0B">
        <w:rPr>
          <w:rFonts w:ascii="Times New Roman" w:hAnsi="Times New Roman"/>
          <w:kern w:val="0"/>
          <w:szCs w:val="24"/>
        </w:rPr>
        <w:t xml:space="preserve">5.3 </w:t>
      </w:r>
      <w:r w:rsidRPr="00945C0B">
        <w:rPr>
          <w:rFonts w:ascii="Times New Roman" w:hAnsi="Times New Roman" w:hint="eastAsia"/>
          <w:kern w:val="0"/>
          <w:szCs w:val="24"/>
        </w:rPr>
        <w:t>托管人对本年度报告中财务信息等内容的真实、准确和完整发表意见</w:t>
      </w:r>
      <w:bookmarkEnd w:id="89"/>
      <w:bookmarkEnd w:id="90"/>
      <w:bookmarkEnd w:id="91"/>
    </w:p>
    <w:p w:rsidR="001A59F9" w:rsidRDefault="001A59F9" w:rsidP="00A40DA7">
      <w:pPr>
        <w:spacing w:before="29" w:line="288" w:lineRule="auto"/>
        <w:ind w:firstLineChars="200" w:firstLine="480"/>
        <w:rPr>
          <w:kern w:val="0"/>
          <w:sz w:val="24"/>
        </w:rPr>
      </w:pPr>
      <w:r w:rsidRPr="00A40DA7">
        <w:rPr>
          <w:kern w:val="0"/>
          <w:sz w:val="24"/>
        </w:rPr>
        <w:t>本年度报告中财务指标、净值表现、财务会计报告、投资组合报告内容真实、准确，不存在虚假记载、误导性陈述或者重大遗漏。</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92" w:name="_Toc245801814"/>
      <w:bookmarkStart w:id="93" w:name="_Toc247959464"/>
      <w:bookmarkStart w:id="94" w:name="_Toc352255986"/>
      <w:bookmarkStart w:id="95" w:name="_Toc352256054"/>
      <w:bookmarkStart w:id="96" w:name="_Toc352331232"/>
      <w:bookmarkStart w:id="97" w:name="_Toc362424010"/>
      <w:bookmarkStart w:id="98" w:name="_Toc374459272"/>
      <w:bookmarkStart w:id="99" w:name="_Toc35966210"/>
      <w:bookmarkStart w:id="100"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92"/>
      <w:bookmarkEnd w:id="93"/>
      <w:bookmarkEnd w:id="94"/>
      <w:bookmarkEnd w:id="95"/>
      <w:bookmarkEnd w:id="96"/>
      <w:bookmarkEnd w:id="97"/>
      <w:bookmarkEnd w:id="98"/>
      <w:bookmarkEnd w:id="99"/>
    </w:p>
    <w:p w:rsidR="00B55BC5" w:rsidRDefault="00B55BC5" w:rsidP="00B55BC5">
      <w:pPr>
        <w:widowControl/>
        <w:spacing w:line="288" w:lineRule="auto"/>
        <w:jc w:val="right"/>
        <w:rPr>
          <w:rFonts w:eastAsiaTheme="minorEastAsia"/>
          <w:sz w:val="24"/>
        </w:rPr>
      </w:pPr>
      <w:r>
        <w:rPr>
          <w:rFonts w:eastAsiaTheme="minorEastAsia"/>
          <w:kern w:val="0"/>
          <w:sz w:val="24"/>
        </w:rPr>
        <w:t>普华永道</w:t>
      </w:r>
      <w:proofErr w:type="gramStart"/>
      <w:r>
        <w:rPr>
          <w:rFonts w:eastAsiaTheme="minorEastAsia"/>
          <w:kern w:val="0"/>
          <w:sz w:val="24"/>
        </w:rPr>
        <w:t>中天审字</w:t>
      </w:r>
      <w:proofErr w:type="gramEnd"/>
      <w:r>
        <w:rPr>
          <w:rFonts w:eastAsiaTheme="minorEastAsia"/>
          <w:kern w:val="0"/>
          <w:sz w:val="24"/>
        </w:rPr>
        <w:t>(2020)</w:t>
      </w:r>
      <w:r>
        <w:rPr>
          <w:rFonts w:eastAsiaTheme="minorEastAsia"/>
          <w:kern w:val="0"/>
          <w:sz w:val="24"/>
        </w:rPr>
        <w:t>第</w:t>
      </w:r>
      <w:r>
        <w:rPr>
          <w:rFonts w:eastAsiaTheme="minorEastAsia"/>
          <w:kern w:val="0"/>
          <w:sz w:val="24"/>
        </w:rPr>
        <w:t>22349</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交银施罗德丰晟收益债券型证券投资基金全体基金份额持有人</w:t>
      </w:r>
      <w:r>
        <w:rPr>
          <w:rFonts w:eastAsiaTheme="minorEastAsia" w:hint="eastAsia"/>
          <w:sz w:val="24"/>
        </w:rPr>
        <w:t>：</w:t>
      </w:r>
    </w:p>
    <w:p w:rsidR="00B55BC5" w:rsidRPr="00945C0B" w:rsidRDefault="00B55BC5" w:rsidP="00945C0B">
      <w:pPr>
        <w:pStyle w:val="20"/>
        <w:spacing w:before="29" w:after="0" w:line="288" w:lineRule="auto"/>
        <w:rPr>
          <w:rFonts w:ascii="Times New Roman" w:hAnsi="Times New Roman"/>
          <w:kern w:val="0"/>
          <w:szCs w:val="24"/>
        </w:rPr>
      </w:pPr>
      <w:bookmarkStart w:id="101" w:name="_Toc374459275"/>
      <w:bookmarkStart w:id="102" w:name="_Toc362424013"/>
      <w:bookmarkStart w:id="103" w:name="_Toc352331235"/>
      <w:bookmarkStart w:id="104" w:name="_Toc352256057"/>
      <w:bookmarkStart w:id="105" w:name="_Toc352255989"/>
      <w:bookmarkStart w:id="106" w:name="_Toc286996149"/>
      <w:bookmarkStart w:id="107" w:name="_Toc35966211"/>
      <w:bookmarkStart w:id="108" w:name="_Toc374459273"/>
      <w:bookmarkStart w:id="109" w:name="_Toc362424011"/>
      <w:bookmarkStart w:id="110" w:name="_Toc352331233"/>
      <w:bookmarkStart w:id="111" w:name="_Toc352256055"/>
      <w:bookmarkStart w:id="112" w:name="_Toc352255987"/>
      <w:bookmarkStart w:id="113" w:name="_Toc286996147"/>
      <w:r w:rsidRPr="00945C0B">
        <w:rPr>
          <w:rFonts w:ascii="Times New Roman" w:hAnsi="Times New Roman"/>
          <w:kern w:val="0"/>
          <w:szCs w:val="24"/>
        </w:rPr>
        <w:t xml:space="preserve">6.1 </w:t>
      </w:r>
      <w:r w:rsidRPr="00945C0B">
        <w:rPr>
          <w:rFonts w:ascii="Times New Roman" w:hAnsi="Times New Roman" w:hint="eastAsia"/>
          <w:kern w:val="0"/>
          <w:szCs w:val="24"/>
        </w:rPr>
        <w:t>审计意见</w:t>
      </w:r>
      <w:bookmarkEnd w:id="101"/>
      <w:bookmarkEnd w:id="102"/>
      <w:bookmarkEnd w:id="103"/>
      <w:bookmarkEnd w:id="104"/>
      <w:bookmarkEnd w:id="105"/>
      <w:bookmarkEnd w:id="106"/>
      <w:bookmarkEnd w:id="107"/>
    </w:p>
    <w:p w:rsidR="00644057" w:rsidRDefault="00A20092">
      <w:pPr>
        <w:widowControl/>
        <w:spacing w:line="288" w:lineRule="auto"/>
        <w:ind w:firstLine="420"/>
        <w:rPr>
          <w:rFonts w:eastAsiaTheme="minorEastAsia"/>
          <w:kern w:val="0"/>
          <w:sz w:val="24"/>
        </w:rPr>
      </w:pPr>
      <w:r>
        <w:rPr>
          <w:rFonts w:eastAsiaTheme="minorEastAsia"/>
          <w:kern w:val="0"/>
          <w:sz w:val="24"/>
        </w:rPr>
        <w:t>(</w:t>
      </w:r>
      <w:proofErr w:type="gramStart"/>
      <w:r>
        <w:rPr>
          <w:rFonts w:eastAsiaTheme="minorEastAsia"/>
          <w:kern w:val="0"/>
          <w:sz w:val="24"/>
        </w:rPr>
        <w:t>一</w:t>
      </w:r>
      <w:proofErr w:type="gramEnd"/>
      <w:r>
        <w:rPr>
          <w:rFonts w:eastAsiaTheme="minorEastAsia"/>
          <w:kern w:val="0"/>
          <w:sz w:val="24"/>
        </w:rPr>
        <w:t xml:space="preserve">) </w:t>
      </w:r>
      <w:r>
        <w:rPr>
          <w:rFonts w:eastAsiaTheme="minorEastAsia"/>
          <w:kern w:val="0"/>
          <w:sz w:val="24"/>
        </w:rPr>
        <w:t>我们审计的内容</w:t>
      </w:r>
    </w:p>
    <w:p w:rsidR="00644057" w:rsidRDefault="00A20092">
      <w:pPr>
        <w:widowControl/>
        <w:spacing w:line="288" w:lineRule="auto"/>
        <w:ind w:firstLine="420"/>
        <w:rPr>
          <w:rFonts w:eastAsiaTheme="minorEastAsia"/>
          <w:kern w:val="0"/>
          <w:sz w:val="24"/>
        </w:rPr>
      </w:pPr>
      <w:r>
        <w:rPr>
          <w:rFonts w:eastAsiaTheme="minorEastAsia"/>
          <w:kern w:val="0"/>
          <w:sz w:val="24"/>
        </w:rPr>
        <w:t>我们审计了交银施罗德丰晟收益债券型证券投资基金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交银丰晟收益债券基金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644057" w:rsidRDefault="00644057">
      <w:pPr>
        <w:widowControl/>
        <w:spacing w:line="288" w:lineRule="auto"/>
        <w:ind w:firstLine="420"/>
        <w:rPr>
          <w:rFonts w:eastAsiaTheme="minorEastAsia"/>
          <w:kern w:val="0"/>
          <w:sz w:val="24"/>
        </w:rPr>
      </w:pPr>
    </w:p>
    <w:p w:rsidR="00644057" w:rsidRDefault="00A20092">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发布的有关规定及允许的基金行业实务操作编制，公允反映了交银丰晟收益债券基金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Pr="00945C0B" w:rsidRDefault="00B55BC5" w:rsidP="00945C0B">
      <w:pPr>
        <w:pStyle w:val="20"/>
        <w:spacing w:before="29" w:after="0" w:line="288" w:lineRule="auto"/>
        <w:rPr>
          <w:rFonts w:ascii="Times New Roman" w:hAnsi="Times New Roman"/>
          <w:kern w:val="0"/>
          <w:szCs w:val="24"/>
        </w:rPr>
      </w:pPr>
      <w:bookmarkStart w:id="114" w:name="_Toc35966212"/>
      <w:r w:rsidRPr="00945C0B">
        <w:rPr>
          <w:rFonts w:ascii="Times New Roman" w:hAnsi="Times New Roman"/>
          <w:kern w:val="0"/>
          <w:szCs w:val="24"/>
        </w:rPr>
        <w:t xml:space="preserve">6.2 </w:t>
      </w:r>
      <w:r w:rsidRPr="00945C0B">
        <w:rPr>
          <w:rFonts w:ascii="Times New Roman" w:hAnsi="Times New Roman" w:hint="eastAsia"/>
          <w:kern w:val="0"/>
          <w:szCs w:val="24"/>
        </w:rPr>
        <w:t>形成审计意见的基础</w:t>
      </w:r>
      <w:bookmarkEnd w:id="114"/>
    </w:p>
    <w:p w:rsidR="00644057" w:rsidRDefault="00A20092">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644057" w:rsidRDefault="00644057">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按照中国注册会计师职业道德守则，我们独立于交银丰晟收益债券基金，并履行了职业道德方面的其他责任。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Pr="00945C0B" w:rsidRDefault="00B55BC5" w:rsidP="00945C0B">
      <w:pPr>
        <w:pStyle w:val="20"/>
        <w:spacing w:before="29" w:after="0" w:line="288" w:lineRule="auto"/>
        <w:rPr>
          <w:rFonts w:ascii="Times New Roman" w:hAnsi="Times New Roman"/>
          <w:kern w:val="0"/>
          <w:szCs w:val="24"/>
        </w:rPr>
      </w:pPr>
      <w:bookmarkStart w:id="115" w:name="_Toc35966213"/>
      <w:r w:rsidRPr="00945C0B">
        <w:rPr>
          <w:rFonts w:ascii="Times New Roman" w:hAnsi="Times New Roman"/>
          <w:kern w:val="0"/>
          <w:szCs w:val="24"/>
        </w:rPr>
        <w:t xml:space="preserve">6.3 </w:t>
      </w:r>
      <w:bookmarkEnd w:id="108"/>
      <w:bookmarkEnd w:id="109"/>
      <w:bookmarkEnd w:id="110"/>
      <w:bookmarkEnd w:id="111"/>
      <w:bookmarkEnd w:id="112"/>
      <w:bookmarkEnd w:id="113"/>
      <w:r w:rsidRPr="00945C0B">
        <w:rPr>
          <w:rFonts w:ascii="Times New Roman" w:hAnsi="Times New Roman" w:hint="eastAsia"/>
          <w:kern w:val="0"/>
          <w:szCs w:val="24"/>
        </w:rPr>
        <w:t>管理层和治理层对财务报表的责任</w:t>
      </w:r>
      <w:bookmarkEnd w:id="115"/>
    </w:p>
    <w:p w:rsidR="00644057" w:rsidRDefault="00A20092">
      <w:pPr>
        <w:spacing w:line="288" w:lineRule="auto"/>
        <w:ind w:firstLineChars="200" w:firstLine="480"/>
        <w:rPr>
          <w:rFonts w:eastAsiaTheme="minorEastAsia"/>
          <w:sz w:val="24"/>
        </w:rPr>
      </w:pPr>
      <w:r>
        <w:rPr>
          <w:rFonts w:eastAsiaTheme="minorEastAsia"/>
          <w:sz w:val="24"/>
        </w:rPr>
        <w:t>交银丰晟收益债券基金的基金管理人交银施罗德基金管理有限公司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w:t>
      </w:r>
      <w:proofErr w:type="gramStart"/>
      <w:r>
        <w:rPr>
          <w:rFonts w:eastAsiaTheme="minorEastAsia"/>
          <w:sz w:val="24"/>
        </w:rPr>
        <w:t>层负责</w:t>
      </w:r>
      <w:proofErr w:type="gramEnd"/>
      <w:r>
        <w:rPr>
          <w:rFonts w:eastAsiaTheme="minorEastAsia"/>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644057" w:rsidRDefault="00644057">
      <w:pPr>
        <w:spacing w:line="288" w:lineRule="auto"/>
        <w:ind w:firstLineChars="200" w:firstLine="480"/>
        <w:rPr>
          <w:rFonts w:eastAsiaTheme="minorEastAsia"/>
          <w:sz w:val="24"/>
        </w:rPr>
      </w:pPr>
    </w:p>
    <w:p w:rsidR="00644057" w:rsidRDefault="00A20092">
      <w:pPr>
        <w:spacing w:line="288" w:lineRule="auto"/>
        <w:ind w:firstLineChars="200" w:firstLine="480"/>
        <w:rPr>
          <w:rFonts w:eastAsiaTheme="minorEastAsia"/>
          <w:sz w:val="24"/>
        </w:rPr>
      </w:pPr>
      <w:r>
        <w:rPr>
          <w:rFonts w:eastAsiaTheme="minorEastAsia"/>
          <w:sz w:val="24"/>
        </w:rPr>
        <w:t>在编制财务报表时，基金管理人管理</w:t>
      </w:r>
      <w:proofErr w:type="gramStart"/>
      <w:r>
        <w:rPr>
          <w:rFonts w:eastAsiaTheme="minorEastAsia"/>
          <w:sz w:val="24"/>
        </w:rPr>
        <w:t>层负责</w:t>
      </w:r>
      <w:proofErr w:type="gramEnd"/>
      <w:r>
        <w:rPr>
          <w:rFonts w:eastAsiaTheme="minorEastAsia"/>
          <w:sz w:val="24"/>
        </w:rPr>
        <w:t>评估交银丰晟收益债券基金的持续经营能力，披露与持续经营相关的事项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w:t>
      </w:r>
      <w:proofErr w:type="gramStart"/>
      <w:r>
        <w:rPr>
          <w:rFonts w:eastAsiaTheme="minorEastAsia"/>
          <w:sz w:val="24"/>
        </w:rPr>
        <w:t>层计划</w:t>
      </w:r>
      <w:proofErr w:type="gramEnd"/>
      <w:r>
        <w:rPr>
          <w:rFonts w:eastAsiaTheme="minorEastAsia"/>
          <w:sz w:val="24"/>
        </w:rPr>
        <w:t>清算交银丰晟收益债券基金、终止运营或别无其他现实的选择。</w:t>
      </w:r>
    </w:p>
    <w:p w:rsidR="00644057" w:rsidRDefault="00644057">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w:t>
      </w:r>
      <w:proofErr w:type="gramStart"/>
      <w:r>
        <w:rPr>
          <w:rFonts w:eastAsiaTheme="minorEastAsia"/>
          <w:sz w:val="24"/>
        </w:rPr>
        <w:t>层负责</w:t>
      </w:r>
      <w:proofErr w:type="gramEnd"/>
      <w:r>
        <w:rPr>
          <w:rFonts w:eastAsiaTheme="minorEastAsia"/>
          <w:sz w:val="24"/>
        </w:rPr>
        <w:t>监督交银丰晟收益债券基金的财务报告过程。</w:t>
      </w:r>
    </w:p>
    <w:p w:rsidR="00B55BC5" w:rsidRDefault="00B55BC5" w:rsidP="00B55BC5">
      <w:pPr>
        <w:spacing w:line="288" w:lineRule="auto"/>
        <w:ind w:firstLineChars="200" w:firstLine="480"/>
        <w:rPr>
          <w:rFonts w:eastAsiaTheme="minorEastAsia"/>
          <w:sz w:val="24"/>
        </w:rPr>
      </w:pPr>
    </w:p>
    <w:p w:rsidR="00B55BC5" w:rsidRPr="00945C0B" w:rsidRDefault="00B55BC5" w:rsidP="00945C0B">
      <w:pPr>
        <w:pStyle w:val="20"/>
        <w:spacing w:before="29" w:after="0" w:line="288" w:lineRule="auto"/>
        <w:rPr>
          <w:rFonts w:ascii="Times New Roman" w:hAnsi="Times New Roman"/>
          <w:kern w:val="0"/>
          <w:szCs w:val="24"/>
        </w:rPr>
      </w:pPr>
      <w:bookmarkStart w:id="116" w:name="_Toc374459274"/>
      <w:bookmarkStart w:id="117" w:name="_Toc362424012"/>
      <w:bookmarkStart w:id="118" w:name="_Toc352331234"/>
      <w:bookmarkStart w:id="119" w:name="_Toc352256056"/>
      <w:bookmarkStart w:id="120" w:name="_Toc352255988"/>
      <w:bookmarkStart w:id="121" w:name="_Toc286996148"/>
      <w:bookmarkStart w:id="122" w:name="_Toc35966214"/>
      <w:r w:rsidRPr="00945C0B">
        <w:rPr>
          <w:rFonts w:ascii="Times New Roman" w:hAnsi="Times New Roman"/>
          <w:kern w:val="0"/>
          <w:szCs w:val="24"/>
        </w:rPr>
        <w:t xml:space="preserve">6.4 </w:t>
      </w:r>
      <w:bookmarkEnd w:id="116"/>
      <w:bookmarkEnd w:id="117"/>
      <w:bookmarkEnd w:id="118"/>
      <w:bookmarkEnd w:id="119"/>
      <w:bookmarkEnd w:id="120"/>
      <w:bookmarkEnd w:id="121"/>
      <w:r w:rsidRPr="00945C0B">
        <w:rPr>
          <w:rFonts w:ascii="Times New Roman" w:hAnsi="Times New Roman" w:hint="eastAsia"/>
          <w:kern w:val="0"/>
          <w:szCs w:val="24"/>
        </w:rPr>
        <w:t>注册会计师对财务报表审计的责任</w:t>
      </w:r>
      <w:bookmarkEnd w:id="122"/>
    </w:p>
    <w:p w:rsidR="00644057" w:rsidRDefault="00A20092">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 w:val="24"/>
        </w:rPr>
        <w:t>报存在</w:t>
      </w:r>
      <w:proofErr w:type="gramEnd"/>
      <w:r>
        <w:rPr>
          <w:rFonts w:eastAsiaTheme="minorEastAsia"/>
          <w:sz w:val="24"/>
        </w:rPr>
        <w:t>时总能发现。错报可能由于舞弊或错误导致，如果合理预期错报单独或汇总起来可能影响财务报表使用者依据财务报表</w:t>
      </w:r>
      <w:proofErr w:type="gramStart"/>
      <w:r>
        <w:rPr>
          <w:rFonts w:eastAsiaTheme="minorEastAsia"/>
          <w:sz w:val="24"/>
        </w:rPr>
        <w:t>作出</w:t>
      </w:r>
      <w:proofErr w:type="gramEnd"/>
      <w:r>
        <w:rPr>
          <w:rFonts w:eastAsiaTheme="minorEastAsia"/>
          <w:sz w:val="24"/>
        </w:rPr>
        <w:t>的经济决策，则通常认为错报是重大的。</w:t>
      </w:r>
    </w:p>
    <w:p w:rsidR="00644057" w:rsidRDefault="00644057">
      <w:pPr>
        <w:spacing w:line="288" w:lineRule="auto"/>
        <w:ind w:firstLineChars="200" w:firstLine="480"/>
        <w:rPr>
          <w:rFonts w:eastAsiaTheme="minorEastAsia"/>
          <w:sz w:val="24"/>
        </w:rPr>
      </w:pPr>
    </w:p>
    <w:p w:rsidR="00644057" w:rsidRDefault="00A20092">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644057" w:rsidRDefault="00644057">
      <w:pPr>
        <w:spacing w:line="288" w:lineRule="auto"/>
        <w:ind w:firstLineChars="200" w:firstLine="480"/>
        <w:rPr>
          <w:rFonts w:eastAsiaTheme="minorEastAsia"/>
          <w:sz w:val="24"/>
        </w:rPr>
      </w:pPr>
    </w:p>
    <w:p w:rsidR="00644057" w:rsidRDefault="00A20092">
      <w:pPr>
        <w:spacing w:line="288" w:lineRule="auto"/>
        <w:ind w:firstLineChars="200" w:firstLine="480"/>
        <w:rPr>
          <w:rFonts w:eastAsiaTheme="minorEastAsia"/>
          <w:sz w:val="24"/>
        </w:rPr>
      </w:pPr>
      <w:r>
        <w:rPr>
          <w:rFonts w:eastAsiaTheme="minorEastAsia"/>
          <w:sz w:val="24"/>
        </w:rPr>
        <w:t>(</w:t>
      </w:r>
      <w:proofErr w:type="gramStart"/>
      <w:r>
        <w:rPr>
          <w:rFonts w:eastAsiaTheme="minorEastAsia"/>
          <w:sz w:val="24"/>
        </w:rPr>
        <w:t>一</w:t>
      </w:r>
      <w:proofErr w:type="gramEnd"/>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Pr>
          <w:rFonts w:eastAsiaTheme="minorEastAsia"/>
          <w:sz w:val="24"/>
        </w:rPr>
        <w:t> </w:t>
      </w:r>
    </w:p>
    <w:p w:rsidR="00644057" w:rsidRDefault="00644057">
      <w:pPr>
        <w:spacing w:line="288" w:lineRule="auto"/>
        <w:ind w:firstLineChars="200" w:firstLine="480"/>
        <w:rPr>
          <w:rFonts w:eastAsiaTheme="minorEastAsia"/>
          <w:sz w:val="24"/>
        </w:rPr>
      </w:pPr>
    </w:p>
    <w:p w:rsidR="00644057" w:rsidRDefault="00A20092">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644057" w:rsidRDefault="00644057">
      <w:pPr>
        <w:spacing w:line="288" w:lineRule="auto"/>
        <w:ind w:firstLineChars="200" w:firstLine="480"/>
        <w:rPr>
          <w:rFonts w:eastAsiaTheme="minorEastAsia"/>
          <w:sz w:val="24"/>
        </w:rPr>
      </w:pPr>
    </w:p>
    <w:p w:rsidR="00644057" w:rsidRDefault="00A20092">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w:t>
      </w:r>
      <w:proofErr w:type="gramStart"/>
      <w:r>
        <w:rPr>
          <w:rFonts w:eastAsiaTheme="minorEastAsia"/>
          <w:sz w:val="24"/>
        </w:rPr>
        <w:t>作出</w:t>
      </w:r>
      <w:proofErr w:type="gramEnd"/>
      <w:r>
        <w:rPr>
          <w:rFonts w:eastAsiaTheme="minorEastAsia"/>
          <w:sz w:val="24"/>
        </w:rPr>
        <w:t>会计估计及相关披露的合理性。</w:t>
      </w:r>
    </w:p>
    <w:p w:rsidR="00644057" w:rsidRDefault="00644057">
      <w:pPr>
        <w:spacing w:line="288" w:lineRule="auto"/>
        <w:ind w:firstLineChars="200" w:firstLine="480"/>
        <w:rPr>
          <w:rFonts w:eastAsiaTheme="minorEastAsia"/>
          <w:sz w:val="24"/>
        </w:rPr>
      </w:pPr>
    </w:p>
    <w:p w:rsidR="00644057" w:rsidRDefault="00A20092">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丰晟收益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丰晟收益债券基金不能持续经营。</w:t>
      </w:r>
    </w:p>
    <w:p w:rsidR="00644057" w:rsidRDefault="00644057">
      <w:pPr>
        <w:spacing w:line="288" w:lineRule="auto"/>
        <w:ind w:firstLineChars="200" w:firstLine="480"/>
        <w:rPr>
          <w:rFonts w:eastAsiaTheme="minorEastAsia"/>
          <w:sz w:val="24"/>
        </w:rPr>
      </w:pPr>
    </w:p>
    <w:p w:rsidR="00644057" w:rsidRDefault="00A20092">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w:t>
      </w:r>
      <w:proofErr w:type="gramStart"/>
      <w:r>
        <w:rPr>
          <w:rFonts w:eastAsiaTheme="minorEastAsia"/>
          <w:sz w:val="24"/>
        </w:rPr>
        <w:t>体列</w:t>
      </w:r>
      <w:proofErr w:type="gramEnd"/>
      <w:r>
        <w:rPr>
          <w:rFonts w:eastAsiaTheme="minorEastAsia"/>
          <w:sz w:val="24"/>
        </w:rPr>
        <w:t>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644057" w:rsidRDefault="00644057">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proofErr w:type="gramStart"/>
      <w:r>
        <w:rPr>
          <w:rFonts w:eastAsiaTheme="minorEastAsia"/>
          <w:kern w:val="0"/>
          <w:sz w:val="24"/>
        </w:rPr>
        <w:t>童咏静</w:t>
      </w:r>
      <w:proofErr w:type="gramEnd"/>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3" w:name="_Toc35966215"/>
      <w:r w:rsidRPr="0079659B">
        <w:rPr>
          <w:rFonts w:hint="eastAsia"/>
          <w:b/>
          <w:bCs/>
          <w:szCs w:val="24"/>
          <w:lang w:val="en-US"/>
        </w:rPr>
        <w:t>§</w:t>
      </w:r>
      <w:proofErr w:type="gramStart"/>
      <w:r w:rsidRPr="0079659B">
        <w:rPr>
          <w:b/>
          <w:bCs/>
          <w:szCs w:val="24"/>
          <w:lang w:val="en-US"/>
        </w:rPr>
        <w:t>7</w:t>
      </w:r>
      <w:proofErr w:type="gramEnd"/>
      <w:r w:rsidRPr="0079659B">
        <w:rPr>
          <w:rFonts w:hint="eastAsia"/>
          <w:b/>
          <w:bCs/>
          <w:szCs w:val="24"/>
          <w:lang w:val="en-US"/>
        </w:rPr>
        <w:t>年度财务报表</w:t>
      </w:r>
      <w:bookmarkEnd w:id="100"/>
      <w:bookmarkEnd w:id="123"/>
    </w:p>
    <w:p w:rsidR="00DB6EA0" w:rsidRPr="00DB6EA0" w:rsidRDefault="00DB6EA0" w:rsidP="00DB6EA0"/>
    <w:p w:rsidR="001A59F9" w:rsidRPr="00945C0B" w:rsidRDefault="001A59F9" w:rsidP="00945C0B">
      <w:pPr>
        <w:pStyle w:val="20"/>
        <w:spacing w:before="29" w:after="0" w:line="288" w:lineRule="auto"/>
        <w:rPr>
          <w:rFonts w:ascii="Times New Roman" w:hAnsi="Times New Roman"/>
          <w:kern w:val="0"/>
          <w:szCs w:val="24"/>
        </w:rPr>
      </w:pPr>
      <w:bookmarkStart w:id="124" w:name="_Toc225498268"/>
      <w:bookmarkStart w:id="125" w:name="_Toc361324873"/>
      <w:bookmarkStart w:id="126" w:name="_Toc35966216"/>
      <w:r w:rsidRPr="00945C0B">
        <w:rPr>
          <w:rFonts w:ascii="Times New Roman" w:hAnsi="Times New Roman"/>
          <w:kern w:val="0"/>
          <w:szCs w:val="24"/>
        </w:rPr>
        <w:t xml:space="preserve">7.1 </w:t>
      </w:r>
      <w:r w:rsidRPr="00945C0B">
        <w:rPr>
          <w:rFonts w:ascii="Times New Roman" w:hAnsi="Times New Roman" w:hint="eastAsia"/>
          <w:kern w:val="0"/>
          <w:szCs w:val="24"/>
        </w:rPr>
        <w:t>资产负债表</w:t>
      </w:r>
      <w:bookmarkEnd w:id="124"/>
      <w:bookmarkEnd w:id="125"/>
      <w:bookmarkEnd w:id="126"/>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交银施罗德丰晟收益债券型证券投资基金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2019</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626,921.67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517,687.20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20,333,676.00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21,090,963.23</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9,852.42</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672,165,200.00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668,423,400.00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672,165,200.00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668,423,400.00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263,663.48</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12,445,356.45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12,582,627.36</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705,571,154.12</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702,888,193.69</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343,169,946.07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348,055,594.42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34,397.26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w:t>
            </w:r>
            <w:proofErr w:type="gramStart"/>
            <w:r w:rsidRPr="00147D2C">
              <w:rPr>
                <w:rFonts w:hint="eastAsia"/>
                <w:color w:val="000000"/>
                <w:sz w:val="24"/>
              </w:rPr>
              <w:t>赎回款</w:t>
            </w:r>
            <w:proofErr w:type="gramEnd"/>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245,453.45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240,539.19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46,022.54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45,101.10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428.74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421.14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9,826.93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9,306.82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75,187.25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74,359.43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33,926.36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46,944.63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189,300.00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309,300.00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343,804,488.60</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348,781,566.73</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331,589,908.23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331,589,908.23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30,176,757.29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22,516,718.73</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361,766,665.52</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354,106,626.96</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705,571,154.12</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702,888,193.69</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1.0910</w:t>
      </w:r>
      <w:r w:rsidRPr="00400137">
        <w:rPr>
          <w:kern w:val="0"/>
          <w:sz w:val="24"/>
        </w:rPr>
        <w:t>元，</w:t>
      </w:r>
      <w:r w:rsidRPr="00400137">
        <w:rPr>
          <w:kern w:val="0"/>
          <w:sz w:val="24"/>
        </w:rPr>
        <w:t>C</w:t>
      </w:r>
      <w:r w:rsidRPr="00400137">
        <w:rPr>
          <w:kern w:val="0"/>
          <w:sz w:val="24"/>
        </w:rPr>
        <w:t>类基金份额净值</w:t>
      </w:r>
      <w:r w:rsidRPr="00400137">
        <w:rPr>
          <w:kern w:val="0"/>
          <w:sz w:val="24"/>
        </w:rPr>
        <w:t>1.0845</w:t>
      </w:r>
      <w:r w:rsidRPr="00400137">
        <w:rPr>
          <w:kern w:val="0"/>
          <w:sz w:val="24"/>
        </w:rPr>
        <w:t>元；基金份额总额</w:t>
      </w:r>
      <w:r w:rsidRPr="00400137">
        <w:rPr>
          <w:kern w:val="0"/>
          <w:sz w:val="24"/>
        </w:rPr>
        <w:t>331,589,908.23</w:t>
      </w:r>
      <w:r w:rsidRPr="00400137">
        <w:rPr>
          <w:kern w:val="0"/>
          <w:sz w:val="24"/>
        </w:rPr>
        <w:t>份，其中</w:t>
      </w:r>
      <w:r w:rsidRPr="00400137">
        <w:rPr>
          <w:kern w:val="0"/>
          <w:sz w:val="24"/>
        </w:rPr>
        <w:t>A</w:t>
      </w:r>
      <w:r w:rsidRPr="00400137">
        <w:rPr>
          <w:kern w:val="0"/>
          <w:sz w:val="24"/>
        </w:rPr>
        <w:t>类基金份额</w:t>
      </w:r>
      <w:r w:rsidRPr="00400137">
        <w:rPr>
          <w:kern w:val="0"/>
          <w:sz w:val="24"/>
        </w:rPr>
        <w:t>330,813,244.80</w:t>
      </w:r>
      <w:r w:rsidRPr="00400137">
        <w:rPr>
          <w:kern w:val="0"/>
          <w:sz w:val="24"/>
        </w:rPr>
        <w:t>份，</w:t>
      </w:r>
      <w:r w:rsidRPr="00400137">
        <w:rPr>
          <w:kern w:val="0"/>
          <w:sz w:val="24"/>
        </w:rPr>
        <w:t>C</w:t>
      </w:r>
      <w:r w:rsidRPr="00400137">
        <w:rPr>
          <w:kern w:val="0"/>
          <w:sz w:val="24"/>
        </w:rPr>
        <w:t>类基金份额</w:t>
      </w:r>
      <w:r w:rsidRPr="00400137">
        <w:rPr>
          <w:kern w:val="0"/>
          <w:sz w:val="24"/>
        </w:rPr>
        <w:t>776,663.43</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945C0B" w:rsidRDefault="001A59F9" w:rsidP="00945C0B">
      <w:pPr>
        <w:pStyle w:val="20"/>
        <w:spacing w:before="29" w:after="0" w:line="288" w:lineRule="auto"/>
        <w:rPr>
          <w:rFonts w:ascii="Times New Roman" w:hAnsi="Times New Roman"/>
          <w:kern w:val="0"/>
          <w:szCs w:val="24"/>
        </w:rPr>
      </w:pPr>
      <w:bookmarkStart w:id="127" w:name="_Toc225498269"/>
      <w:bookmarkStart w:id="128" w:name="_Toc361324874"/>
      <w:bookmarkStart w:id="129" w:name="_Toc35966217"/>
      <w:r w:rsidRPr="00945C0B">
        <w:rPr>
          <w:rFonts w:ascii="Times New Roman" w:hAnsi="Times New Roman"/>
          <w:kern w:val="0"/>
          <w:szCs w:val="24"/>
        </w:rPr>
        <w:t xml:space="preserve">7.2 </w:t>
      </w:r>
      <w:r w:rsidRPr="00945C0B">
        <w:rPr>
          <w:rFonts w:ascii="Times New Roman" w:hAnsi="Times New Roman" w:hint="eastAsia"/>
          <w:kern w:val="0"/>
          <w:szCs w:val="24"/>
        </w:rPr>
        <w:t>利润表</w:t>
      </w:r>
      <w:bookmarkEnd w:id="127"/>
      <w:bookmarkEnd w:id="128"/>
      <w:bookmarkEnd w:id="129"/>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交银施罗德丰晟收益债券型证券投资基金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2019</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2019</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5</w:t>
            </w:r>
            <w:r w:rsidRPr="00147D2C">
              <w:rPr>
                <w:rFonts w:ascii="Times New Roman" w:hAnsi="Times New Roman"/>
                <w:color w:val="000000"/>
              </w:rPr>
              <w:t>月</w:t>
            </w:r>
            <w:r w:rsidRPr="00147D2C">
              <w:rPr>
                <w:rFonts w:ascii="Times New Roman" w:hAnsi="Times New Roman"/>
                <w:color w:val="000000"/>
              </w:rPr>
              <w:t>23</w:t>
            </w:r>
            <w:r w:rsidRPr="00147D2C">
              <w:rPr>
                <w:rFonts w:ascii="Times New Roman" w:hAnsi="Times New Roman"/>
                <w:color w:val="000000"/>
              </w:rPr>
              <w:t>日（基金合同生效日）至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31,817,284.21</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30,365,476.45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32,001,310.79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18,239,652.91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320,196.51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190,153.01</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31,681,114.28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17,956,760.32</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92,739.58</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465,453.39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1,802,654.17</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465,453.39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1,802,654.17</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-649,479.97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10,323,169.37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12,886,294.79</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7,848,757.72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2,841,284.29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1,668,454.72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532,740.79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312,835.21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4,975.83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2,925.55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370.62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8,123.61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9,180,460.35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5,476,290.15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9,180,460.35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5,476,290.15</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6"/>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106,316.45</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58,096.62</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B10C04" w:rsidP="00EE7BCE">
            <w:pPr>
              <w:widowControl/>
              <w:autoSpaceDE w:val="0"/>
              <w:autoSpaceDN w:val="0"/>
              <w:ind w:right="-15"/>
              <w:jc w:val="center"/>
              <w:textAlignment w:val="bottom"/>
              <w:rPr>
                <w:color w:val="000000"/>
                <w:sz w:val="24"/>
              </w:rPr>
            </w:pPr>
            <w:r w:rsidRPr="002D33D4">
              <w:rPr>
                <w:rFonts w:eastAsiaTheme="minorEastAsia"/>
                <w:color w:val="000000"/>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220,146.46</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322,031.86</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18,930,989.42</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22,516,718.73</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18,930,989.42</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22,516,718.73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45C0B" w:rsidRDefault="001A59F9" w:rsidP="00945C0B">
      <w:pPr>
        <w:pStyle w:val="20"/>
        <w:spacing w:before="29" w:after="0" w:line="288" w:lineRule="auto"/>
        <w:rPr>
          <w:rFonts w:ascii="Times New Roman" w:hAnsi="Times New Roman"/>
          <w:kern w:val="0"/>
          <w:szCs w:val="24"/>
        </w:rPr>
      </w:pPr>
      <w:bookmarkStart w:id="130" w:name="_Toc225498270"/>
      <w:bookmarkStart w:id="131" w:name="_Toc361324875"/>
      <w:bookmarkStart w:id="132" w:name="_Toc35966218"/>
      <w:r w:rsidRPr="00945C0B">
        <w:rPr>
          <w:rFonts w:ascii="Times New Roman" w:hAnsi="Times New Roman"/>
          <w:kern w:val="0"/>
          <w:szCs w:val="24"/>
        </w:rPr>
        <w:t xml:space="preserve">7.3 </w:t>
      </w:r>
      <w:r w:rsidRPr="00945C0B">
        <w:rPr>
          <w:rFonts w:ascii="Times New Roman" w:hAnsi="Times New Roman" w:hint="eastAsia"/>
          <w:kern w:val="0"/>
          <w:szCs w:val="24"/>
        </w:rPr>
        <w:t>所有者权益（基金净值）变动表</w:t>
      </w:r>
      <w:bookmarkEnd w:id="130"/>
      <w:bookmarkEnd w:id="131"/>
      <w:bookmarkEnd w:id="132"/>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交银施罗德丰晟收益债券型证券投资基金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2019</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2019</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331,589,908.23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22,516,718.73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354,106,626.96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18,930,989.42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18,930,989.42</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w:t>
            </w:r>
            <w:proofErr w:type="gramStart"/>
            <w:r w:rsidRPr="00902DE3">
              <w:rPr>
                <w:rFonts w:hint="eastAsia"/>
                <w:color w:val="000000"/>
                <w:sz w:val="24"/>
              </w:rPr>
              <w:t>赎回款</w:t>
            </w:r>
            <w:proofErr w:type="gramEnd"/>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-11,270,950.86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-11,270,950.86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331,589,908.23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30,176,757.29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361,766,665.52</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5</w:t>
            </w:r>
            <w:r w:rsidRPr="00C12472">
              <w:rPr>
                <w:rFonts w:ascii="Times New Roman" w:hAnsi="Times New Roman"/>
                <w:b/>
                <w:color w:val="000000"/>
                <w:kern w:val="2"/>
              </w:rPr>
              <w:t>月</w:t>
            </w:r>
            <w:r w:rsidRPr="00C12472">
              <w:rPr>
                <w:rFonts w:ascii="Times New Roman" w:hAnsi="Times New Roman"/>
                <w:b/>
                <w:color w:val="000000"/>
                <w:kern w:val="2"/>
              </w:rPr>
              <w:t>23</w:t>
            </w:r>
            <w:r w:rsidRPr="00C12472">
              <w:rPr>
                <w:rFonts w:ascii="Times New Roman" w:hAnsi="Times New Roman"/>
                <w:b/>
                <w:color w:val="000000"/>
                <w:kern w:val="2"/>
              </w:rPr>
              <w:t>日（基金合同生效日）至</w:t>
            </w: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331,589,908.23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331,589,908.23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22,516,718.73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22,516,718.73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w:t>
            </w:r>
            <w:proofErr w:type="gramStart"/>
            <w:r w:rsidRPr="00902DE3">
              <w:rPr>
                <w:rFonts w:hint="eastAsia"/>
                <w:color w:val="000000"/>
                <w:sz w:val="24"/>
              </w:rPr>
              <w:t>赎回款</w:t>
            </w:r>
            <w:proofErr w:type="gramEnd"/>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331,589,908.23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22,516,718.73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354,106,626.96</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w:t>
      </w:r>
      <w:proofErr w:type="gramStart"/>
      <w:r w:rsidR="001F790F" w:rsidRPr="00E32675">
        <w:rPr>
          <w:rFonts w:hint="eastAsia"/>
          <w:sz w:val="24"/>
        </w:rPr>
        <w:t>夏华龙</w:t>
      </w:r>
      <w:proofErr w:type="gramEnd"/>
      <w:r w:rsidR="001F790F" w:rsidRPr="00E32675">
        <w:rPr>
          <w:rFonts w:hint="eastAsia"/>
          <w:sz w:val="24"/>
        </w:rPr>
        <w:t>，会计机构负责人：单江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8015A7" w:rsidRDefault="001A59F9" w:rsidP="008015A7">
      <w:pPr>
        <w:pStyle w:val="20"/>
        <w:spacing w:before="29" w:after="0" w:line="288" w:lineRule="auto"/>
        <w:rPr>
          <w:rFonts w:ascii="Times New Roman" w:hAnsi="Times New Roman"/>
          <w:kern w:val="0"/>
          <w:szCs w:val="24"/>
        </w:rPr>
      </w:pPr>
      <w:bookmarkStart w:id="133" w:name="_Toc225498271"/>
      <w:bookmarkStart w:id="134" w:name="_Toc361324876"/>
      <w:bookmarkStart w:id="135" w:name="_Toc35966219"/>
      <w:r w:rsidRPr="008015A7">
        <w:rPr>
          <w:rFonts w:ascii="Times New Roman" w:hAnsi="Times New Roman"/>
          <w:kern w:val="0"/>
          <w:szCs w:val="24"/>
        </w:rPr>
        <w:t xml:space="preserve">7.4 </w:t>
      </w:r>
      <w:r w:rsidRPr="008015A7">
        <w:rPr>
          <w:rFonts w:ascii="Times New Roman" w:hAnsi="Times New Roman" w:hint="eastAsia"/>
          <w:kern w:val="0"/>
          <w:szCs w:val="24"/>
        </w:rPr>
        <w:t>报表附注</w:t>
      </w:r>
      <w:bookmarkEnd w:id="133"/>
      <w:bookmarkEnd w:id="134"/>
      <w:bookmarkEnd w:id="135"/>
    </w:p>
    <w:p w:rsidR="001A59F9" w:rsidRPr="008015A7" w:rsidRDefault="001A59F9" w:rsidP="008015A7">
      <w:pPr>
        <w:pStyle w:val="20"/>
        <w:spacing w:before="29" w:after="0" w:line="288" w:lineRule="auto"/>
        <w:rPr>
          <w:rFonts w:ascii="Times New Roman" w:hAnsi="Times New Roman"/>
          <w:kern w:val="0"/>
          <w:szCs w:val="24"/>
        </w:rPr>
      </w:pPr>
      <w:bookmarkStart w:id="136" w:name="_Toc35966220"/>
      <w:r w:rsidRPr="008015A7">
        <w:rPr>
          <w:rFonts w:ascii="Times New Roman" w:hAnsi="Times New Roman"/>
          <w:kern w:val="0"/>
          <w:szCs w:val="24"/>
        </w:rPr>
        <w:t>7.4.1</w:t>
      </w:r>
      <w:r w:rsidRPr="008015A7">
        <w:rPr>
          <w:rFonts w:ascii="Times New Roman" w:hAnsi="Times New Roman" w:hint="eastAsia"/>
          <w:kern w:val="0"/>
          <w:szCs w:val="24"/>
        </w:rPr>
        <w:t>基金基本情况</w:t>
      </w:r>
      <w:bookmarkEnd w:id="136"/>
    </w:p>
    <w:p w:rsidR="00644057" w:rsidRDefault="00A20092">
      <w:pPr>
        <w:spacing w:before="29" w:line="288" w:lineRule="auto"/>
        <w:ind w:firstLineChars="200" w:firstLine="480"/>
        <w:rPr>
          <w:kern w:val="0"/>
          <w:sz w:val="24"/>
        </w:rPr>
      </w:pPr>
      <w:r>
        <w:rPr>
          <w:kern w:val="0"/>
          <w:sz w:val="24"/>
        </w:rPr>
        <w:t>交银施罗德丰晟收益债券型证券投资基金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[2017]2396</w:t>
      </w:r>
      <w:r>
        <w:rPr>
          <w:kern w:val="0"/>
          <w:sz w:val="24"/>
        </w:rPr>
        <w:t>号《关于准予交银施罗德丰晟收益债券型证券投资基金注册的批复》核准，由交银施罗德基金管理有限公司依照《中华人民共和国证券投资基金法》和《交银施罗德丰晟收益债券型证券投资基金基金合同》负责公开募集。本基金为契约型基金，存续期限不定。本基金在基金合同生效之日起两年</w:t>
      </w:r>
      <w:r>
        <w:rPr>
          <w:kern w:val="0"/>
          <w:sz w:val="24"/>
        </w:rPr>
        <w:t>(</w:t>
      </w:r>
      <w:r>
        <w:rPr>
          <w:kern w:val="0"/>
          <w:sz w:val="24"/>
        </w:rPr>
        <w:t>含两年</w:t>
      </w:r>
      <w:r>
        <w:rPr>
          <w:kern w:val="0"/>
          <w:sz w:val="24"/>
        </w:rPr>
        <w:t>)</w:t>
      </w:r>
      <w:r>
        <w:rPr>
          <w:kern w:val="0"/>
          <w:sz w:val="24"/>
        </w:rPr>
        <w:t>的期间内封闭式运作，封闭期结束后转为开放式运作。本基金首次设立募集不包括认购资金利息共募集人民币</w:t>
      </w:r>
      <w:r>
        <w:rPr>
          <w:kern w:val="0"/>
          <w:sz w:val="24"/>
        </w:rPr>
        <w:t>331,456,146.51</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w:t>
      </w:r>
      <w:proofErr w:type="gramStart"/>
      <w:r>
        <w:rPr>
          <w:kern w:val="0"/>
          <w:sz w:val="24"/>
        </w:rPr>
        <w:t>中天验字</w:t>
      </w:r>
      <w:proofErr w:type="gramEnd"/>
      <w:r>
        <w:rPr>
          <w:kern w:val="0"/>
          <w:sz w:val="24"/>
        </w:rPr>
        <w:t>(2018)</w:t>
      </w:r>
      <w:r>
        <w:rPr>
          <w:kern w:val="0"/>
          <w:sz w:val="24"/>
        </w:rPr>
        <w:t>第</w:t>
      </w:r>
      <w:r>
        <w:rPr>
          <w:kern w:val="0"/>
          <w:sz w:val="24"/>
        </w:rPr>
        <w:t>0349</w:t>
      </w:r>
      <w:r>
        <w:rPr>
          <w:kern w:val="0"/>
          <w:sz w:val="24"/>
        </w:rPr>
        <w:t>号验资报告予以验证。经向中国证监会备案，《交银施罗德丰晟收益债券型证券投资基金基金合同》于</w:t>
      </w:r>
      <w:r>
        <w:rPr>
          <w:kern w:val="0"/>
          <w:sz w:val="24"/>
        </w:rPr>
        <w:t>2018</w:t>
      </w:r>
      <w:r>
        <w:rPr>
          <w:kern w:val="0"/>
          <w:sz w:val="24"/>
        </w:rPr>
        <w:t>年</w:t>
      </w:r>
      <w:r>
        <w:rPr>
          <w:kern w:val="0"/>
          <w:sz w:val="24"/>
        </w:rPr>
        <w:t>5</w:t>
      </w:r>
      <w:r>
        <w:rPr>
          <w:kern w:val="0"/>
          <w:sz w:val="24"/>
        </w:rPr>
        <w:t>月</w:t>
      </w:r>
      <w:r>
        <w:rPr>
          <w:kern w:val="0"/>
          <w:sz w:val="24"/>
        </w:rPr>
        <w:t>23</w:t>
      </w:r>
      <w:r>
        <w:rPr>
          <w:kern w:val="0"/>
          <w:sz w:val="24"/>
        </w:rPr>
        <w:t>日正式生效，基金合同生效日的基金份额总额为</w:t>
      </w:r>
      <w:r>
        <w:rPr>
          <w:kern w:val="0"/>
          <w:sz w:val="24"/>
        </w:rPr>
        <w:t>331,589,908.23</w:t>
      </w:r>
      <w:r>
        <w:rPr>
          <w:kern w:val="0"/>
          <w:sz w:val="24"/>
        </w:rPr>
        <w:t>份基金份额，其中认购资金利息折合</w:t>
      </w:r>
      <w:r>
        <w:rPr>
          <w:kern w:val="0"/>
          <w:sz w:val="24"/>
        </w:rPr>
        <w:t>133,761.72</w:t>
      </w:r>
      <w:r>
        <w:rPr>
          <w:kern w:val="0"/>
          <w:sz w:val="24"/>
        </w:rPr>
        <w:t>份基金份额。本基金的基金管理人为交银施罗德基金管理有限公司，基金托管人为招商银行股份有限公司。</w:t>
      </w:r>
    </w:p>
    <w:p w:rsidR="00644057" w:rsidRDefault="00A20092">
      <w:pPr>
        <w:spacing w:before="29" w:line="288" w:lineRule="auto"/>
        <w:ind w:firstLineChars="200" w:firstLine="480"/>
        <w:rPr>
          <w:kern w:val="0"/>
          <w:sz w:val="24"/>
        </w:rPr>
      </w:pPr>
      <w:r>
        <w:rPr>
          <w:kern w:val="0"/>
          <w:sz w:val="24"/>
        </w:rPr>
        <w:t>根据《交银施罗德丰晟收益债券型证券投资基金基金合同》和《交银施罗德丰晟收益债券型证券投资基金招募说明书》，本基金根据认购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申购费用，赎回时收取赎回费的，同时从本类别基金资产中计</w:t>
      </w:r>
      <w:proofErr w:type="gramStart"/>
      <w:r>
        <w:rPr>
          <w:kern w:val="0"/>
          <w:sz w:val="24"/>
        </w:rPr>
        <w:t>提销售</w:t>
      </w:r>
      <w:proofErr w:type="gramEnd"/>
      <w:r>
        <w:rPr>
          <w:kern w:val="0"/>
          <w:sz w:val="24"/>
        </w:rPr>
        <w:t>服务费的，称为</w:t>
      </w:r>
      <w:r>
        <w:rPr>
          <w:kern w:val="0"/>
          <w:sz w:val="24"/>
        </w:rPr>
        <w:t>C</w:t>
      </w:r>
      <w:r>
        <w:rPr>
          <w:kern w:val="0"/>
          <w:sz w:val="24"/>
        </w:rPr>
        <w:t>类基金份额。本基金募集期内开通</w:t>
      </w:r>
      <w:r>
        <w:rPr>
          <w:kern w:val="0"/>
          <w:sz w:val="24"/>
        </w:rPr>
        <w:t>A</w:t>
      </w:r>
      <w:r>
        <w:rPr>
          <w:kern w:val="0"/>
          <w:sz w:val="24"/>
        </w:rPr>
        <w:t>类基金份额和</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644057" w:rsidRDefault="00A20092">
      <w:pPr>
        <w:spacing w:before="29" w:line="288" w:lineRule="auto"/>
        <w:ind w:firstLineChars="200" w:firstLine="480"/>
        <w:rPr>
          <w:kern w:val="0"/>
          <w:sz w:val="24"/>
        </w:rPr>
      </w:pPr>
      <w:r>
        <w:rPr>
          <w:kern w:val="0"/>
          <w:sz w:val="24"/>
        </w:rPr>
        <w:t>根据《中华人民共和国证券投资基金法》和《交银施罗德丰晟收益债券型证券投资基金基金合同》的有关规定，本基金的投资范围为具有良好流动性的金融工具，包括国内依法发行交易的国债、金融债、央行票据、地方政府债、企业债、公司债、可分离交易可转债</w:t>
      </w:r>
      <w:proofErr w:type="gramStart"/>
      <w:r>
        <w:rPr>
          <w:kern w:val="0"/>
          <w:sz w:val="24"/>
        </w:rPr>
        <w:t>的纯债部分</w:t>
      </w:r>
      <w:proofErr w:type="gramEnd"/>
      <w:r>
        <w:rPr>
          <w:kern w:val="0"/>
          <w:sz w:val="24"/>
        </w:rPr>
        <w:t>、公开发行的次级债、资产支持证券、短期融资</w:t>
      </w:r>
      <w:proofErr w:type="gramStart"/>
      <w:r>
        <w:rPr>
          <w:kern w:val="0"/>
          <w:sz w:val="24"/>
        </w:rPr>
        <w:t>券</w:t>
      </w:r>
      <w:proofErr w:type="gramEnd"/>
      <w:r>
        <w:rPr>
          <w:kern w:val="0"/>
          <w:sz w:val="24"/>
        </w:rPr>
        <w:t>、超级短期融资</w:t>
      </w:r>
      <w:proofErr w:type="gramStart"/>
      <w:r>
        <w:rPr>
          <w:kern w:val="0"/>
          <w:sz w:val="24"/>
        </w:rPr>
        <w:t>券</w:t>
      </w:r>
      <w:proofErr w:type="gramEnd"/>
      <w:r>
        <w:rPr>
          <w:kern w:val="0"/>
          <w:sz w:val="24"/>
        </w:rPr>
        <w:t>、中小企业私募债、中期票据、债券回购、银行存款、同业存单、货币市场工具等资产和法律法规允许投资的其他金融工具。本基金不投资于股票、权证等资产，也不投资于可转换债券</w:t>
      </w:r>
      <w:r>
        <w:rPr>
          <w:kern w:val="0"/>
          <w:sz w:val="24"/>
        </w:rPr>
        <w:t>(</w:t>
      </w:r>
      <w:r>
        <w:rPr>
          <w:kern w:val="0"/>
          <w:sz w:val="24"/>
        </w:rPr>
        <w:t>可分离交易可转债的</w:t>
      </w:r>
      <w:proofErr w:type="gramStart"/>
      <w:r>
        <w:rPr>
          <w:kern w:val="0"/>
          <w:sz w:val="24"/>
        </w:rPr>
        <w:t>纯债部分</w:t>
      </w:r>
      <w:proofErr w:type="gramEnd"/>
      <w:r>
        <w:rPr>
          <w:kern w:val="0"/>
          <w:sz w:val="24"/>
        </w:rPr>
        <w:t>除外</w:t>
      </w:r>
      <w:r>
        <w:rPr>
          <w:kern w:val="0"/>
          <w:sz w:val="24"/>
        </w:rPr>
        <w:t>)</w:t>
      </w:r>
      <w:r>
        <w:rPr>
          <w:kern w:val="0"/>
          <w:sz w:val="24"/>
        </w:rPr>
        <w:t>、可交换债券。本基金的投资组合比例为投资于债券资产的比例不低于基金资产的</w:t>
      </w:r>
      <w:r>
        <w:rPr>
          <w:kern w:val="0"/>
          <w:sz w:val="24"/>
        </w:rPr>
        <w:t>80%</w:t>
      </w:r>
      <w:r>
        <w:rPr>
          <w:kern w:val="0"/>
          <w:sz w:val="24"/>
        </w:rPr>
        <w:t>，但在封闭期结束前三个月和</w:t>
      </w:r>
      <w:proofErr w:type="gramStart"/>
      <w:r>
        <w:rPr>
          <w:kern w:val="0"/>
          <w:sz w:val="24"/>
        </w:rPr>
        <w:t>转开放</w:t>
      </w:r>
      <w:proofErr w:type="gramEnd"/>
      <w:r>
        <w:rPr>
          <w:kern w:val="0"/>
          <w:sz w:val="24"/>
        </w:rPr>
        <w:t>后三个月内，基金投资不受上述债券资产投资比例限制。本基金转为开放式运作后，现金或到期日在一年以内的政府债券的比例合计不低于基金资产净值的</w:t>
      </w:r>
      <w:r>
        <w:rPr>
          <w:kern w:val="0"/>
          <w:sz w:val="24"/>
        </w:rPr>
        <w:t>5%</w:t>
      </w:r>
      <w:r>
        <w:rPr>
          <w:kern w:val="0"/>
          <w:sz w:val="24"/>
        </w:rPr>
        <w:t>，其中现金不包括结算备付金、存出保证金、应收申购款等。本基金的业绩比较基准为中</w:t>
      </w:r>
      <w:proofErr w:type="gramStart"/>
      <w:r>
        <w:rPr>
          <w:kern w:val="0"/>
          <w:sz w:val="24"/>
        </w:rPr>
        <w:t>债综合全价指数</w:t>
      </w:r>
      <w:proofErr w:type="gramEnd"/>
      <w:r>
        <w:rPr>
          <w:kern w:val="0"/>
          <w:sz w:val="24"/>
        </w:rPr>
        <w:t>收益率。</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2020</w:t>
      </w:r>
      <w:r w:rsidRPr="004A3D9A">
        <w:rPr>
          <w:kern w:val="0"/>
          <w:sz w:val="24"/>
        </w:rPr>
        <w:t>年</w:t>
      </w:r>
      <w:r w:rsidRPr="004A3D9A">
        <w:rPr>
          <w:kern w:val="0"/>
          <w:sz w:val="24"/>
        </w:rPr>
        <w:t>3</w:t>
      </w:r>
      <w:r w:rsidRPr="004A3D9A">
        <w:rPr>
          <w:kern w:val="0"/>
          <w:sz w:val="24"/>
        </w:rPr>
        <w:t>月</w:t>
      </w:r>
      <w:r w:rsidRPr="004A3D9A">
        <w:rPr>
          <w:kern w:val="0"/>
          <w:sz w:val="24"/>
        </w:rPr>
        <w:t>27</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8015A7" w:rsidRDefault="001A59F9" w:rsidP="008015A7">
      <w:pPr>
        <w:pStyle w:val="20"/>
        <w:spacing w:before="29" w:after="0" w:line="288" w:lineRule="auto"/>
        <w:rPr>
          <w:rFonts w:ascii="Times New Roman" w:hAnsi="Times New Roman"/>
          <w:kern w:val="0"/>
          <w:szCs w:val="24"/>
        </w:rPr>
      </w:pPr>
      <w:bookmarkStart w:id="137" w:name="_Toc35966221"/>
      <w:r w:rsidRPr="008015A7">
        <w:rPr>
          <w:rFonts w:ascii="Times New Roman" w:hAnsi="Times New Roman"/>
          <w:kern w:val="0"/>
          <w:szCs w:val="24"/>
        </w:rPr>
        <w:t>7.4.2</w:t>
      </w:r>
      <w:r w:rsidRPr="008015A7">
        <w:rPr>
          <w:rFonts w:ascii="Times New Roman" w:hAnsi="Times New Roman" w:hint="eastAsia"/>
          <w:kern w:val="0"/>
          <w:szCs w:val="24"/>
        </w:rPr>
        <w:t>会计报表的编制基础</w:t>
      </w:r>
      <w:bookmarkEnd w:id="137"/>
    </w:p>
    <w:p w:rsidR="00644057" w:rsidRDefault="00A20092">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颁布的《证券投资基金会计核算业务指引》、《交银施罗德丰晟收益债券型证券投资基金基金合同》和在财务报表附注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8015A7" w:rsidRDefault="001A59F9" w:rsidP="008015A7">
      <w:pPr>
        <w:pStyle w:val="20"/>
        <w:spacing w:before="29" w:after="0" w:line="288" w:lineRule="auto"/>
        <w:rPr>
          <w:rFonts w:ascii="Times New Roman" w:hAnsi="Times New Roman"/>
          <w:kern w:val="0"/>
          <w:szCs w:val="24"/>
        </w:rPr>
      </w:pPr>
      <w:bookmarkStart w:id="138" w:name="_Toc35966222"/>
      <w:r w:rsidRPr="008015A7">
        <w:rPr>
          <w:rFonts w:ascii="Times New Roman" w:hAnsi="Times New Roman"/>
          <w:kern w:val="0"/>
          <w:szCs w:val="24"/>
        </w:rPr>
        <w:t>7.4.3</w:t>
      </w:r>
      <w:r w:rsidRPr="008015A7">
        <w:rPr>
          <w:rFonts w:ascii="Times New Roman" w:hAnsi="Times New Roman" w:hint="eastAsia"/>
          <w:kern w:val="0"/>
          <w:szCs w:val="24"/>
        </w:rPr>
        <w:t>遵循企业会计准则及其他有关规定的声明</w:t>
      </w:r>
      <w:bookmarkEnd w:id="138"/>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2019</w:t>
      </w:r>
      <w:r w:rsidRPr="004A3D9A">
        <w:rPr>
          <w:kern w:val="0"/>
          <w:sz w:val="24"/>
        </w:rPr>
        <w:t>年度财务报表符合企业会计准则的要求，真实、完整地反映了本基金</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2019</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8015A7" w:rsidRDefault="001A59F9" w:rsidP="008015A7">
      <w:pPr>
        <w:pStyle w:val="20"/>
        <w:spacing w:before="29" w:after="0" w:line="288" w:lineRule="auto"/>
        <w:rPr>
          <w:rFonts w:ascii="Times New Roman" w:hAnsi="Times New Roman"/>
          <w:kern w:val="0"/>
          <w:szCs w:val="24"/>
        </w:rPr>
      </w:pPr>
      <w:bookmarkStart w:id="139" w:name="_Toc35966223"/>
      <w:r w:rsidRPr="008015A7">
        <w:rPr>
          <w:rFonts w:ascii="Times New Roman" w:hAnsi="Times New Roman"/>
          <w:kern w:val="0"/>
          <w:szCs w:val="24"/>
        </w:rPr>
        <w:t>7.4.4</w:t>
      </w:r>
      <w:r w:rsidRPr="008015A7">
        <w:rPr>
          <w:rFonts w:ascii="Times New Roman" w:hAnsi="Times New Roman" w:hint="eastAsia"/>
          <w:kern w:val="0"/>
          <w:szCs w:val="24"/>
        </w:rPr>
        <w:t>重要会计政策和会计估计</w:t>
      </w:r>
      <w:bookmarkEnd w:id="139"/>
    </w:p>
    <w:p w:rsidR="001A59F9" w:rsidRPr="008015A7" w:rsidRDefault="001A59F9" w:rsidP="008015A7">
      <w:pPr>
        <w:pStyle w:val="20"/>
        <w:spacing w:before="29" w:after="0" w:line="288" w:lineRule="auto"/>
        <w:rPr>
          <w:rFonts w:ascii="Times New Roman" w:hAnsi="Times New Roman"/>
          <w:kern w:val="0"/>
          <w:szCs w:val="24"/>
        </w:rPr>
      </w:pPr>
      <w:bookmarkStart w:id="140" w:name="_Toc35966224"/>
      <w:r w:rsidRPr="008015A7">
        <w:rPr>
          <w:rFonts w:ascii="Times New Roman" w:hAnsi="Times New Roman"/>
          <w:kern w:val="0"/>
          <w:szCs w:val="24"/>
        </w:rPr>
        <w:t>7.4.4.1</w:t>
      </w:r>
      <w:r w:rsidRPr="008015A7">
        <w:rPr>
          <w:rFonts w:ascii="Times New Roman" w:hAnsi="Times New Roman" w:hint="eastAsia"/>
          <w:kern w:val="0"/>
          <w:szCs w:val="24"/>
        </w:rPr>
        <w:t>会计年度</w:t>
      </w:r>
      <w:bookmarkEnd w:id="140"/>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日止。比较财务报表的实际编制期间为</w:t>
      </w:r>
      <w:r w:rsidRPr="004A3D9A">
        <w:rPr>
          <w:kern w:val="0"/>
          <w:sz w:val="24"/>
        </w:rPr>
        <w:t>2018</w:t>
      </w:r>
      <w:r w:rsidRPr="004A3D9A">
        <w:rPr>
          <w:kern w:val="0"/>
          <w:sz w:val="24"/>
        </w:rPr>
        <w:t>年</w:t>
      </w:r>
      <w:r w:rsidRPr="004A3D9A">
        <w:rPr>
          <w:kern w:val="0"/>
          <w:sz w:val="24"/>
        </w:rPr>
        <w:t>5</w:t>
      </w:r>
      <w:r w:rsidRPr="004A3D9A">
        <w:rPr>
          <w:kern w:val="0"/>
          <w:sz w:val="24"/>
        </w:rPr>
        <w:t>月</w:t>
      </w:r>
      <w:r w:rsidRPr="004A3D9A">
        <w:rPr>
          <w:kern w:val="0"/>
          <w:sz w:val="24"/>
        </w:rPr>
        <w:t>23</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8015A7" w:rsidRDefault="001A59F9" w:rsidP="008015A7">
      <w:pPr>
        <w:pStyle w:val="20"/>
        <w:spacing w:before="29" w:after="0" w:line="288" w:lineRule="auto"/>
        <w:rPr>
          <w:rFonts w:ascii="Times New Roman" w:hAnsi="Times New Roman"/>
          <w:kern w:val="0"/>
          <w:szCs w:val="24"/>
        </w:rPr>
      </w:pPr>
      <w:bookmarkStart w:id="141" w:name="_Toc35966225"/>
      <w:r w:rsidRPr="008015A7">
        <w:rPr>
          <w:rFonts w:ascii="Times New Roman" w:hAnsi="Times New Roman"/>
          <w:kern w:val="0"/>
          <w:szCs w:val="24"/>
        </w:rPr>
        <w:t xml:space="preserve">7.4.4.2 </w:t>
      </w:r>
      <w:r w:rsidRPr="008015A7">
        <w:rPr>
          <w:rFonts w:ascii="Times New Roman" w:hAnsi="Times New Roman" w:hint="eastAsia"/>
          <w:kern w:val="0"/>
          <w:szCs w:val="24"/>
        </w:rPr>
        <w:t>记账本位币</w:t>
      </w:r>
      <w:bookmarkEnd w:id="141"/>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8015A7" w:rsidRDefault="001A59F9" w:rsidP="008015A7">
      <w:pPr>
        <w:pStyle w:val="20"/>
        <w:spacing w:before="29" w:after="0" w:line="288" w:lineRule="auto"/>
        <w:rPr>
          <w:rFonts w:ascii="Times New Roman" w:hAnsi="Times New Roman"/>
          <w:kern w:val="0"/>
          <w:szCs w:val="24"/>
        </w:rPr>
      </w:pPr>
      <w:bookmarkStart w:id="142" w:name="_Toc35966226"/>
      <w:r w:rsidRPr="008015A7">
        <w:rPr>
          <w:rFonts w:ascii="Times New Roman" w:hAnsi="Times New Roman"/>
          <w:kern w:val="0"/>
          <w:szCs w:val="24"/>
        </w:rPr>
        <w:t xml:space="preserve">7.4.4.3 </w:t>
      </w:r>
      <w:r w:rsidRPr="008015A7">
        <w:rPr>
          <w:rFonts w:ascii="Times New Roman" w:hAnsi="Times New Roman" w:hint="eastAsia"/>
          <w:kern w:val="0"/>
          <w:szCs w:val="24"/>
        </w:rPr>
        <w:t>金融资产和金融负债的分类</w:t>
      </w:r>
      <w:bookmarkEnd w:id="142"/>
    </w:p>
    <w:p w:rsidR="00644057" w:rsidRDefault="00A20092">
      <w:pPr>
        <w:spacing w:before="29" w:line="288" w:lineRule="auto"/>
        <w:ind w:firstLineChars="200" w:firstLine="480"/>
        <w:rPr>
          <w:kern w:val="0"/>
          <w:sz w:val="24"/>
        </w:rPr>
      </w:pPr>
      <w:r>
        <w:rPr>
          <w:kern w:val="0"/>
          <w:sz w:val="24"/>
        </w:rPr>
        <w:t xml:space="preserve">(1) </w:t>
      </w:r>
      <w:r>
        <w:rPr>
          <w:kern w:val="0"/>
          <w:sz w:val="24"/>
        </w:rPr>
        <w:t>金融资产的分类</w:t>
      </w:r>
    </w:p>
    <w:p w:rsidR="00644057" w:rsidRDefault="00A20092">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644057" w:rsidRDefault="00A20092">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644057" w:rsidRDefault="00A20092">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644057" w:rsidRDefault="00A20092">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8015A7" w:rsidRDefault="001A59F9" w:rsidP="008015A7">
      <w:pPr>
        <w:pStyle w:val="20"/>
        <w:spacing w:before="29" w:after="0" w:line="288" w:lineRule="auto"/>
        <w:rPr>
          <w:rFonts w:ascii="Times New Roman" w:hAnsi="Times New Roman"/>
          <w:kern w:val="0"/>
          <w:szCs w:val="24"/>
        </w:rPr>
      </w:pPr>
      <w:bookmarkStart w:id="143" w:name="_Toc35966227"/>
      <w:r w:rsidRPr="008015A7">
        <w:rPr>
          <w:rFonts w:ascii="Times New Roman" w:hAnsi="Times New Roman"/>
          <w:kern w:val="0"/>
          <w:szCs w:val="24"/>
        </w:rPr>
        <w:t xml:space="preserve">7.4.4.4 </w:t>
      </w:r>
      <w:r w:rsidRPr="008015A7">
        <w:rPr>
          <w:rFonts w:ascii="Times New Roman" w:hAnsi="Times New Roman" w:hint="eastAsia"/>
          <w:kern w:val="0"/>
          <w:szCs w:val="24"/>
        </w:rPr>
        <w:t>金融资产和金融负债的初始确认、后续计量和终止确认</w:t>
      </w:r>
      <w:bookmarkEnd w:id="143"/>
    </w:p>
    <w:p w:rsidR="00644057" w:rsidRDefault="00A20092">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644057" w:rsidRDefault="00A20092">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w:t>
      </w:r>
      <w:proofErr w:type="gramStart"/>
      <w:r>
        <w:rPr>
          <w:kern w:val="0"/>
          <w:sz w:val="24"/>
        </w:rPr>
        <w:t>余成本</w:t>
      </w:r>
      <w:proofErr w:type="gramEnd"/>
      <w:r>
        <w:rPr>
          <w:kern w:val="0"/>
          <w:sz w:val="24"/>
        </w:rPr>
        <w:t>进行后续计量。</w:t>
      </w:r>
    </w:p>
    <w:p w:rsidR="00644057" w:rsidRDefault="00A20092">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644057" w:rsidRDefault="00A20092">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8015A7" w:rsidRDefault="001A59F9" w:rsidP="008015A7">
      <w:pPr>
        <w:pStyle w:val="20"/>
        <w:spacing w:before="29" w:after="0" w:line="288" w:lineRule="auto"/>
        <w:rPr>
          <w:rFonts w:ascii="Times New Roman" w:hAnsi="Times New Roman"/>
          <w:kern w:val="0"/>
          <w:szCs w:val="24"/>
        </w:rPr>
      </w:pPr>
      <w:bookmarkStart w:id="144" w:name="_Toc35966228"/>
      <w:r w:rsidRPr="008015A7">
        <w:rPr>
          <w:rFonts w:ascii="Times New Roman" w:hAnsi="Times New Roman"/>
          <w:kern w:val="0"/>
          <w:szCs w:val="24"/>
        </w:rPr>
        <w:t xml:space="preserve">7.4.4.5 </w:t>
      </w:r>
      <w:r w:rsidRPr="008015A7">
        <w:rPr>
          <w:rFonts w:ascii="Times New Roman" w:hAnsi="Times New Roman" w:hint="eastAsia"/>
          <w:kern w:val="0"/>
          <w:szCs w:val="24"/>
        </w:rPr>
        <w:t>金融资产和金融负债的估值原则</w:t>
      </w:r>
      <w:bookmarkEnd w:id="144"/>
    </w:p>
    <w:p w:rsidR="00644057" w:rsidRDefault="00A20092">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644057" w:rsidRDefault="00A20092">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644057" w:rsidRDefault="00A20092">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8015A7" w:rsidRDefault="001A59F9" w:rsidP="008015A7">
      <w:pPr>
        <w:pStyle w:val="20"/>
        <w:spacing w:before="29" w:after="0" w:line="288" w:lineRule="auto"/>
        <w:rPr>
          <w:rFonts w:ascii="Times New Roman" w:hAnsi="Times New Roman"/>
          <w:kern w:val="0"/>
          <w:szCs w:val="24"/>
        </w:rPr>
      </w:pPr>
      <w:bookmarkStart w:id="145" w:name="_Toc35966229"/>
      <w:r w:rsidRPr="008015A7">
        <w:rPr>
          <w:rFonts w:ascii="Times New Roman" w:hAnsi="Times New Roman"/>
          <w:kern w:val="0"/>
          <w:szCs w:val="24"/>
        </w:rPr>
        <w:t xml:space="preserve">7.4.4.6 </w:t>
      </w:r>
      <w:r w:rsidRPr="008015A7">
        <w:rPr>
          <w:rFonts w:ascii="Times New Roman" w:hAnsi="Times New Roman" w:hint="eastAsia"/>
          <w:kern w:val="0"/>
          <w:szCs w:val="24"/>
        </w:rPr>
        <w:t>金融资产和金融负债的</w:t>
      </w:r>
      <w:proofErr w:type="gramStart"/>
      <w:r w:rsidRPr="008015A7">
        <w:rPr>
          <w:rFonts w:ascii="Times New Roman" w:hAnsi="Times New Roman" w:hint="eastAsia"/>
          <w:kern w:val="0"/>
          <w:szCs w:val="24"/>
        </w:rPr>
        <w:t>抵销</w:t>
      </w:r>
      <w:bookmarkEnd w:id="145"/>
      <w:proofErr w:type="gramEnd"/>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w:t>
      </w:r>
      <w:proofErr w:type="gramStart"/>
      <w:r w:rsidRPr="004A3D9A">
        <w:rPr>
          <w:kern w:val="0"/>
          <w:sz w:val="24"/>
        </w:rPr>
        <w:t>抵销</w:t>
      </w:r>
      <w:proofErr w:type="gramEnd"/>
      <w:r w:rsidRPr="004A3D9A">
        <w:rPr>
          <w:kern w:val="0"/>
          <w:sz w:val="24"/>
        </w:rPr>
        <w:t>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w:t>
      </w:r>
      <w:proofErr w:type="gramStart"/>
      <w:r w:rsidRPr="004A3D9A">
        <w:rPr>
          <w:kern w:val="0"/>
          <w:sz w:val="24"/>
        </w:rPr>
        <w:t>抵销</w:t>
      </w:r>
      <w:proofErr w:type="gramEnd"/>
      <w:r w:rsidRPr="004A3D9A">
        <w:rPr>
          <w:kern w:val="0"/>
          <w:sz w:val="24"/>
        </w:rPr>
        <w:t>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8015A7" w:rsidRDefault="001A59F9" w:rsidP="008015A7">
      <w:pPr>
        <w:pStyle w:val="20"/>
        <w:spacing w:before="29" w:after="0" w:line="288" w:lineRule="auto"/>
        <w:rPr>
          <w:rFonts w:ascii="Times New Roman" w:hAnsi="Times New Roman"/>
          <w:kern w:val="0"/>
          <w:szCs w:val="24"/>
        </w:rPr>
      </w:pPr>
      <w:bookmarkStart w:id="146" w:name="_Toc35966230"/>
      <w:r w:rsidRPr="008015A7">
        <w:rPr>
          <w:rFonts w:ascii="Times New Roman" w:hAnsi="Times New Roman"/>
          <w:kern w:val="0"/>
          <w:szCs w:val="24"/>
        </w:rPr>
        <w:t xml:space="preserve">7.4.4.7 </w:t>
      </w:r>
      <w:r w:rsidRPr="008015A7">
        <w:rPr>
          <w:rFonts w:ascii="Times New Roman" w:hAnsi="Times New Roman" w:hint="eastAsia"/>
          <w:kern w:val="0"/>
          <w:szCs w:val="24"/>
        </w:rPr>
        <w:t>实收基金</w:t>
      </w:r>
      <w:bookmarkEnd w:id="146"/>
    </w:p>
    <w:p w:rsidR="001A59F9" w:rsidRPr="004A3D9A" w:rsidRDefault="001A59F9" w:rsidP="004A3D9A">
      <w:pPr>
        <w:spacing w:before="29" w:line="288" w:lineRule="auto"/>
        <w:ind w:firstLineChars="200" w:firstLine="480"/>
        <w:rPr>
          <w:kern w:val="0"/>
          <w:sz w:val="24"/>
        </w:rPr>
      </w:pPr>
      <w:r w:rsidRPr="004A3D9A">
        <w:rPr>
          <w:kern w:val="0"/>
          <w:sz w:val="24"/>
        </w:rPr>
        <w:t>封闭期内实收基金为对外发行基金份额所募集的总金额。每份基金份额面值为</w:t>
      </w:r>
      <w:r w:rsidRPr="004A3D9A">
        <w:rPr>
          <w:kern w:val="0"/>
          <w:sz w:val="24"/>
        </w:rPr>
        <w:t>1.00</w:t>
      </w:r>
      <w:r w:rsidRPr="004A3D9A">
        <w:rPr>
          <w:kern w:val="0"/>
          <w:sz w:val="24"/>
        </w:rPr>
        <w:t>元。</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8015A7" w:rsidRDefault="001A59F9" w:rsidP="008015A7">
      <w:pPr>
        <w:pStyle w:val="20"/>
        <w:spacing w:before="29" w:after="0" w:line="288" w:lineRule="auto"/>
        <w:rPr>
          <w:rFonts w:ascii="Times New Roman" w:hAnsi="Times New Roman"/>
          <w:kern w:val="0"/>
          <w:szCs w:val="24"/>
        </w:rPr>
      </w:pPr>
      <w:bookmarkStart w:id="147" w:name="_Toc35966231"/>
      <w:r w:rsidRPr="008015A7">
        <w:rPr>
          <w:rFonts w:ascii="Times New Roman" w:hAnsi="Times New Roman"/>
          <w:kern w:val="0"/>
          <w:szCs w:val="24"/>
        </w:rPr>
        <w:t xml:space="preserve">7.4.4.8 </w:t>
      </w:r>
      <w:proofErr w:type="gramStart"/>
      <w:r w:rsidRPr="008015A7">
        <w:rPr>
          <w:rFonts w:ascii="Times New Roman" w:hAnsi="Times New Roman" w:hint="eastAsia"/>
          <w:kern w:val="0"/>
          <w:szCs w:val="24"/>
        </w:rPr>
        <w:t>损益平</w:t>
      </w:r>
      <w:proofErr w:type="gramEnd"/>
      <w:r w:rsidRPr="008015A7">
        <w:rPr>
          <w:rFonts w:ascii="Times New Roman" w:hAnsi="Times New Roman" w:hint="eastAsia"/>
          <w:kern w:val="0"/>
          <w:szCs w:val="24"/>
        </w:rPr>
        <w:t>准金</w:t>
      </w:r>
      <w:bookmarkEnd w:id="147"/>
    </w:p>
    <w:p w:rsidR="001A59F9" w:rsidRPr="004A3D9A" w:rsidRDefault="001A59F9" w:rsidP="004A3D9A">
      <w:pPr>
        <w:spacing w:before="29" w:line="288" w:lineRule="auto"/>
        <w:ind w:firstLineChars="200" w:firstLine="480"/>
        <w:rPr>
          <w:kern w:val="0"/>
          <w:sz w:val="24"/>
        </w:rPr>
      </w:pPr>
      <w:r w:rsidRPr="004A3D9A">
        <w:rPr>
          <w:kern w:val="0"/>
          <w:sz w:val="24"/>
        </w:rPr>
        <w:t>封闭期内不适用</w:t>
      </w:r>
      <w:proofErr w:type="gramStart"/>
      <w:r w:rsidRPr="004A3D9A">
        <w:rPr>
          <w:kern w:val="0"/>
          <w:sz w:val="24"/>
        </w:rPr>
        <w:t>损益平</w:t>
      </w:r>
      <w:proofErr w:type="gramEnd"/>
      <w:r w:rsidRPr="004A3D9A">
        <w:rPr>
          <w:kern w:val="0"/>
          <w:sz w:val="24"/>
        </w:rPr>
        <w:t>准金。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8015A7" w:rsidRDefault="001A59F9" w:rsidP="008015A7">
      <w:pPr>
        <w:pStyle w:val="20"/>
        <w:spacing w:before="29" w:after="0" w:line="288" w:lineRule="auto"/>
        <w:rPr>
          <w:rFonts w:ascii="Times New Roman" w:hAnsi="Times New Roman"/>
          <w:kern w:val="0"/>
          <w:szCs w:val="24"/>
        </w:rPr>
      </w:pPr>
      <w:bookmarkStart w:id="148" w:name="_Toc35966232"/>
      <w:r w:rsidRPr="008015A7">
        <w:rPr>
          <w:rFonts w:ascii="Times New Roman" w:hAnsi="Times New Roman"/>
          <w:kern w:val="0"/>
          <w:szCs w:val="24"/>
        </w:rPr>
        <w:t xml:space="preserve">7.4.4.9 </w:t>
      </w:r>
      <w:r w:rsidRPr="008015A7">
        <w:rPr>
          <w:rFonts w:ascii="Times New Roman" w:hAnsi="Times New Roman" w:hint="eastAsia"/>
          <w:kern w:val="0"/>
          <w:szCs w:val="24"/>
        </w:rPr>
        <w:t>收入</w:t>
      </w:r>
      <w:r w:rsidRPr="008015A7">
        <w:rPr>
          <w:rFonts w:ascii="Times New Roman" w:hAnsi="Times New Roman"/>
          <w:kern w:val="0"/>
          <w:szCs w:val="24"/>
        </w:rPr>
        <w:t>/(</w:t>
      </w:r>
      <w:r w:rsidRPr="008015A7">
        <w:rPr>
          <w:rFonts w:ascii="Times New Roman" w:hAnsi="Times New Roman" w:hint="eastAsia"/>
          <w:kern w:val="0"/>
          <w:szCs w:val="24"/>
        </w:rPr>
        <w:t>损失</w:t>
      </w:r>
      <w:r w:rsidRPr="008015A7">
        <w:rPr>
          <w:rFonts w:ascii="Times New Roman" w:hAnsi="Times New Roman"/>
          <w:kern w:val="0"/>
          <w:szCs w:val="24"/>
        </w:rPr>
        <w:t>)</w:t>
      </w:r>
      <w:r w:rsidRPr="008015A7">
        <w:rPr>
          <w:rFonts w:ascii="Times New Roman" w:hAnsi="Times New Roman" w:hint="eastAsia"/>
          <w:kern w:val="0"/>
          <w:szCs w:val="24"/>
        </w:rPr>
        <w:t>的确认和计量</w:t>
      </w:r>
      <w:bookmarkEnd w:id="148"/>
    </w:p>
    <w:p w:rsidR="00644057" w:rsidRDefault="00A20092">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644057" w:rsidRDefault="00A20092">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8015A7" w:rsidRDefault="001A59F9" w:rsidP="008015A7">
      <w:pPr>
        <w:pStyle w:val="20"/>
        <w:spacing w:before="29" w:after="0" w:line="288" w:lineRule="auto"/>
        <w:rPr>
          <w:rFonts w:ascii="Times New Roman" w:hAnsi="Times New Roman"/>
          <w:kern w:val="0"/>
          <w:szCs w:val="24"/>
        </w:rPr>
      </w:pPr>
      <w:bookmarkStart w:id="149" w:name="_Toc35966233"/>
      <w:r w:rsidRPr="008015A7">
        <w:rPr>
          <w:rFonts w:ascii="Times New Roman" w:hAnsi="Times New Roman"/>
          <w:kern w:val="0"/>
          <w:szCs w:val="24"/>
        </w:rPr>
        <w:t xml:space="preserve">7.4.4.10 </w:t>
      </w:r>
      <w:r w:rsidRPr="008015A7">
        <w:rPr>
          <w:rFonts w:ascii="Times New Roman" w:hAnsi="Times New Roman" w:hint="eastAsia"/>
          <w:kern w:val="0"/>
          <w:szCs w:val="24"/>
        </w:rPr>
        <w:t>费用的确认和计量</w:t>
      </w:r>
      <w:bookmarkEnd w:id="149"/>
    </w:p>
    <w:p w:rsidR="00644057" w:rsidRDefault="00A20092">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8015A7" w:rsidRDefault="001A59F9" w:rsidP="008015A7">
      <w:pPr>
        <w:pStyle w:val="20"/>
        <w:spacing w:before="29" w:after="0" w:line="288" w:lineRule="auto"/>
        <w:rPr>
          <w:rFonts w:ascii="Times New Roman" w:hAnsi="Times New Roman"/>
          <w:kern w:val="0"/>
          <w:szCs w:val="24"/>
        </w:rPr>
      </w:pPr>
      <w:bookmarkStart w:id="150" w:name="_Toc35966234"/>
      <w:r w:rsidRPr="008015A7">
        <w:rPr>
          <w:rFonts w:ascii="Times New Roman" w:hAnsi="Times New Roman"/>
          <w:kern w:val="0"/>
          <w:szCs w:val="24"/>
        </w:rPr>
        <w:t xml:space="preserve">7.4.4.11 </w:t>
      </w:r>
      <w:r w:rsidRPr="008015A7">
        <w:rPr>
          <w:rFonts w:ascii="Times New Roman" w:hAnsi="Times New Roman" w:hint="eastAsia"/>
          <w:kern w:val="0"/>
          <w:szCs w:val="24"/>
        </w:rPr>
        <w:t>基金的收益分配政策</w:t>
      </w:r>
      <w:bookmarkEnd w:id="150"/>
    </w:p>
    <w:p w:rsidR="00644057" w:rsidRDefault="00A20092">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kern w:val="0"/>
          <w:sz w:val="24"/>
        </w:rPr>
        <w:t>平准金等</w:t>
      </w:r>
      <w:proofErr w:type="gramEnd"/>
      <w:r>
        <w:rPr>
          <w:kern w:val="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8015A7" w:rsidRDefault="001A59F9" w:rsidP="008015A7">
      <w:pPr>
        <w:pStyle w:val="20"/>
        <w:spacing w:before="29" w:after="0" w:line="288" w:lineRule="auto"/>
        <w:rPr>
          <w:rFonts w:ascii="Times New Roman" w:hAnsi="Times New Roman"/>
          <w:kern w:val="0"/>
          <w:szCs w:val="24"/>
        </w:rPr>
      </w:pPr>
      <w:bookmarkStart w:id="151" w:name="_Toc35966235"/>
      <w:r w:rsidRPr="008015A7">
        <w:rPr>
          <w:rFonts w:ascii="Times New Roman" w:hAnsi="Times New Roman"/>
          <w:kern w:val="0"/>
          <w:szCs w:val="24"/>
        </w:rPr>
        <w:t xml:space="preserve">7.4.4.12 </w:t>
      </w:r>
      <w:r w:rsidRPr="008015A7">
        <w:rPr>
          <w:rFonts w:ascii="Times New Roman" w:hAnsi="Times New Roman" w:hint="eastAsia"/>
          <w:kern w:val="0"/>
          <w:szCs w:val="24"/>
        </w:rPr>
        <w:t>分部报告</w:t>
      </w:r>
      <w:bookmarkEnd w:id="151"/>
    </w:p>
    <w:p w:rsidR="00644057" w:rsidRDefault="00A20092">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8015A7" w:rsidRDefault="001A59F9" w:rsidP="008015A7">
      <w:pPr>
        <w:pStyle w:val="20"/>
        <w:spacing w:before="29" w:after="0" w:line="288" w:lineRule="auto"/>
        <w:rPr>
          <w:rFonts w:ascii="Times New Roman" w:hAnsi="Times New Roman"/>
          <w:kern w:val="0"/>
          <w:szCs w:val="24"/>
        </w:rPr>
      </w:pPr>
      <w:bookmarkStart w:id="152" w:name="_Toc35966236"/>
      <w:r w:rsidRPr="008015A7">
        <w:rPr>
          <w:rFonts w:ascii="Times New Roman" w:hAnsi="Times New Roman"/>
          <w:kern w:val="0"/>
          <w:szCs w:val="24"/>
        </w:rPr>
        <w:t xml:space="preserve">7.4.4.13 </w:t>
      </w:r>
      <w:r w:rsidRPr="008015A7">
        <w:rPr>
          <w:rFonts w:ascii="Times New Roman" w:hAnsi="Times New Roman" w:hint="eastAsia"/>
          <w:kern w:val="0"/>
          <w:szCs w:val="24"/>
        </w:rPr>
        <w:t>其他重要的会计政策和会计估计</w:t>
      </w:r>
      <w:bookmarkEnd w:id="152"/>
    </w:p>
    <w:p w:rsidR="00644057" w:rsidRDefault="00A20092">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644057" w:rsidRDefault="00A20092">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号《中国证监会关于证券投资基金估值业务的指导意见》，根据具体情况采用现金流量折现法估值技术进行估值。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(2) </w:t>
      </w:r>
      <w:r w:rsidRPr="004A3D9A">
        <w:rPr>
          <w:kern w:val="0"/>
          <w:sz w:val="24"/>
        </w:rPr>
        <w:t>对于在证券交易所上市或挂牌转让的固定收益品种</w:t>
      </w:r>
      <w:r w:rsidRPr="004A3D9A">
        <w:rPr>
          <w:kern w:val="0"/>
          <w:sz w:val="24"/>
        </w:rPr>
        <w:t>(</w:t>
      </w:r>
      <w:r w:rsidRPr="004A3D9A">
        <w:rPr>
          <w:kern w:val="0"/>
          <w:sz w:val="24"/>
        </w:rPr>
        <w:t>可转换债券和私募债券除外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w:t>
      </w:r>
      <w:proofErr w:type="gramStart"/>
      <w:r w:rsidRPr="004A3D9A">
        <w:rPr>
          <w:kern w:val="0"/>
          <w:sz w:val="24"/>
        </w:rPr>
        <w:t>债金融</w:t>
      </w:r>
      <w:proofErr w:type="gramEnd"/>
      <w:r w:rsidRPr="004A3D9A">
        <w:rPr>
          <w:kern w:val="0"/>
          <w:sz w:val="24"/>
        </w:rPr>
        <w:t>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8015A7" w:rsidRDefault="001A59F9" w:rsidP="008015A7">
      <w:pPr>
        <w:pStyle w:val="20"/>
        <w:spacing w:before="29" w:after="0" w:line="288" w:lineRule="auto"/>
        <w:rPr>
          <w:rFonts w:ascii="Times New Roman" w:hAnsi="Times New Roman"/>
          <w:kern w:val="0"/>
          <w:szCs w:val="24"/>
        </w:rPr>
      </w:pPr>
      <w:bookmarkStart w:id="153" w:name="_Toc35966237"/>
      <w:r w:rsidRPr="008015A7">
        <w:rPr>
          <w:rFonts w:ascii="Times New Roman" w:hAnsi="Times New Roman"/>
          <w:kern w:val="0"/>
          <w:szCs w:val="24"/>
        </w:rPr>
        <w:t>7.4.5</w:t>
      </w:r>
      <w:r w:rsidRPr="008015A7">
        <w:rPr>
          <w:rFonts w:ascii="Times New Roman" w:hAnsi="Times New Roman" w:hint="eastAsia"/>
          <w:kern w:val="0"/>
          <w:szCs w:val="24"/>
        </w:rPr>
        <w:t>会计政策和会计估计变更以及差错更正的说明</w:t>
      </w:r>
      <w:bookmarkEnd w:id="153"/>
    </w:p>
    <w:p w:rsidR="001A59F9" w:rsidRPr="008015A7" w:rsidRDefault="001A59F9" w:rsidP="008015A7">
      <w:pPr>
        <w:pStyle w:val="20"/>
        <w:spacing w:before="29" w:after="0" w:line="288" w:lineRule="auto"/>
        <w:rPr>
          <w:rFonts w:ascii="Times New Roman" w:hAnsi="Times New Roman"/>
          <w:kern w:val="0"/>
          <w:szCs w:val="24"/>
        </w:rPr>
      </w:pPr>
      <w:bookmarkStart w:id="154" w:name="_Toc35966238"/>
      <w:r w:rsidRPr="008015A7">
        <w:rPr>
          <w:rFonts w:ascii="Times New Roman" w:hAnsi="Times New Roman"/>
          <w:kern w:val="0"/>
          <w:szCs w:val="24"/>
        </w:rPr>
        <w:t xml:space="preserve">7.4.5.1 </w:t>
      </w:r>
      <w:r w:rsidRPr="008015A7">
        <w:rPr>
          <w:rFonts w:ascii="Times New Roman" w:hAnsi="Times New Roman" w:hint="eastAsia"/>
          <w:kern w:val="0"/>
          <w:szCs w:val="24"/>
        </w:rPr>
        <w:t>会计政策变更的说明</w:t>
      </w:r>
      <w:bookmarkEnd w:id="154"/>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8015A7" w:rsidRDefault="001A59F9" w:rsidP="008015A7">
      <w:pPr>
        <w:pStyle w:val="20"/>
        <w:spacing w:before="29" w:after="0" w:line="288" w:lineRule="auto"/>
        <w:rPr>
          <w:rFonts w:ascii="Times New Roman" w:hAnsi="Times New Roman"/>
          <w:kern w:val="0"/>
          <w:szCs w:val="24"/>
        </w:rPr>
      </w:pPr>
      <w:bookmarkStart w:id="155" w:name="_Toc35966239"/>
      <w:r w:rsidRPr="008015A7">
        <w:rPr>
          <w:rFonts w:ascii="Times New Roman" w:hAnsi="Times New Roman"/>
          <w:kern w:val="0"/>
          <w:szCs w:val="24"/>
        </w:rPr>
        <w:t xml:space="preserve">7.4.5.2 </w:t>
      </w:r>
      <w:r w:rsidRPr="008015A7">
        <w:rPr>
          <w:rFonts w:ascii="Times New Roman" w:hAnsi="Times New Roman" w:hint="eastAsia"/>
          <w:kern w:val="0"/>
          <w:szCs w:val="24"/>
        </w:rPr>
        <w:t>会计估计变更的说明</w:t>
      </w:r>
      <w:bookmarkEnd w:id="155"/>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8015A7" w:rsidRDefault="001A59F9" w:rsidP="008015A7">
      <w:pPr>
        <w:pStyle w:val="20"/>
        <w:spacing w:before="29" w:after="0" w:line="288" w:lineRule="auto"/>
        <w:rPr>
          <w:rFonts w:ascii="Times New Roman" w:hAnsi="Times New Roman"/>
          <w:kern w:val="0"/>
          <w:szCs w:val="24"/>
        </w:rPr>
      </w:pPr>
      <w:bookmarkStart w:id="156" w:name="_Toc35966240"/>
      <w:r w:rsidRPr="008015A7">
        <w:rPr>
          <w:rFonts w:ascii="Times New Roman" w:hAnsi="Times New Roman"/>
          <w:kern w:val="0"/>
          <w:szCs w:val="24"/>
        </w:rPr>
        <w:t xml:space="preserve">7.4.5.3 </w:t>
      </w:r>
      <w:r w:rsidRPr="008015A7">
        <w:rPr>
          <w:rFonts w:ascii="Times New Roman" w:hAnsi="Times New Roman" w:hint="eastAsia"/>
          <w:kern w:val="0"/>
          <w:szCs w:val="24"/>
        </w:rPr>
        <w:t>差错更正的说明</w:t>
      </w:r>
      <w:bookmarkEnd w:id="156"/>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8015A7" w:rsidRDefault="001A59F9" w:rsidP="008015A7">
      <w:pPr>
        <w:pStyle w:val="20"/>
        <w:spacing w:before="29" w:after="0" w:line="288" w:lineRule="auto"/>
        <w:rPr>
          <w:rFonts w:ascii="Times New Roman" w:hAnsi="Times New Roman"/>
          <w:kern w:val="0"/>
          <w:szCs w:val="24"/>
        </w:rPr>
      </w:pPr>
      <w:bookmarkStart w:id="157" w:name="_Toc35966241"/>
      <w:r w:rsidRPr="008015A7">
        <w:rPr>
          <w:rFonts w:ascii="Times New Roman" w:hAnsi="Times New Roman"/>
          <w:kern w:val="0"/>
          <w:szCs w:val="24"/>
        </w:rPr>
        <w:t>7.4.6</w:t>
      </w:r>
      <w:r w:rsidRPr="008015A7">
        <w:rPr>
          <w:rFonts w:ascii="Times New Roman" w:hAnsi="Times New Roman" w:hint="eastAsia"/>
          <w:kern w:val="0"/>
          <w:szCs w:val="24"/>
        </w:rPr>
        <w:t>税项</w:t>
      </w:r>
      <w:bookmarkEnd w:id="157"/>
    </w:p>
    <w:p w:rsidR="00644057" w:rsidRDefault="00A20092">
      <w:pPr>
        <w:spacing w:before="29" w:line="288" w:lineRule="auto"/>
        <w:ind w:firstLineChars="200" w:firstLine="480"/>
        <w:rPr>
          <w:kern w:val="0"/>
          <w:sz w:val="24"/>
        </w:rPr>
      </w:pPr>
      <w:r>
        <w:rPr>
          <w:kern w:val="0"/>
          <w:sz w:val="24"/>
        </w:rPr>
        <w:t>根据财政部、国家税务总局财税</w:t>
      </w:r>
      <w:r>
        <w:rPr>
          <w:kern w:val="0"/>
          <w:sz w:val="24"/>
        </w:rPr>
        <w:t>[1998]55</w:t>
      </w:r>
      <w:r>
        <w:rPr>
          <w:kern w:val="0"/>
          <w:sz w:val="24"/>
        </w:rPr>
        <w:t>号《关于证券投资基金税收问题的通知》、财税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644057" w:rsidRDefault="00A20092">
      <w:pPr>
        <w:spacing w:before="29" w:line="288" w:lineRule="auto"/>
        <w:ind w:firstLineChars="200" w:firstLine="480"/>
        <w:rPr>
          <w:kern w:val="0"/>
          <w:sz w:val="24"/>
        </w:rPr>
      </w:pPr>
      <w:r>
        <w:rPr>
          <w:kern w:val="0"/>
          <w:sz w:val="24"/>
        </w:rPr>
        <w:t xml:space="preserve">(1) </w:t>
      </w:r>
      <w:proofErr w:type="gramStart"/>
      <w:r>
        <w:rPr>
          <w:kern w:val="0"/>
          <w:sz w:val="24"/>
        </w:rPr>
        <w:t>资管产品</w:t>
      </w:r>
      <w:proofErr w:type="gramEnd"/>
      <w:r>
        <w:rPr>
          <w:kern w:val="0"/>
          <w:sz w:val="24"/>
        </w:rPr>
        <w:t>运营过程中发生的增值税应税行为，</w:t>
      </w:r>
      <w:proofErr w:type="gramStart"/>
      <w:r>
        <w:rPr>
          <w:kern w:val="0"/>
          <w:sz w:val="24"/>
        </w:rPr>
        <w:t>以资管</w:t>
      </w:r>
      <w:proofErr w:type="gramEnd"/>
      <w:r>
        <w:rPr>
          <w:kern w:val="0"/>
          <w:sz w:val="24"/>
        </w:rPr>
        <w:t>产品管理人为增值税纳税人。</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过程中发生的增值税应税行为，暂适用简易计税方法，按照</w:t>
      </w:r>
      <w:r>
        <w:rPr>
          <w:kern w:val="0"/>
          <w:sz w:val="24"/>
        </w:rPr>
        <w:t>3%</w:t>
      </w:r>
      <w:r>
        <w:rPr>
          <w:kern w:val="0"/>
          <w:sz w:val="24"/>
        </w:rPr>
        <w:t>的征收率缴纳增值税。</w:t>
      </w:r>
    </w:p>
    <w:p w:rsidR="00644057" w:rsidRDefault="00A20092">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提供的贷款服务，以产生的利息及利息性质的收入为销售额。</w:t>
      </w:r>
    </w:p>
    <w:p w:rsidR="00644057" w:rsidRDefault="00A20092">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644057" w:rsidRDefault="00A20092">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8015A7" w:rsidRDefault="00FB2187" w:rsidP="008015A7">
      <w:pPr>
        <w:pStyle w:val="20"/>
        <w:spacing w:before="29" w:after="0" w:line="288" w:lineRule="auto"/>
        <w:rPr>
          <w:rFonts w:ascii="Times New Roman" w:hAnsi="Times New Roman"/>
          <w:kern w:val="0"/>
          <w:szCs w:val="24"/>
        </w:rPr>
      </w:pPr>
      <w:bookmarkStart w:id="158" w:name="_Toc35966242"/>
      <w:r w:rsidRPr="008015A7">
        <w:rPr>
          <w:rFonts w:ascii="Times New Roman" w:hAnsi="Times New Roman"/>
          <w:kern w:val="0"/>
          <w:szCs w:val="24"/>
        </w:rPr>
        <w:t>7.4.7</w:t>
      </w:r>
      <w:r w:rsidRPr="008015A7">
        <w:rPr>
          <w:rFonts w:ascii="Times New Roman" w:hAnsi="Times New Roman" w:hint="eastAsia"/>
          <w:kern w:val="0"/>
          <w:szCs w:val="24"/>
        </w:rPr>
        <w:t>重要财务报表项目的说明</w:t>
      </w:r>
      <w:bookmarkEnd w:id="158"/>
    </w:p>
    <w:p w:rsidR="00FB2187" w:rsidRPr="008015A7" w:rsidRDefault="00FB2187" w:rsidP="008015A7">
      <w:pPr>
        <w:pStyle w:val="20"/>
        <w:spacing w:before="29" w:after="0" w:line="288" w:lineRule="auto"/>
        <w:rPr>
          <w:rFonts w:ascii="Times New Roman" w:hAnsi="Times New Roman"/>
          <w:kern w:val="0"/>
          <w:szCs w:val="24"/>
        </w:rPr>
      </w:pPr>
      <w:bookmarkStart w:id="159" w:name="_Toc35966243"/>
      <w:r w:rsidRPr="008015A7">
        <w:rPr>
          <w:rFonts w:ascii="Times New Roman" w:hAnsi="Times New Roman"/>
          <w:kern w:val="0"/>
          <w:szCs w:val="24"/>
        </w:rPr>
        <w:t>7.4.7.1</w:t>
      </w:r>
      <w:r w:rsidRPr="008015A7">
        <w:rPr>
          <w:rFonts w:ascii="Times New Roman" w:hAnsi="Times New Roman" w:hint="eastAsia"/>
          <w:kern w:val="0"/>
          <w:szCs w:val="24"/>
        </w:rPr>
        <w:t>银行存款</w:t>
      </w:r>
      <w:bookmarkEnd w:id="159"/>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626,921.67</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517,687.20</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626,921.67</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517,687.20</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8015A7" w:rsidRDefault="001A59F9" w:rsidP="008015A7">
      <w:pPr>
        <w:pStyle w:val="20"/>
        <w:spacing w:before="29" w:after="0" w:line="288" w:lineRule="auto"/>
        <w:rPr>
          <w:rFonts w:ascii="Times New Roman" w:hAnsi="Times New Roman"/>
          <w:kern w:val="0"/>
          <w:szCs w:val="24"/>
        </w:rPr>
      </w:pPr>
      <w:bookmarkStart w:id="160" w:name="_Toc35966244"/>
      <w:r w:rsidRPr="008015A7">
        <w:rPr>
          <w:rFonts w:ascii="Times New Roman" w:hAnsi="Times New Roman"/>
          <w:kern w:val="0"/>
          <w:szCs w:val="24"/>
        </w:rPr>
        <w:t>7.4.7.2</w:t>
      </w:r>
      <w:r w:rsidRPr="008015A7">
        <w:rPr>
          <w:rFonts w:ascii="Times New Roman" w:hAnsi="Times New Roman" w:hint="eastAsia"/>
          <w:kern w:val="0"/>
          <w:szCs w:val="24"/>
        </w:rPr>
        <w:t>交易性金融资产</w:t>
      </w:r>
      <w:bookmarkEnd w:id="160"/>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2019</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320,603,293.75</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323,880,800.00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3,277,506.25</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341,888,216.85</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348,284,400.00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6,396,183.15</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662,491,510.60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672,165,200.00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9,673,689.40</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662,491,510.60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672,165,200.00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9,673,689.40</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2018</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323,612,931.72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326,571,900.00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2,958,968.28</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334,487,298.91</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341,851,500.00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7,364,201.09</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658,100,230.63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668,423,400.00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10,323,169.37</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658,100,230.63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668,423,400.00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10,323,169.37</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8015A7" w:rsidRDefault="001A59F9" w:rsidP="008015A7">
      <w:pPr>
        <w:pStyle w:val="20"/>
        <w:spacing w:before="29" w:after="0" w:line="288" w:lineRule="auto"/>
        <w:rPr>
          <w:rFonts w:ascii="Times New Roman" w:hAnsi="Times New Roman"/>
          <w:kern w:val="0"/>
          <w:szCs w:val="24"/>
        </w:rPr>
      </w:pPr>
      <w:bookmarkStart w:id="161" w:name="_Toc35966245"/>
      <w:r w:rsidRPr="008015A7">
        <w:rPr>
          <w:rFonts w:ascii="Times New Roman" w:hAnsi="Times New Roman"/>
          <w:kern w:val="0"/>
          <w:szCs w:val="24"/>
        </w:rPr>
        <w:t>7.4.7.3</w:t>
      </w:r>
      <w:r w:rsidRPr="008015A7">
        <w:rPr>
          <w:rFonts w:ascii="Times New Roman" w:hAnsi="Times New Roman" w:hint="eastAsia"/>
          <w:kern w:val="0"/>
          <w:szCs w:val="24"/>
        </w:rPr>
        <w:t>衍生金融资产</w:t>
      </w:r>
      <w:r w:rsidRPr="008015A7">
        <w:rPr>
          <w:rFonts w:ascii="Times New Roman" w:hAnsi="Times New Roman"/>
          <w:kern w:val="0"/>
          <w:szCs w:val="24"/>
        </w:rPr>
        <w:t>/</w:t>
      </w:r>
      <w:r w:rsidRPr="008015A7">
        <w:rPr>
          <w:rFonts w:ascii="Times New Roman" w:hAnsi="Times New Roman" w:hint="eastAsia"/>
          <w:kern w:val="0"/>
          <w:szCs w:val="24"/>
        </w:rPr>
        <w:t>负债</w:t>
      </w:r>
      <w:bookmarkEnd w:id="161"/>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8015A7" w:rsidRDefault="00C4194D" w:rsidP="008015A7">
      <w:pPr>
        <w:pStyle w:val="20"/>
        <w:spacing w:before="29" w:after="0" w:line="288" w:lineRule="auto"/>
        <w:rPr>
          <w:rFonts w:ascii="Times New Roman" w:hAnsi="Times New Roman"/>
          <w:kern w:val="0"/>
          <w:szCs w:val="24"/>
        </w:rPr>
      </w:pPr>
      <w:bookmarkStart w:id="162" w:name="_Toc35966246"/>
      <w:r w:rsidRPr="008015A7">
        <w:rPr>
          <w:rFonts w:ascii="Times New Roman" w:hAnsi="Times New Roman"/>
          <w:kern w:val="0"/>
          <w:szCs w:val="24"/>
        </w:rPr>
        <w:t>7.4.7.4</w:t>
      </w:r>
      <w:r w:rsidRPr="008015A7">
        <w:rPr>
          <w:rFonts w:ascii="Times New Roman" w:hAnsi="Times New Roman" w:hint="eastAsia"/>
          <w:kern w:val="0"/>
          <w:szCs w:val="24"/>
        </w:rPr>
        <w:t>买入返售金融资产</w:t>
      </w:r>
      <w:bookmarkEnd w:id="162"/>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本基金本报告期末及上年度末未持有买入返售金融资产。</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8015A7" w:rsidRDefault="005770BD" w:rsidP="008015A7">
      <w:pPr>
        <w:pStyle w:val="20"/>
        <w:spacing w:before="29" w:after="0" w:line="288" w:lineRule="auto"/>
        <w:rPr>
          <w:rFonts w:ascii="Times New Roman" w:hAnsi="Times New Roman"/>
          <w:kern w:val="0"/>
          <w:szCs w:val="24"/>
        </w:rPr>
      </w:pPr>
      <w:bookmarkStart w:id="163" w:name="_Toc35966247"/>
      <w:r w:rsidRPr="008015A7">
        <w:rPr>
          <w:rFonts w:ascii="Times New Roman" w:hAnsi="Times New Roman"/>
          <w:kern w:val="0"/>
          <w:szCs w:val="24"/>
        </w:rPr>
        <w:t>7.4.7.5</w:t>
      </w:r>
      <w:r w:rsidRPr="008015A7">
        <w:rPr>
          <w:rFonts w:ascii="Times New Roman" w:hAnsi="Times New Roman" w:hint="eastAsia"/>
          <w:kern w:val="0"/>
          <w:szCs w:val="24"/>
        </w:rPr>
        <w:t>应收利息</w:t>
      </w:r>
      <w:bookmarkEnd w:id="163"/>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151.08</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196.41</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10,065.22</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10,439.99</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12,435,140.15</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12,571,986.01</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w:t>
            </w:r>
            <w:proofErr w:type="gramStart"/>
            <w:r w:rsidRPr="00063F90">
              <w:rPr>
                <w:rFonts w:eastAsiaTheme="minorEastAsia"/>
                <w:sz w:val="24"/>
              </w:rPr>
              <w:t>孳</w:t>
            </w:r>
            <w:proofErr w:type="gramEnd"/>
            <w:r w:rsidRPr="00063F90">
              <w:rPr>
                <w:rFonts w:eastAsiaTheme="minorEastAsia"/>
                <w:sz w:val="24"/>
              </w:rPr>
              <w:t>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4.95</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12,445,356.45</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12,582,627.36</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8015A7" w:rsidRDefault="00BE7F3D" w:rsidP="008015A7">
      <w:pPr>
        <w:pStyle w:val="20"/>
        <w:spacing w:before="29" w:after="0" w:line="288" w:lineRule="auto"/>
        <w:rPr>
          <w:rFonts w:ascii="Times New Roman" w:hAnsi="Times New Roman"/>
          <w:kern w:val="0"/>
          <w:szCs w:val="24"/>
        </w:rPr>
      </w:pPr>
      <w:bookmarkStart w:id="164" w:name="_Toc35966248"/>
      <w:r w:rsidRPr="008015A7">
        <w:rPr>
          <w:rFonts w:ascii="Times New Roman" w:hAnsi="Times New Roman"/>
          <w:kern w:val="0"/>
          <w:szCs w:val="24"/>
        </w:rPr>
        <w:t xml:space="preserve">7.4.7.6 </w:t>
      </w:r>
      <w:r w:rsidRPr="008015A7">
        <w:rPr>
          <w:rFonts w:ascii="Times New Roman" w:hAnsi="Times New Roman"/>
          <w:kern w:val="0"/>
          <w:szCs w:val="24"/>
        </w:rPr>
        <w:t>其他资产</w:t>
      </w:r>
      <w:bookmarkEnd w:id="164"/>
    </w:p>
    <w:p w:rsidR="00BE7F3D" w:rsidRDefault="00BE7F3D" w:rsidP="008015A7">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8015A7" w:rsidRPr="008015A7" w:rsidRDefault="008015A7" w:rsidP="008015A7">
      <w:pPr>
        <w:tabs>
          <w:tab w:val="left" w:pos="426"/>
        </w:tabs>
        <w:spacing w:line="360" w:lineRule="auto"/>
        <w:jc w:val="left"/>
        <w:rPr>
          <w:rFonts w:eastAsiaTheme="minorEastAsia"/>
          <w:color w:val="000000" w:themeColor="text1"/>
          <w:kern w:val="0"/>
          <w:sz w:val="24"/>
        </w:rPr>
      </w:pPr>
    </w:p>
    <w:p w:rsidR="001A59F9" w:rsidRPr="008015A7" w:rsidRDefault="001A59F9" w:rsidP="008015A7">
      <w:pPr>
        <w:pStyle w:val="20"/>
        <w:spacing w:before="29" w:after="0" w:line="288" w:lineRule="auto"/>
        <w:rPr>
          <w:rFonts w:ascii="Times New Roman" w:hAnsi="Times New Roman"/>
          <w:kern w:val="0"/>
          <w:szCs w:val="24"/>
        </w:rPr>
      </w:pPr>
      <w:bookmarkStart w:id="165" w:name="_Toc35966249"/>
      <w:r w:rsidRPr="008015A7">
        <w:rPr>
          <w:rFonts w:ascii="Times New Roman" w:hAnsi="Times New Roman"/>
          <w:kern w:val="0"/>
          <w:szCs w:val="24"/>
        </w:rPr>
        <w:t>7.4.7.7</w:t>
      </w:r>
      <w:r w:rsidRPr="008015A7">
        <w:rPr>
          <w:rFonts w:ascii="Times New Roman" w:hAnsi="Times New Roman" w:hint="eastAsia"/>
          <w:kern w:val="0"/>
          <w:szCs w:val="24"/>
        </w:rPr>
        <w:t>应付交易费用</w:t>
      </w:r>
      <w:bookmarkEnd w:id="165"/>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9,826.93</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9,306.82</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9,826.93</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9,306.82</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8015A7" w:rsidRDefault="001A59F9" w:rsidP="008015A7">
      <w:pPr>
        <w:pStyle w:val="20"/>
        <w:spacing w:before="29" w:after="0" w:line="288" w:lineRule="auto"/>
        <w:rPr>
          <w:rFonts w:ascii="Times New Roman" w:hAnsi="Times New Roman"/>
          <w:kern w:val="0"/>
          <w:szCs w:val="24"/>
        </w:rPr>
      </w:pPr>
      <w:bookmarkStart w:id="166" w:name="_Toc35966250"/>
      <w:r w:rsidRPr="008015A7">
        <w:rPr>
          <w:rFonts w:ascii="Times New Roman" w:hAnsi="Times New Roman"/>
          <w:kern w:val="0"/>
          <w:szCs w:val="24"/>
        </w:rPr>
        <w:t>7.4.7.8</w:t>
      </w:r>
      <w:r w:rsidRPr="008015A7">
        <w:rPr>
          <w:rFonts w:ascii="Times New Roman" w:hAnsi="Times New Roman" w:hint="eastAsia"/>
          <w:kern w:val="0"/>
          <w:szCs w:val="24"/>
        </w:rPr>
        <w:t>其他负债</w:t>
      </w:r>
      <w:bookmarkEnd w:id="166"/>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644057">
        <w:tc>
          <w:tcPr>
            <w:tcW w:w="2715" w:type="dxa"/>
            <w:vAlign w:val="center"/>
          </w:tcPr>
          <w:p w:rsidR="00644057" w:rsidRDefault="00A20092">
            <w:pPr>
              <w:jc w:val="left"/>
            </w:pPr>
            <w:r>
              <w:rPr>
                <w:sz w:val="24"/>
              </w:rPr>
              <w:t>预提信息披露费</w:t>
            </w:r>
          </w:p>
        </w:tc>
        <w:tc>
          <w:tcPr>
            <w:tcW w:w="3150" w:type="dxa"/>
            <w:vAlign w:val="center"/>
          </w:tcPr>
          <w:p w:rsidR="00644057" w:rsidRDefault="00A20092">
            <w:pPr>
              <w:jc w:val="right"/>
            </w:pPr>
            <w:r>
              <w:rPr>
                <w:sz w:val="24"/>
              </w:rPr>
              <w:t>120,000.00</w:t>
            </w:r>
          </w:p>
        </w:tc>
        <w:tc>
          <w:tcPr>
            <w:tcW w:w="3150" w:type="dxa"/>
            <w:vAlign w:val="center"/>
          </w:tcPr>
          <w:p w:rsidR="00644057" w:rsidRDefault="00A20092">
            <w:pPr>
              <w:jc w:val="right"/>
            </w:pPr>
            <w:r>
              <w:rPr>
                <w:sz w:val="24"/>
              </w:rPr>
              <w:t>240,000.00</w:t>
            </w:r>
          </w:p>
        </w:tc>
      </w:tr>
      <w:tr w:rsidR="00644057">
        <w:tc>
          <w:tcPr>
            <w:tcW w:w="2715" w:type="dxa"/>
            <w:vAlign w:val="center"/>
          </w:tcPr>
          <w:p w:rsidR="00644057" w:rsidRDefault="00A20092">
            <w:pPr>
              <w:jc w:val="left"/>
            </w:pPr>
            <w:r>
              <w:rPr>
                <w:sz w:val="24"/>
              </w:rPr>
              <w:t>预提审计费</w:t>
            </w:r>
          </w:p>
        </w:tc>
        <w:tc>
          <w:tcPr>
            <w:tcW w:w="3150" w:type="dxa"/>
            <w:vAlign w:val="center"/>
          </w:tcPr>
          <w:p w:rsidR="00644057" w:rsidRDefault="00A20092">
            <w:pPr>
              <w:jc w:val="right"/>
            </w:pPr>
            <w:r>
              <w:rPr>
                <w:sz w:val="24"/>
              </w:rPr>
              <w:t>60,000.00</w:t>
            </w:r>
          </w:p>
        </w:tc>
        <w:tc>
          <w:tcPr>
            <w:tcW w:w="3150" w:type="dxa"/>
            <w:vAlign w:val="center"/>
          </w:tcPr>
          <w:p w:rsidR="00644057" w:rsidRDefault="00A20092">
            <w:pPr>
              <w:jc w:val="right"/>
            </w:pPr>
            <w:r>
              <w:rPr>
                <w:sz w:val="24"/>
              </w:rPr>
              <w:t>60,000.00</w:t>
            </w:r>
          </w:p>
        </w:tc>
      </w:tr>
      <w:tr w:rsidR="00644057">
        <w:tc>
          <w:tcPr>
            <w:tcW w:w="2715" w:type="dxa"/>
            <w:vAlign w:val="center"/>
          </w:tcPr>
          <w:p w:rsidR="00644057" w:rsidRDefault="00A20092">
            <w:pPr>
              <w:jc w:val="left"/>
            </w:pPr>
            <w:r>
              <w:rPr>
                <w:sz w:val="24"/>
              </w:rPr>
              <w:t>预提账户维护费</w:t>
            </w:r>
          </w:p>
        </w:tc>
        <w:tc>
          <w:tcPr>
            <w:tcW w:w="3150" w:type="dxa"/>
            <w:vAlign w:val="center"/>
          </w:tcPr>
          <w:p w:rsidR="00644057" w:rsidRDefault="00A20092">
            <w:pPr>
              <w:jc w:val="right"/>
            </w:pPr>
            <w:r>
              <w:rPr>
                <w:sz w:val="24"/>
              </w:rPr>
              <w:t>9,300.00</w:t>
            </w:r>
          </w:p>
        </w:tc>
        <w:tc>
          <w:tcPr>
            <w:tcW w:w="3150" w:type="dxa"/>
            <w:vAlign w:val="center"/>
          </w:tcPr>
          <w:p w:rsidR="00644057" w:rsidRDefault="00A20092">
            <w:pPr>
              <w:jc w:val="right"/>
            </w:pPr>
            <w:r>
              <w:rPr>
                <w:sz w:val="24"/>
              </w:rPr>
              <w:t>9,300.00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189,300.00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309,300.00</w:t>
            </w:r>
          </w:p>
        </w:tc>
      </w:tr>
    </w:tbl>
    <w:p w:rsidR="001A59F9" w:rsidRPr="007F57C2" w:rsidRDefault="001A59F9" w:rsidP="007F57C2">
      <w:pPr>
        <w:spacing w:before="29" w:line="288" w:lineRule="auto"/>
        <w:rPr>
          <w:rFonts w:eastAsiaTheme="minorEastAsia"/>
          <w:b/>
          <w:sz w:val="24"/>
        </w:rPr>
      </w:pPr>
    </w:p>
    <w:p w:rsidR="001A59F9" w:rsidRPr="008015A7" w:rsidRDefault="001A59F9" w:rsidP="008015A7">
      <w:pPr>
        <w:pStyle w:val="20"/>
        <w:spacing w:before="29" w:after="0" w:line="288" w:lineRule="auto"/>
        <w:rPr>
          <w:rFonts w:ascii="Times New Roman" w:hAnsi="Times New Roman"/>
          <w:kern w:val="0"/>
          <w:szCs w:val="24"/>
        </w:rPr>
      </w:pPr>
      <w:bookmarkStart w:id="167" w:name="_Toc35966251"/>
      <w:r w:rsidRPr="008015A7">
        <w:rPr>
          <w:rFonts w:ascii="Times New Roman" w:hAnsi="Times New Roman"/>
          <w:kern w:val="0"/>
          <w:szCs w:val="24"/>
        </w:rPr>
        <w:t>7.4.7.9</w:t>
      </w:r>
      <w:r w:rsidRPr="008015A7">
        <w:rPr>
          <w:rFonts w:ascii="Times New Roman" w:hAnsi="Times New Roman" w:hint="eastAsia"/>
          <w:kern w:val="0"/>
          <w:szCs w:val="24"/>
        </w:rPr>
        <w:t>实收基金</w:t>
      </w:r>
      <w:bookmarkEnd w:id="167"/>
    </w:p>
    <w:p w:rsidR="0052004A" w:rsidRPr="00491F1D" w:rsidRDefault="0052004A" w:rsidP="000C342B">
      <w:pPr>
        <w:adjustRightInd w:val="0"/>
        <w:snapToGrid w:val="0"/>
        <w:spacing w:before="29" w:line="288" w:lineRule="auto"/>
        <w:rPr>
          <w:b/>
          <w:sz w:val="24"/>
        </w:rPr>
      </w:pPr>
      <w:r w:rsidRPr="00491F1D">
        <w:rPr>
          <w:b/>
          <w:sz w:val="24"/>
        </w:rPr>
        <w:t>交银丰晟收益债券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330,813,244.80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330,813,244.80</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330,813,244.80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330,813,244.80</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交银丰晟收益债券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776,663.43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776,663.43</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776,663.43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776,663.43</w:t>
            </w:r>
          </w:p>
        </w:tc>
      </w:tr>
    </w:tbl>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注：根据《交银施罗德丰晟收益债券型证券投资基金基金合同》、《交银施罗德丰晟收益债券型证券投资基金招募说明书》的相关规定，本基金在基金合同生效之日起两年内</w:t>
      </w:r>
      <w:r w:rsidRPr="00400137">
        <w:rPr>
          <w:kern w:val="0"/>
          <w:sz w:val="24"/>
        </w:rPr>
        <w:t>(</w:t>
      </w:r>
      <w:r w:rsidRPr="00400137">
        <w:rPr>
          <w:kern w:val="0"/>
          <w:sz w:val="24"/>
        </w:rPr>
        <w:t>含两年</w:t>
      </w:r>
      <w:r w:rsidRPr="00400137">
        <w:rPr>
          <w:kern w:val="0"/>
          <w:sz w:val="24"/>
        </w:rPr>
        <w:t>)</w:t>
      </w:r>
      <w:r w:rsidRPr="00400137">
        <w:rPr>
          <w:kern w:val="0"/>
          <w:sz w:val="24"/>
        </w:rPr>
        <w:t>封闭式运作。于封闭期内，基金投资者不能申购、赎回本基金份额。</w:t>
      </w:r>
      <w:r w:rsidR="001841E7">
        <w:rPr>
          <w:rFonts w:hint="eastAsia"/>
          <w:kern w:val="0"/>
          <w:sz w:val="24"/>
        </w:rPr>
        <w:br/>
      </w:r>
    </w:p>
    <w:p w:rsidR="001A59F9" w:rsidRPr="008015A7" w:rsidRDefault="001A59F9" w:rsidP="008015A7">
      <w:pPr>
        <w:pStyle w:val="20"/>
        <w:spacing w:before="29" w:after="0" w:line="288" w:lineRule="auto"/>
        <w:rPr>
          <w:rFonts w:ascii="Times New Roman" w:hAnsi="Times New Roman"/>
          <w:kern w:val="0"/>
          <w:szCs w:val="24"/>
        </w:rPr>
      </w:pPr>
      <w:bookmarkStart w:id="168" w:name="_Toc35966252"/>
      <w:r w:rsidRPr="008015A7">
        <w:rPr>
          <w:rFonts w:ascii="Times New Roman" w:hAnsi="Times New Roman"/>
          <w:kern w:val="0"/>
          <w:szCs w:val="24"/>
        </w:rPr>
        <w:t>7.4.7.10</w:t>
      </w:r>
      <w:r w:rsidRPr="008015A7">
        <w:rPr>
          <w:rFonts w:ascii="Times New Roman" w:hAnsi="Times New Roman" w:hint="eastAsia"/>
          <w:kern w:val="0"/>
          <w:szCs w:val="24"/>
        </w:rPr>
        <w:t>未分配利润</w:t>
      </w:r>
      <w:bookmarkEnd w:id="168"/>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交银丰晟收益债券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12,167,959.63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10,299,032.83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22,466,992.46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19,539,713.70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-647,962.46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18,891,751.24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w:t>
            </w:r>
            <w:proofErr w:type="gramStart"/>
            <w:r w:rsidRPr="00A23615">
              <w:rPr>
                <w:rFonts w:hint="eastAsia"/>
                <w:color w:val="000000"/>
                <w:sz w:val="24"/>
              </w:rPr>
              <w:t>赎回款</w:t>
            </w:r>
            <w:proofErr w:type="gramEnd"/>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-11,247,650.94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-11,247,650.94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20,460,022.39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9,651,070.37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30,111,092.76</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交银丰晟收益债券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25,589.73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24,136.54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49,726.27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40,755.69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-1,517.51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39,238.18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w:t>
            </w:r>
            <w:proofErr w:type="gramStart"/>
            <w:r w:rsidRPr="00A23615">
              <w:rPr>
                <w:rFonts w:hint="eastAsia"/>
                <w:color w:val="000000"/>
                <w:sz w:val="24"/>
              </w:rPr>
              <w:t>赎回款</w:t>
            </w:r>
            <w:proofErr w:type="gramEnd"/>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-23,299.92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-23,299.92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43,045.50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22,619.03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65,664.53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8015A7" w:rsidRDefault="001A59F9" w:rsidP="008015A7">
      <w:pPr>
        <w:pStyle w:val="20"/>
        <w:spacing w:before="29" w:after="0" w:line="288" w:lineRule="auto"/>
        <w:rPr>
          <w:rFonts w:ascii="Times New Roman" w:hAnsi="Times New Roman"/>
          <w:kern w:val="0"/>
          <w:szCs w:val="24"/>
        </w:rPr>
      </w:pPr>
      <w:bookmarkStart w:id="169" w:name="_Toc35966253"/>
      <w:r w:rsidRPr="008015A7">
        <w:rPr>
          <w:rFonts w:ascii="Times New Roman" w:hAnsi="Times New Roman"/>
          <w:kern w:val="0"/>
          <w:szCs w:val="24"/>
        </w:rPr>
        <w:t>7.4.7.11</w:t>
      </w:r>
      <w:r w:rsidRPr="008015A7">
        <w:rPr>
          <w:rFonts w:ascii="Times New Roman" w:hAnsi="Times New Roman" w:hint="eastAsia"/>
          <w:kern w:val="0"/>
          <w:szCs w:val="24"/>
        </w:rPr>
        <w:t>存款利息收入</w:t>
      </w:r>
      <w:bookmarkEnd w:id="169"/>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5</w:t>
            </w:r>
            <w:r w:rsidRPr="000C342B">
              <w:rPr>
                <w:color w:val="000000"/>
                <w:sz w:val="24"/>
              </w:rPr>
              <w:t>月</w:t>
            </w:r>
            <w:r w:rsidRPr="000C342B">
              <w:rPr>
                <w:color w:val="000000"/>
                <w:sz w:val="24"/>
              </w:rPr>
              <w:t>23</w:t>
            </w:r>
            <w:r w:rsidRPr="000C342B">
              <w:rPr>
                <w:color w:val="000000"/>
                <w:sz w:val="24"/>
              </w:rPr>
              <w:t>日（基金合同生效日）至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6,206.83</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30,850.03</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313,962.36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159,050.81</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27.32</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252.17</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320,196.51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190,153.01</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8015A7" w:rsidRDefault="009A2BBA" w:rsidP="008015A7">
      <w:pPr>
        <w:pStyle w:val="20"/>
        <w:spacing w:before="29" w:after="0" w:line="288" w:lineRule="auto"/>
        <w:rPr>
          <w:rFonts w:ascii="Times New Roman" w:hAnsi="Times New Roman"/>
          <w:kern w:val="0"/>
          <w:szCs w:val="24"/>
        </w:rPr>
      </w:pPr>
      <w:bookmarkStart w:id="170" w:name="_Toc35966254"/>
      <w:r w:rsidRPr="008015A7">
        <w:rPr>
          <w:rFonts w:ascii="Times New Roman" w:hAnsi="Times New Roman"/>
          <w:kern w:val="0"/>
          <w:szCs w:val="24"/>
        </w:rPr>
        <w:t xml:space="preserve">7.4.7.12 </w:t>
      </w:r>
      <w:r w:rsidRPr="008015A7">
        <w:rPr>
          <w:rFonts w:ascii="Times New Roman" w:hAnsi="Times New Roman" w:hint="eastAsia"/>
          <w:kern w:val="0"/>
          <w:szCs w:val="24"/>
        </w:rPr>
        <w:t>股票投资收益</w:t>
      </w:r>
      <w:bookmarkEnd w:id="170"/>
    </w:p>
    <w:p w:rsidR="009A2BBA" w:rsidRDefault="009A2BBA" w:rsidP="009108B4">
      <w:pPr>
        <w:tabs>
          <w:tab w:val="left" w:pos="426"/>
        </w:tabs>
        <w:spacing w:before="29" w:line="288" w:lineRule="auto"/>
        <w:jc w:val="left"/>
        <w:rPr>
          <w:kern w:val="0"/>
          <w:sz w:val="24"/>
        </w:rPr>
      </w:pPr>
      <w:r w:rsidRPr="009108B4">
        <w:rPr>
          <w:kern w:val="0"/>
          <w:sz w:val="24"/>
        </w:rPr>
        <w:t>本基金本报告期内及上年度可比期间无股票投资收益。</w:t>
      </w:r>
    </w:p>
    <w:p w:rsidR="008015A7" w:rsidRDefault="008015A7" w:rsidP="009108B4">
      <w:pPr>
        <w:tabs>
          <w:tab w:val="left" w:pos="426"/>
        </w:tabs>
        <w:spacing w:before="29" w:line="288" w:lineRule="auto"/>
        <w:jc w:val="left"/>
        <w:rPr>
          <w:kern w:val="0"/>
          <w:sz w:val="24"/>
        </w:rPr>
      </w:pPr>
    </w:p>
    <w:p w:rsidR="001A59F9" w:rsidRPr="008015A7" w:rsidRDefault="004C2C35" w:rsidP="008015A7">
      <w:pPr>
        <w:pStyle w:val="20"/>
        <w:spacing w:before="29" w:after="0" w:line="288" w:lineRule="auto"/>
        <w:rPr>
          <w:rFonts w:ascii="Times New Roman" w:hAnsi="Times New Roman"/>
          <w:kern w:val="0"/>
          <w:szCs w:val="24"/>
        </w:rPr>
      </w:pPr>
      <w:bookmarkStart w:id="171" w:name="_Toc35966255"/>
      <w:r w:rsidRPr="008015A7">
        <w:rPr>
          <w:rFonts w:ascii="Times New Roman" w:hAnsi="Times New Roman"/>
          <w:kern w:val="0"/>
          <w:szCs w:val="24"/>
        </w:rPr>
        <w:t>7.4.7.13</w:t>
      </w:r>
      <w:r w:rsidR="001A59F9" w:rsidRPr="008015A7">
        <w:rPr>
          <w:rFonts w:ascii="Times New Roman" w:hAnsi="Times New Roman" w:hint="eastAsia"/>
          <w:kern w:val="0"/>
          <w:szCs w:val="24"/>
        </w:rPr>
        <w:t>债券投资收益</w:t>
      </w:r>
      <w:bookmarkEnd w:id="171"/>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5</w:t>
            </w:r>
            <w:r w:rsidRPr="000F1CA9">
              <w:rPr>
                <w:color w:val="000000"/>
                <w:sz w:val="24"/>
              </w:rPr>
              <w:t>月</w:t>
            </w:r>
            <w:r w:rsidRPr="000F1CA9">
              <w:rPr>
                <w:color w:val="000000"/>
                <w:sz w:val="24"/>
              </w:rPr>
              <w:t>23</w:t>
            </w:r>
            <w:r w:rsidRPr="000F1CA9">
              <w:rPr>
                <w:color w:val="000000"/>
                <w:sz w:val="24"/>
              </w:rPr>
              <w:t>日（基金合同生效日）至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13,414,901.92</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227,803,746.86</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12,624,310.98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221,248,629.68</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325,137.55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4,752,463.01</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465,453.39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1,802,654.17</w:t>
            </w:r>
          </w:p>
        </w:tc>
      </w:tr>
    </w:tbl>
    <w:p w:rsidR="00D81C9A" w:rsidRPr="00DF3766" w:rsidRDefault="00D81C9A" w:rsidP="00DF3766">
      <w:pPr>
        <w:tabs>
          <w:tab w:val="left" w:pos="426"/>
        </w:tabs>
        <w:spacing w:before="29" w:line="288" w:lineRule="auto"/>
        <w:jc w:val="left"/>
        <w:rPr>
          <w:kern w:val="0"/>
          <w:sz w:val="24"/>
        </w:rPr>
      </w:pPr>
    </w:p>
    <w:p w:rsidR="005C4A35" w:rsidRPr="008015A7" w:rsidRDefault="0092148E" w:rsidP="008015A7">
      <w:pPr>
        <w:pStyle w:val="20"/>
        <w:spacing w:before="29" w:after="0" w:line="288" w:lineRule="auto"/>
        <w:rPr>
          <w:rFonts w:ascii="Times New Roman" w:hAnsi="Times New Roman"/>
          <w:kern w:val="0"/>
          <w:szCs w:val="24"/>
        </w:rPr>
      </w:pPr>
      <w:bookmarkStart w:id="172" w:name="_Toc35966256"/>
      <w:r w:rsidRPr="008015A7">
        <w:rPr>
          <w:rFonts w:ascii="Times New Roman" w:hAnsi="Times New Roman"/>
          <w:kern w:val="0"/>
          <w:szCs w:val="24"/>
        </w:rPr>
        <w:t>7.4.7.</w:t>
      </w:r>
      <w:r w:rsidR="005C4A35" w:rsidRPr="008015A7">
        <w:rPr>
          <w:rFonts w:ascii="Times New Roman" w:hAnsi="Times New Roman" w:hint="eastAsia"/>
          <w:kern w:val="0"/>
          <w:szCs w:val="24"/>
        </w:rPr>
        <w:t xml:space="preserve">14 </w:t>
      </w:r>
      <w:r w:rsidR="005C4A35" w:rsidRPr="008015A7">
        <w:rPr>
          <w:rFonts w:ascii="Times New Roman" w:hAnsi="Times New Roman" w:hint="eastAsia"/>
          <w:kern w:val="0"/>
          <w:szCs w:val="24"/>
        </w:rPr>
        <w:t>资产支持证券投资收益</w:t>
      </w:r>
      <w:bookmarkEnd w:id="172"/>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8015A7" w:rsidRDefault="001A59F9" w:rsidP="008015A7">
      <w:pPr>
        <w:pStyle w:val="20"/>
        <w:spacing w:before="29" w:after="0" w:line="288" w:lineRule="auto"/>
        <w:rPr>
          <w:rFonts w:ascii="Times New Roman" w:hAnsi="Times New Roman"/>
          <w:kern w:val="0"/>
          <w:szCs w:val="24"/>
        </w:rPr>
      </w:pPr>
      <w:bookmarkStart w:id="173" w:name="_Toc35966257"/>
      <w:r w:rsidRPr="008015A7">
        <w:rPr>
          <w:rFonts w:ascii="Times New Roman" w:hAnsi="Times New Roman"/>
          <w:kern w:val="0"/>
          <w:szCs w:val="24"/>
        </w:rPr>
        <w:t>7.4.7.15</w:t>
      </w:r>
      <w:r w:rsidRPr="008015A7">
        <w:rPr>
          <w:rFonts w:ascii="Times New Roman" w:hAnsi="Times New Roman" w:hint="eastAsia"/>
          <w:kern w:val="0"/>
          <w:szCs w:val="24"/>
        </w:rPr>
        <w:t>衍生工具收益</w:t>
      </w:r>
      <w:bookmarkEnd w:id="173"/>
    </w:p>
    <w:p w:rsidR="000B0E6B"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rsidR="008015A7" w:rsidRPr="00294E74" w:rsidRDefault="008015A7" w:rsidP="00294E74">
      <w:pPr>
        <w:tabs>
          <w:tab w:val="left" w:pos="426"/>
        </w:tabs>
        <w:spacing w:before="29" w:line="288" w:lineRule="auto"/>
        <w:jc w:val="left"/>
        <w:rPr>
          <w:kern w:val="0"/>
          <w:sz w:val="24"/>
        </w:rPr>
      </w:pPr>
    </w:p>
    <w:p w:rsidR="001A59F9" w:rsidRPr="008015A7" w:rsidRDefault="001A59F9" w:rsidP="008015A7">
      <w:pPr>
        <w:pStyle w:val="20"/>
        <w:spacing w:before="29" w:after="0" w:line="288" w:lineRule="auto"/>
        <w:rPr>
          <w:rFonts w:ascii="Times New Roman" w:hAnsi="Times New Roman"/>
          <w:kern w:val="0"/>
          <w:szCs w:val="24"/>
        </w:rPr>
      </w:pPr>
      <w:bookmarkStart w:id="174" w:name="_Toc35966258"/>
      <w:r w:rsidRPr="008015A7">
        <w:rPr>
          <w:rFonts w:ascii="Times New Roman" w:hAnsi="Times New Roman"/>
          <w:kern w:val="0"/>
          <w:szCs w:val="24"/>
        </w:rPr>
        <w:t>7.4.7.16</w:t>
      </w:r>
      <w:r w:rsidRPr="008015A7">
        <w:rPr>
          <w:rFonts w:ascii="Times New Roman" w:hAnsi="Times New Roman" w:hint="eastAsia"/>
          <w:kern w:val="0"/>
          <w:szCs w:val="24"/>
        </w:rPr>
        <w:t>股利收益</w:t>
      </w:r>
      <w:bookmarkEnd w:id="174"/>
    </w:p>
    <w:p w:rsidR="001A59F9"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8015A7" w:rsidRPr="00294E74" w:rsidRDefault="008015A7" w:rsidP="00294E74">
      <w:pPr>
        <w:tabs>
          <w:tab w:val="left" w:pos="426"/>
        </w:tabs>
        <w:spacing w:before="29" w:line="288" w:lineRule="auto"/>
        <w:jc w:val="left"/>
        <w:rPr>
          <w:kern w:val="0"/>
          <w:sz w:val="24"/>
        </w:rPr>
      </w:pPr>
    </w:p>
    <w:p w:rsidR="005743CD" w:rsidRPr="008015A7" w:rsidRDefault="005743CD" w:rsidP="008015A7">
      <w:pPr>
        <w:pStyle w:val="20"/>
        <w:spacing w:before="29" w:after="0" w:line="288" w:lineRule="auto"/>
        <w:rPr>
          <w:rFonts w:ascii="Times New Roman" w:hAnsi="Times New Roman"/>
          <w:kern w:val="0"/>
          <w:szCs w:val="24"/>
        </w:rPr>
      </w:pPr>
      <w:bookmarkStart w:id="175" w:name="_Toc35966259"/>
      <w:r w:rsidRPr="008015A7">
        <w:rPr>
          <w:rFonts w:ascii="Times New Roman" w:hAnsi="Times New Roman"/>
          <w:kern w:val="0"/>
          <w:szCs w:val="24"/>
        </w:rPr>
        <w:t>7.4.7.17</w:t>
      </w:r>
      <w:r w:rsidRPr="008015A7">
        <w:rPr>
          <w:rFonts w:ascii="Times New Roman" w:hAnsi="Times New Roman"/>
          <w:kern w:val="0"/>
          <w:szCs w:val="24"/>
        </w:rPr>
        <w:t>公允价值变动收益</w:t>
      </w:r>
      <w:bookmarkEnd w:id="175"/>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5</w:t>
            </w:r>
            <w:r w:rsidRPr="00063F90">
              <w:rPr>
                <w:rFonts w:eastAsiaTheme="minorEastAsia"/>
                <w:sz w:val="24"/>
              </w:rPr>
              <w:t>月</w:t>
            </w:r>
            <w:r w:rsidRPr="00063F90">
              <w:rPr>
                <w:rFonts w:eastAsiaTheme="minorEastAsia"/>
                <w:sz w:val="24"/>
              </w:rPr>
              <w:t>23</w:t>
            </w:r>
            <w:r w:rsidRPr="00063F90">
              <w:rPr>
                <w:rFonts w:eastAsiaTheme="minorEastAsia"/>
                <w:sz w:val="24"/>
              </w:rPr>
              <w:t>日（基金合同生效日）至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-649,479.97</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10,323,169.37</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-649,479.97</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10,323,169.37</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-649,479.97</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10,323,169.37</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15637A" w:rsidRDefault="001A59F9" w:rsidP="0015637A">
      <w:pPr>
        <w:pStyle w:val="20"/>
        <w:spacing w:before="29" w:after="0" w:line="288" w:lineRule="auto"/>
        <w:rPr>
          <w:rFonts w:ascii="Times New Roman" w:hAnsi="Times New Roman"/>
          <w:kern w:val="0"/>
          <w:szCs w:val="24"/>
        </w:rPr>
      </w:pPr>
      <w:bookmarkStart w:id="176" w:name="_Toc35966260"/>
      <w:r w:rsidRPr="0015637A">
        <w:rPr>
          <w:rFonts w:ascii="Times New Roman" w:hAnsi="Times New Roman"/>
          <w:kern w:val="0"/>
          <w:szCs w:val="24"/>
        </w:rPr>
        <w:t>7.4.7.18</w:t>
      </w:r>
      <w:r w:rsidRPr="0015637A">
        <w:rPr>
          <w:rFonts w:ascii="Times New Roman" w:hAnsi="Times New Roman" w:hint="eastAsia"/>
          <w:kern w:val="0"/>
          <w:szCs w:val="24"/>
        </w:rPr>
        <w:t>其他收入</w:t>
      </w:r>
      <w:bookmarkEnd w:id="176"/>
    </w:p>
    <w:p w:rsidR="001A59F9" w:rsidRDefault="001A59F9" w:rsidP="00294E74">
      <w:pPr>
        <w:tabs>
          <w:tab w:val="left" w:pos="426"/>
        </w:tabs>
        <w:spacing w:before="29" w:line="288" w:lineRule="auto"/>
        <w:jc w:val="left"/>
        <w:rPr>
          <w:kern w:val="0"/>
          <w:sz w:val="24"/>
        </w:rPr>
      </w:pPr>
      <w:r w:rsidRPr="00294E74">
        <w:rPr>
          <w:kern w:val="0"/>
          <w:sz w:val="24"/>
        </w:rPr>
        <w:t>本基金本报告期内及上年度可比期间无其他收入。</w:t>
      </w:r>
    </w:p>
    <w:p w:rsidR="0015637A" w:rsidRPr="00294E74" w:rsidRDefault="0015637A" w:rsidP="00294E74">
      <w:pPr>
        <w:tabs>
          <w:tab w:val="left" w:pos="426"/>
        </w:tabs>
        <w:spacing w:before="29" w:line="288" w:lineRule="auto"/>
        <w:jc w:val="left"/>
        <w:rPr>
          <w:kern w:val="0"/>
          <w:sz w:val="24"/>
        </w:rPr>
      </w:pPr>
    </w:p>
    <w:p w:rsidR="00660056" w:rsidRPr="0015637A" w:rsidRDefault="00660056" w:rsidP="0015637A">
      <w:pPr>
        <w:pStyle w:val="20"/>
        <w:spacing w:before="29" w:after="0" w:line="288" w:lineRule="auto"/>
        <w:rPr>
          <w:rFonts w:ascii="Times New Roman" w:hAnsi="Times New Roman"/>
          <w:kern w:val="0"/>
          <w:szCs w:val="24"/>
        </w:rPr>
      </w:pPr>
      <w:bookmarkStart w:id="177" w:name="_Toc35966261"/>
      <w:r w:rsidRPr="0015637A">
        <w:rPr>
          <w:rFonts w:ascii="Times New Roman" w:hAnsi="Times New Roman"/>
          <w:kern w:val="0"/>
          <w:szCs w:val="24"/>
        </w:rPr>
        <w:t xml:space="preserve">7.4.7.19 </w:t>
      </w:r>
      <w:r w:rsidRPr="0015637A">
        <w:rPr>
          <w:rFonts w:ascii="Times New Roman" w:hAnsi="Times New Roman"/>
          <w:kern w:val="0"/>
          <w:szCs w:val="24"/>
        </w:rPr>
        <w:t>交易费用</w:t>
      </w:r>
      <w:bookmarkEnd w:id="177"/>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346EB8">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5</w:t>
            </w:r>
            <w:r w:rsidRPr="00A73188">
              <w:rPr>
                <w:rFonts w:eastAsiaTheme="minorEastAsia"/>
                <w:color w:val="000000" w:themeColor="text1"/>
                <w:szCs w:val="21"/>
              </w:rPr>
              <w:t>月</w:t>
            </w:r>
            <w:r w:rsidRPr="00A73188">
              <w:rPr>
                <w:rFonts w:eastAsiaTheme="minorEastAsia"/>
                <w:color w:val="000000" w:themeColor="text1"/>
                <w:szCs w:val="21"/>
              </w:rPr>
              <w:t>23</w:t>
            </w:r>
            <w:r w:rsidRPr="00A73188">
              <w:rPr>
                <w:rFonts w:eastAsiaTheme="minorEastAsia"/>
                <w:color w:val="000000" w:themeColor="text1"/>
                <w:szCs w:val="21"/>
              </w:rPr>
              <w:t>日（基金合同生效日）至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3.12</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1,286.11</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367.50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6,837.50</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370.62</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8,123.61</w:t>
            </w:r>
          </w:p>
        </w:tc>
      </w:tr>
    </w:tbl>
    <w:p w:rsidR="00E670B7" w:rsidRDefault="00E670B7" w:rsidP="0091476E">
      <w:pPr>
        <w:spacing w:before="29" w:line="288" w:lineRule="auto"/>
        <w:rPr>
          <w:rFonts w:eastAsiaTheme="minorEastAsia"/>
          <w:b/>
          <w:sz w:val="24"/>
        </w:rPr>
      </w:pPr>
    </w:p>
    <w:p w:rsidR="001A59F9" w:rsidRPr="00E670B7" w:rsidRDefault="001A59F9" w:rsidP="00E670B7">
      <w:pPr>
        <w:pStyle w:val="20"/>
        <w:spacing w:before="29" w:after="0" w:line="288" w:lineRule="auto"/>
        <w:rPr>
          <w:rFonts w:ascii="Times New Roman" w:hAnsi="Times New Roman"/>
          <w:kern w:val="0"/>
          <w:szCs w:val="24"/>
        </w:rPr>
      </w:pPr>
      <w:bookmarkStart w:id="178" w:name="_Toc35966262"/>
      <w:r w:rsidRPr="00E670B7">
        <w:rPr>
          <w:rFonts w:ascii="Times New Roman" w:hAnsi="Times New Roman"/>
          <w:kern w:val="0"/>
          <w:szCs w:val="24"/>
        </w:rPr>
        <w:t>7.4.7.20</w:t>
      </w:r>
      <w:r w:rsidRPr="00E670B7">
        <w:rPr>
          <w:rFonts w:ascii="Times New Roman" w:hAnsi="Times New Roman" w:hint="eastAsia"/>
          <w:kern w:val="0"/>
          <w:szCs w:val="24"/>
        </w:rPr>
        <w:t>其他费用</w:t>
      </w:r>
      <w:bookmarkEnd w:id="178"/>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5</w:t>
            </w:r>
            <w:r w:rsidRPr="000C342B">
              <w:rPr>
                <w:color w:val="000000"/>
                <w:sz w:val="24"/>
              </w:rPr>
              <w:t>月</w:t>
            </w:r>
            <w:r w:rsidRPr="000C342B">
              <w:rPr>
                <w:color w:val="000000"/>
                <w:sz w:val="24"/>
              </w:rPr>
              <w:t>23</w:t>
            </w:r>
            <w:r w:rsidRPr="000C342B">
              <w:rPr>
                <w:color w:val="000000"/>
                <w:sz w:val="24"/>
              </w:rPr>
              <w:t>日（基金合同生效日）至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r>
      <w:tr w:rsidR="00644057">
        <w:tc>
          <w:tcPr>
            <w:tcW w:w="2819" w:type="dxa"/>
            <w:vAlign w:val="center"/>
          </w:tcPr>
          <w:p w:rsidR="00644057" w:rsidRDefault="00A20092">
            <w:pPr>
              <w:jc w:val="left"/>
            </w:pPr>
            <w:r>
              <w:rPr>
                <w:sz w:val="24"/>
              </w:rPr>
              <w:t>银行费用</w:t>
            </w:r>
          </w:p>
        </w:tc>
        <w:tc>
          <w:tcPr>
            <w:tcW w:w="2856" w:type="dxa"/>
            <w:vAlign w:val="center"/>
          </w:tcPr>
          <w:p w:rsidR="00644057" w:rsidRDefault="00A20092">
            <w:pPr>
              <w:jc w:val="right"/>
            </w:pPr>
            <w:r>
              <w:rPr>
                <w:sz w:val="24"/>
              </w:rPr>
              <w:t>2,946.46</w:t>
            </w:r>
          </w:p>
        </w:tc>
        <w:tc>
          <w:tcPr>
            <w:tcW w:w="3323" w:type="dxa"/>
            <w:vAlign w:val="center"/>
          </w:tcPr>
          <w:p w:rsidR="00644057" w:rsidRDefault="00A20092">
            <w:pPr>
              <w:jc w:val="right"/>
            </w:pPr>
            <w:r>
              <w:rPr>
                <w:sz w:val="24"/>
              </w:rPr>
              <w:t>3,031.86</w:t>
            </w:r>
          </w:p>
        </w:tc>
      </w:tr>
      <w:tr w:rsidR="00644057">
        <w:tc>
          <w:tcPr>
            <w:tcW w:w="2819" w:type="dxa"/>
            <w:vAlign w:val="center"/>
          </w:tcPr>
          <w:p w:rsidR="00644057" w:rsidRDefault="00A20092">
            <w:pPr>
              <w:jc w:val="left"/>
            </w:pPr>
            <w:r>
              <w:rPr>
                <w:sz w:val="24"/>
              </w:rPr>
              <w:t>债券账户费用</w:t>
            </w:r>
          </w:p>
        </w:tc>
        <w:tc>
          <w:tcPr>
            <w:tcW w:w="2856" w:type="dxa"/>
            <w:vAlign w:val="center"/>
          </w:tcPr>
          <w:p w:rsidR="00644057" w:rsidRDefault="00A20092">
            <w:pPr>
              <w:jc w:val="right"/>
            </w:pPr>
            <w:r>
              <w:rPr>
                <w:sz w:val="24"/>
              </w:rPr>
              <w:t>37,200.00</w:t>
            </w:r>
          </w:p>
        </w:tc>
        <w:tc>
          <w:tcPr>
            <w:tcW w:w="3323" w:type="dxa"/>
            <w:vAlign w:val="center"/>
          </w:tcPr>
          <w:p w:rsidR="00644057" w:rsidRDefault="00A20092">
            <w:pPr>
              <w:jc w:val="right"/>
            </w:pPr>
            <w:r>
              <w:rPr>
                <w:sz w:val="24"/>
              </w:rPr>
              <w:t>18,600.00</w:t>
            </w:r>
          </w:p>
        </w:tc>
      </w:tr>
      <w:tr w:rsidR="00644057">
        <w:tc>
          <w:tcPr>
            <w:tcW w:w="2819" w:type="dxa"/>
            <w:vAlign w:val="center"/>
          </w:tcPr>
          <w:p w:rsidR="00644057" w:rsidRDefault="00A20092">
            <w:pPr>
              <w:jc w:val="left"/>
            </w:pPr>
            <w:r>
              <w:rPr>
                <w:sz w:val="24"/>
              </w:rPr>
              <w:t>其他</w:t>
            </w:r>
          </w:p>
        </w:tc>
        <w:tc>
          <w:tcPr>
            <w:tcW w:w="2856" w:type="dxa"/>
            <w:vAlign w:val="center"/>
          </w:tcPr>
          <w:p w:rsidR="00644057" w:rsidRDefault="00A20092">
            <w:pPr>
              <w:jc w:val="right"/>
            </w:pPr>
            <w:r>
              <w:rPr>
                <w:sz w:val="24"/>
              </w:rPr>
              <w:t>-</w:t>
            </w:r>
          </w:p>
        </w:tc>
        <w:tc>
          <w:tcPr>
            <w:tcW w:w="3323" w:type="dxa"/>
            <w:vAlign w:val="center"/>
          </w:tcPr>
          <w:p w:rsidR="00644057" w:rsidRDefault="00A20092">
            <w:pPr>
              <w:jc w:val="right"/>
            </w:pPr>
            <w:r>
              <w:rPr>
                <w:sz w:val="24"/>
              </w:rPr>
              <w:t>400.00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220,146.46</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322,031.86</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E670B7" w:rsidRDefault="001A59F9" w:rsidP="00E670B7">
      <w:pPr>
        <w:pStyle w:val="20"/>
        <w:spacing w:before="29" w:after="0" w:line="288" w:lineRule="auto"/>
        <w:rPr>
          <w:rFonts w:ascii="Times New Roman" w:hAnsi="Times New Roman"/>
          <w:kern w:val="0"/>
          <w:szCs w:val="24"/>
        </w:rPr>
      </w:pPr>
      <w:bookmarkStart w:id="179" w:name="_Toc35966263"/>
      <w:r w:rsidRPr="00E670B7">
        <w:rPr>
          <w:rFonts w:ascii="Times New Roman" w:hAnsi="Times New Roman"/>
          <w:kern w:val="0"/>
          <w:szCs w:val="24"/>
        </w:rPr>
        <w:t>7.4.8</w:t>
      </w:r>
      <w:r w:rsidRPr="00E670B7">
        <w:rPr>
          <w:rFonts w:ascii="Times New Roman" w:hAnsi="Times New Roman" w:hint="eastAsia"/>
          <w:kern w:val="0"/>
          <w:szCs w:val="24"/>
        </w:rPr>
        <w:t>或有事项、资产负债表日后事项的说明</w:t>
      </w:r>
      <w:bookmarkEnd w:id="179"/>
    </w:p>
    <w:p w:rsidR="001A59F9" w:rsidRPr="00E670B7" w:rsidRDefault="001A59F9" w:rsidP="00E670B7">
      <w:pPr>
        <w:pStyle w:val="20"/>
        <w:spacing w:before="29" w:after="0" w:line="288" w:lineRule="auto"/>
        <w:rPr>
          <w:rFonts w:ascii="Times New Roman" w:hAnsi="Times New Roman"/>
          <w:kern w:val="0"/>
          <w:szCs w:val="24"/>
        </w:rPr>
      </w:pPr>
      <w:bookmarkStart w:id="180" w:name="_Toc35966264"/>
      <w:r w:rsidRPr="00E670B7">
        <w:rPr>
          <w:rFonts w:ascii="Times New Roman" w:hAnsi="Times New Roman"/>
          <w:kern w:val="0"/>
          <w:szCs w:val="24"/>
        </w:rPr>
        <w:t xml:space="preserve">7.4.8.1 </w:t>
      </w:r>
      <w:r w:rsidRPr="00E670B7">
        <w:rPr>
          <w:rFonts w:ascii="Times New Roman" w:hAnsi="Times New Roman" w:hint="eastAsia"/>
          <w:kern w:val="0"/>
          <w:szCs w:val="24"/>
        </w:rPr>
        <w:t>或有事项</w:t>
      </w:r>
      <w:bookmarkEnd w:id="180"/>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E670B7" w:rsidRDefault="001A59F9" w:rsidP="00E670B7">
      <w:pPr>
        <w:pStyle w:val="20"/>
        <w:spacing w:before="29" w:after="0" w:line="288" w:lineRule="auto"/>
        <w:rPr>
          <w:rFonts w:ascii="Times New Roman" w:hAnsi="Times New Roman"/>
          <w:kern w:val="0"/>
          <w:szCs w:val="24"/>
        </w:rPr>
      </w:pPr>
      <w:bookmarkStart w:id="181" w:name="_Toc35966265"/>
      <w:r w:rsidRPr="00E670B7">
        <w:rPr>
          <w:rFonts w:ascii="Times New Roman" w:hAnsi="Times New Roman"/>
          <w:kern w:val="0"/>
          <w:szCs w:val="24"/>
        </w:rPr>
        <w:t xml:space="preserve">7.4.8.2 </w:t>
      </w:r>
      <w:r w:rsidRPr="00E670B7">
        <w:rPr>
          <w:rFonts w:ascii="Times New Roman" w:hAnsi="Times New Roman" w:hint="eastAsia"/>
          <w:kern w:val="0"/>
          <w:szCs w:val="24"/>
        </w:rPr>
        <w:t>资产负债表日后事项</w:t>
      </w:r>
      <w:bookmarkEnd w:id="181"/>
    </w:p>
    <w:p w:rsidR="001A59F9" w:rsidRPr="00AB42A1" w:rsidRDefault="001A59F9" w:rsidP="00AB42A1">
      <w:pPr>
        <w:spacing w:before="29" w:line="288" w:lineRule="auto"/>
        <w:ind w:firstLineChars="200" w:firstLine="480"/>
        <w:rPr>
          <w:kern w:val="0"/>
          <w:sz w:val="24"/>
        </w:rPr>
      </w:pPr>
      <w:r w:rsidRPr="00AB42A1">
        <w:rPr>
          <w:kern w:val="0"/>
          <w:sz w:val="24"/>
        </w:rPr>
        <w:t>根据相关法律法规和基金合同要求，本基金本报告期内已实施的利润分配情况请参见附注</w:t>
      </w:r>
      <w:r w:rsidRPr="00AB42A1">
        <w:rPr>
          <w:kern w:val="0"/>
          <w:sz w:val="24"/>
        </w:rPr>
        <w:t>7.4.11</w:t>
      </w:r>
      <w:r w:rsidRPr="00AB42A1">
        <w:rPr>
          <w:kern w:val="0"/>
          <w:sz w:val="24"/>
        </w:rPr>
        <w:t>利润分配情况。本基金的基金管理人于</w:t>
      </w:r>
      <w:r w:rsidRPr="00AB42A1">
        <w:rPr>
          <w:kern w:val="0"/>
          <w:sz w:val="24"/>
        </w:rPr>
        <w:t>2020</w:t>
      </w:r>
      <w:r w:rsidRPr="00AB42A1">
        <w:rPr>
          <w:kern w:val="0"/>
          <w:sz w:val="24"/>
        </w:rPr>
        <w:t>年</w:t>
      </w:r>
      <w:r w:rsidRPr="00AB42A1">
        <w:rPr>
          <w:kern w:val="0"/>
          <w:sz w:val="24"/>
        </w:rPr>
        <w:t>1</w:t>
      </w:r>
      <w:r w:rsidRPr="00AB42A1">
        <w:rPr>
          <w:kern w:val="0"/>
          <w:sz w:val="24"/>
        </w:rPr>
        <w:t>月</w:t>
      </w:r>
      <w:r w:rsidRPr="00AB42A1">
        <w:rPr>
          <w:kern w:val="0"/>
          <w:sz w:val="24"/>
        </w:rPr>
        <w:t>10</w:t>
      </w:r>
      <w:r w:rsidRPr="00AB42A1">
        <w:rPr>
          <w:kern w:val="0"/>
          <w:sz w:val="24"/>
        </w:rPr>
        <w:t>日宣告</w:t>
      </w:r>
      <w:r w:rsidRPr="00AB42A1">
        <w:rPr>
          <w:kern w:val="0"/>
          <w:sz w:val="24"/>
        </w:rPr>
        <w:t>2019</w:t>
      </w:r>
      <w:r w:rsidRPr="00AB42A1">
        <w:rPr>
          <w:kern w:val="0"/>
          <w:sz w:val="24"/>
        </w:rPr>
        <w:t>年度第</w:t>
      </w:r>
      <w:r w:rsidRPr="00AB42A1">
        <w:rPr>
          <w:kern w:val="0"/>
          <w:sz w:val="24"/>
        </w:rPr>
        <w:t>1</w:t>
      </w:r>
      <w:r w:rsidRPr="00AB42A1">
        <w:rPr>
          <w:kern w:val="0"/>
          <w:sz w:val="24"/>
        </w:rPr>
        <w:t>次分红，向截至</w:t>
      </w:r>
      <w:r w:rsidRPr="00AB42A1">
        <w:rPr>
          <w:kern w:val="0"/>
          <w:sz w:val="24"/>
        </w:rPr>
        <w:t>2020</w:t>
      </w:r>
      <w:r w:rsidRPr="00AB42A1">
        <w:rPr>
          <w:kern w:val="0"/>
          <w:sz w:val="24"/>
        </w:rPr>
        <w:t>年</w:t>
      </w:r>
      <w:r w:rsidRPr="00AB42A1">
        <w:rPr>
          <w:kern w:val="0"/>
          <w:sz w:val="24"/>
        </w:rPr>
        <w:t>1</w:t>
      </w:r>
      <w:r w:rsidRPr="00AB42A1">
        <w:rPr>
          <w:kern w:val="0"/>
          <w:sz w:val="24"/>
        </w:rPr>
        <w:t>月</w:t>
      </w:r>
      <w:r w:rsidRPr="00AB42A1">
        <w:rPr>
          <w:kern w:val="0"/>
          <w:sz w:val="24"/>
        </w:rPr>
        <w:t>14</w:t>
      </w:r>
      <w:r w:rsidRPr="00AB42A1">
        <w:rPr>
          <w:kern w:val="0"/>
          <w:sz w:val="24"/>
        </w:rPr>
        <w:t>日止在本基金注册登记人登记在册的全体持有人，按每</w:t>
      </w:r>
      <w:r w:rsidRPr="00AB42A1">
        <w:rPr>
          <w:kern w:val="0"/>
          <w:sz w:val="24"/>
        </w:rPr>
        <w:t>10</w:t>
      </w:r>
      <w:r w:rsidRPr="00AB42A1">
        <w:rPr>
          <w:kern w:val="0"/>
          <w:sz w:val="24"/>
        </w:rPr>
        <w:t>份</w:t>
      </w:r>
      <w:r w:rsidRPr="00AB42A1">
        <w:rPr>
          <w:kern w:val="0"/>
          <w:sz w:val="24"/>
        </w:rPr>
        <w:t>A</w:t>
      </w:r>
      <w:r w:rsidRPr="00AB42A1">
        <w:rPr>
          <w:kern w:val="0"/>
          <w:sz w:val="24"/>
        </w:rPr>
        <w:t>类基金份额派发红利</w:t>
      </w:r>
      <w:r w:rsidRPr="00AB42A1">
        <w:rPr>
          <w:kern w:val="0"/>
          <w:sz w:val="24"/>
        </w:rPr>
        <w:t>0.56</w:t>
      </w:r>
      <w:r w:rsidRPr="00AB42A1">
        <w:rPr>
          <w:kern w:val="0"/>
          <w:sz w:val="24"/>
        </w:rPr>
        <w:t>元，每</w:t>
      </w:r>
      <w:r w:rsidRPr="00AB42A1">
        <w:rPr>
          <w:kern w:val="0"/>
          <w:sz w:val="24"/>
        </w:rPr>
        <w:t>10</w:t>
      </w:r>
      <w:r w:rsidRPr="00AB42A1">
        <w:rPr>
          <w:kern w:val="0"/>
          <w:sz w:val="24"/>
        </w:rPr>
        <w:t>份</w:t>
      </w:r>
      <w:r w:rsidRPr="00AB42A1">
        <w:rPr>
          <w:kern w:val="0"/>
          <w:sz w:val="24"/>
        </w:rPr>
        <w:t>C</w:t>
      </w:r>
      <w:r w:rsidRPr="00AB42A1">
        <w:rPr>
          <w:kern w:val="0"/>
          <w:sz w:val="24"/>
        </w:rPr>
        <w:t>类基金份额派发红利</w:t>
      </w:r>
      <w:r w:rsidRPr="00AB42A1">
        <w:rPr>
          <w:kern w:val="0"/>
          <w:sz w:val="24"/>
        </w:rPr>
        <w:t>0.50</w:t>
      </w:r>
      <w:r w:rsidRPr="00AB42A1">
        <w:rPr>
          <w:kern w:val="0"/>
          <w:sz w:val="24"/>
        </w:rPr>
        <w:t>元。</w:t>
      </w:r>
    </w:p>
    <w:p w:rsidR="001A59F9" w:rsidRPr="0091476E" w:rsidRDefault="001A59F9" w:rsidP="0091476E">
      <w:pPr>
        <w:spacing w:before="29" w:line="288" w:lineRule="auto"/>
        <w:rPr>
          <w:rFonts w:eastAsiaTheme="minorEastAsia"/>
          <w:b/>
          <w:sz w:val="24"/>
        </w:rPr>
      </w:pPr>
    </w:p>
    <w:p w:rsidR="00882004" w:rsidRPr="00727EE0" w:rsidRDefault="00882004" w:rsidP="00727EE0">
      <w:pPr>
        <w:pStyle w:val="20"/>
        <w:spacing w:before="29" w:after="0" w:line="288" w:lineRule="auto"/>
        <w:rPr>
          <w:rFonts w:ascii="Times New Roman" w:hAnsi="Times New Roman"/>
          <w:kern w:val="0"/>
          <w:szCs w:val="24"/>
        </w:rPr>
      </w:pPr>
      <w:bookmarkStart w:id="182" w:name="_Toc35966266"/>
      <w:r w:rsidRPr="00727EE0">
        <w:rPr>
          <w:rFonts w:ascii="Times New Roman" w:hAnsi="Times New Roman"/>
          <w:kern w:val="0"/>
          <w:szCs w:val="24"/>
        </w:rPr>
        <w:t>7.4.9</w:t>
      </w:r>
      <w:r w:rsidRPr="00727EE0">
        <w:rPr>
          <w:rFonts w:ascii="Times New Roman" w:hAnsi="Times New Roman" w:hint="eastAsia"/>
          <w:kern w:val="0"/>
          <w:szCs w:val="24"/>
        </w:rPr>
        <w:t>关联方关系</w:t>
      </w:r>
      <w:bookmarkEnd w:id="18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644057">
        <w:tc>
          <w:tcPr>
            <w:tcW w:w="5220" w:type="dxa"/>
            <w:vAlign w:val="center"/>
          </w:tcPr>
          <w:p w:rsidR="00644057" w:rsidRDefault="00A2009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644057" w:rsidRDefault="00A20092">
            <w:pPr>
              <w:jc w:val="center"/>
            </w:pPr>
            <w:r>
              <w:rPr>
                <w:color w:val="000000"/>
                <w:sz w:val="24"/>
              </w:rPr>
              <w:t>基金管理人、基金销售机构</w:t>
            </w:r>
          </w:p>
        </w:tc>
      </w:tr>
      <w:tr w:rsidR="00644057">
        <w:tc>
          <w:tcPr>
            <w:tcW w:w="5220" w:type="dxa"/>
            <w:vAlign w:val="center"/>
          </w:tcPr>
          <w:p w:rsidR="00644057" w:rsidRDefault="00A20092">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644057" w:rsidRDefault="00A20092">
            <w:pPr>
              <w:jc w:val="center"/>
            </w:pPr>
            <w:r>
              <w:rPr>
                <w:color w:val="000000"/>
                <w:sz w:val="24"/>
              </w:rPr>
              <w:t>基金托管人、基金销售机构</w:t>
            </w:r>
          </w:p>
        </w:tc>
      </w:tr>
      <w:tr w:rsidR="00644057">
        <w:tc>
          <w:tcPr>
            <w:tcW w:w="5220" w:type="dxa"/>
            <w:vAlign w:val="center"/>
          </w:tcPr>
          <w:p w:rsidR="00644057" w:rsidRDefault="00A20092">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80" w:type="dxa"/>
            <w:vAlign w:val="center"/>
          </w:tcPr>
          <w:p w:rsidR="00644057" w:rsidRDefault="00A20092">
            <w:pPr>
              <w:jc w:val="center"/>
            </w:pPr>
            <w:r>
              <w:rPr>
                <w:color w:val="000000"/>
                <w:sz w:val="24"/>
              </w:rPr>
              <w:t>基金管理人的股东、基金销售机构</w:t>
            </w:r>
          </w:p>
        </w:tc>
      </w:tr>
      <w:tr w:rsidR="00644057">
        <w:tc>
          <w:tcPr>
            <w:tcW w:w="5220" w:type="dxa"/>
            <w:vAlign w:val="center"/>
          </w:tcPr>
          <w:p w:rsidR="00644057" w:rsidRDefault="00A20092">
            <w:pPr>
              <w:jc w:val="left"/>
            </w:pPr>
            <w:r>
              <w:rPr>
                <w:color w:val="000000"/>
                <w:sz w:val="24"/>
              </w:rPr>
              <w:t>施罗德投资管理有限公司</w:t>
            </w:r>
          </w:p>
        </w:tc>
        <w:tc>
          <w:tcPr>
            <w:tcW w:w="3780" w:type="dxa"/>
            <w:vAlign w:val="center"/>
          </w:tcPr>
          <w:p w:rsidR="00644057" w:rsidRDefault="00A20092">
            <w:pPr>
              <w:jc w:val="center"/>
            </w:pPr>
            <w:r>
              <w:rPr>
                <w:color w:val="000000"/>
                <w:sz w:val="24"/>
              </w:rPr>
              <w:t>基金管理人的股东</w:t>
            </w:r>
          </w:p>
        </w:tc>
      </w:tr>
      <w:tr w:rsidR="00644057">
        <w:tc>
          <w:tcPr>
            <w:tcW w:w="5220" w:type="dxa"/>
            <w:vAlign w:val="center"/>
          </w:tcPr>
          <w:p w:rsidR="00644057" w:rsidRDefault="00A20092">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644057" w:rsidRDefault="00A20092">
            <w:pPr>
              <w:jc w:val="center"/>
            </w:pPr>
            <w:r>
              <w:rPr>
                <w:color w:val="000000"/>
                <w:sz w:val="24"/>
              </w:rPr>
              <w:t>基金管理人的股东</w:t>
            </w:r>
          </w:p>
        </w:tc>
      </w:tr>
      <w:tr w:rsidR="00644057">
        <w:tc>
          <w:tcPr>
            <w:tcW w:w="5220" w:type="dxa"/>
            <w:vAlign w:val="center"/>
          </w:tcPr>
          <w:p w:rsidR="00644057" w:rsidRDefault="00A20092">
            <w:pPr>
              <w:jc w:val="left"/>
            </w:pPr>
            <w:r>
              <w:rPr>
                <w:color w:val="000000"/>
                <w:sz w:val="24"/>
              </w:rPr>
              <w:t>交银施罗德资产管理有限公司</w:t>
            </w:r>
          </w:p>
        </w:tc>
        <w:tc>
          <w:tcPr>
            <w:tcW w:w="3780" w:type="dxa"/>
            <w:vAlign w:val="center"/>
          </w:tcPr>
          <w:p w:rsidR="00644057" w:rsidRDefault="00A20092">
            <w:pPr>
              <w:jc w:val="center"/>
            </w:pPr>
            <w:r>
              <w:rPr>
                <w:color w:val="000000"/>
                <w:sz w:val="24"/>
              </w:rPr>
              <w:t>基金管理人的子公司</w:t>
            </w:r>
          </w:p>
        </w:tc>
      </w:tr>
      <w:tr w:rsidR="00644057">
        <w:tc>
          <w:tcPr>
            <w:tcW w:w="5220" w:type="dxa"/>
            <w:vAlign w:val="center"/>
          </w:tcPr>
          <w:p w:rsidR="00644057" w:rsidRDefault="00A20092">
            <w:pPr>
              <w:jc w:val="left"/>
            </w:pPr>
            <w:r>
              <w:rPr>
                <w:color w:val="000000"/>
                <w:sz w:val="24"/>
              </w:rPr>
              <w:t>上海直源投资管理有限公司</w:t>
            </w:r>
          </w:p>
        </w:tc>
        <w:tc>
          <w:tcPr>
            <w:tcW w:w="3780" w:type="dxa"/>
            <w:vAlign w:val="center"/>
          </w:tcPr>
          <w:p w:rsidR="00644057" w:rsidRDefault="00A20092">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727EE0" w:rsidRDefault="001A59F9" w:rsidP="00727EE0">
      <w:pPr>
        <w:pStyle w:val="20"/>
        <w:spacing w:before="29" w:after="0" w:line="288" w:lineRule="auto"/>
        <w:rPr>
          <w:rFonts w:ascii="Times New Roman" w:hAnsi="Times New Roman"/>
          <w:kern w:val="0"/>
          <w:szCs w:val="24"/>
        </w:rPr>
      </w:pPr>
      <w:bookmarkStart w:id="183" w:name="_Toc35966267"/>
      <w:r w:rsidRPr="00727EE0">
        <w:rPr>
          <w:rFonts w:ascii="Times New Roman" w:hAnsi="Times New Roman"/>
          <w:kern w:val="0"/>
          <w:szCs w:val="24"/>
        </w:rPr>
        <w:t>7.4.10</w:t>
      </w:r>
      <w:r w:rsidRPr="00727EE0">
        <w:rPr>
          <w:rFonts w:ascii="Times New Roman" w:hAnsi="Times New Roman" w:hint="eastAsia"/>
          <w:kern w:val="0"/>
          <w:szCs w:val="24"/>
        </w:rPr>
        <w:t>本报告期及上年度可比期间的关联方交易</w:t>
      </w:r>
      <w:bookmarkEnd w:id="183"/>
    </w:p>
    <w:p w:rsidR="001A59F9" w:rsidRPr="00727EE0" w:rsidRDefault="001A59F9" w:rsidP="00727EE0">
      <w:pPr>
        <w:pStyle w:val="20"/>
        <w:spacing w:before="29" w:after="0" w:line="288" w:lineRule="auto"/>
        <w:rPr>
          <w:rFonts w:ascii="Times New Roman" w:hAnsi="Times New Roman"/>
          <w:kern w:val="0"/>
          <w:szCs w:val="24"/>
        </w:rPr>
      </w:pPr>
      <w:bookmarkStart w:id="184" w:name="_Toc35966268"/>
      <w:r w:rsidRPr="00727EE0">
        <w:rPr>
          <w:rFonts w:ascii="Times New Roman" w:hAnsi="Times New Roman"/>
          <w:kern w:val="0"/>
          <w:szCs w:val="24"/>
        </w:rPr>
        <w:t>7.4.10.1</w:t>
      </w:r>
      <w:r w:rsidRPr="00727EE0">
        <w:rPr>
          <w:rFonts w:ascii="Times New Roman" w:hAnsi="Times New Roman" w:hint="eastAsia"/>
          <w:kern w:val="0"/>
          <w:szCs w:val="24"/>
        </w:rPr>
        <w:t>通过关联方交易单元进行的交易</w:t>
      </w:r>
      <w:bookmarkEnd w:id="184"/>
    </w:p>
    <w:p w:rsidR="001A59F9" w:rsidRDefault="001A59F9" w:rsidP="00727EE0">
      <w:pPr>
        <w:spacing w:before="29" w:line="288" w:lineRule="auto"/>
        <w:rPr>
          <w:kern w:val="0"/>
          <w:sz w:val="24"/>
        </w:rPr>
      </w:pPr>
      <w:r w:rsidRPr="00AB42A1">
        <w:rPr>
          <w:kern w:val="0"/>
          <w:sz w:val="24"/>
        </w:rPr>
        <w:t>本基金本报告期内及上年度可比期间</w:t>
      </w:r>
      <w:proofErr w:type="gramStart"/>
      <w:r w:rsidRPr="00AB42A1">
        <w:rPr>
          <w:kern w:val="0"/>
          <w:sz w:val="24"/>
        </w:rPr>
        <w:t>无通过</w:t>
      </w:r>
      <w:proofErr w:type="gramEnd"/>
      <w:r w:rsidRPr="00AB42A1">
        <w:rPr>
          <w:kern w:val="0"/>
          <w:sz w:val="24"/>
        </w:rPr>
        <w:t>关联方交易单元进行的交易。</w:t>
      </w:r>
      <w:r w:rsidRPr="00AB42A1">
        <w:rPr>
          <w:kern w:val="0"/>
          <w:sz w:val="24"/>
        </w:rPr>
        <w:t xml:space="preserve"> </w:t>
      </w:r>
    </w:p>
    <w:p w:rsidR="008511AD" w:rsidRPr="00AB42A1" w:rsidRDefault="008511AD" w:rsidP="00AB42A1">
      <w:pPr>
        <w:spacing w:before="29" w:line="288" w:lineRule="auto"/>
        <w:ind w:firstLineChars="200" w:firstLine="480"/>
        <w:rPr>
          <w:kern w:val="0"/>
          <w:sz w:val="24"/>
        </w:rPr>
      </w:pPr>
    </w:p>
    <w:p w:rsidR="001A59F9" w:rsidRPr="00727EE0" w:rsidRDefault="001A59F9" w:rsidP="00727EE0">
      <w:pPr>
        <w:pStyle w:val="20"/>
        <w:spacing w:before="29" w:after="0" w:line="288" w:lineRule="auto"/>
        <w:rPr>
          <w:rFonts w:ascii="Times New Roman" w:hAnsi="Times New Roman"/>
          <w:kern w:val="0"/>
          <w:szCs w:val="24"/>
        </w:rPr>
      </w:pPr>
      <w:bookmarkStart w:id="185" w:name="_Toc35966269"/>
      <w:r w:rsidRPr="00727EE0">
        <w:rPr>
          <w:rFonts w:ascii="Times New Roman" w:hAnsi="Times New Roman"/>
          <w:kern w:val="0"/>
          <w:szCs w:val="24"/>
        </w:rPr>
        <w:t>7.4.10.2</w:t>
      </w:r>
      <w:r w:rsidRPr="00727EE0">
        <w:rPr>
          <w:rFonts w:ascii="Times New Roman" w:hAnsi="Times New Roman" w:hint="eastAsia"/>
          <w:kern w:val="0"/>
          <w:szCs w:val="24"/>
        </w:rPr>
        <w:t>关联方报酬</w:t>
      </w:r>
      <w:bookmarkEnd w:id="185"/>
    </w:p>
    <w:p w:rsidR="001A59F9" w:rsidRPr="00727EE0" w:rsidRDefault="001A59F9" w:rsidP="00727EE0">
      <w:pPr>
        <w:pStyle w:val="20"/>
        <w:spacing w:before="29" w:after="0" w:line="288" w:lineRule="auto"/>
        <w:rPr>
          <w:rFonts w:ascii="Times New Roman" w:hAnsi="Times New Roman"/>
          <w:kern w:val="0"/>
          <w:szCs w:val="24"/>
        </w:rPr>
      </w:pPr>
      <w:bookmarkStart w:id="186" w:name="_Toc35966270"/>
      <w:r w:rsidRPr="00727EE0">
        <w:rPr>
          <w:rFonts w:ascii="Times New Roman" w:hAnsi="Times New Roman"/>
          <w:kern w:val="0"/>
          <w:szCs w:val="24"/>
        </w:rPr>
        <w:t>7.4.10.2.1</w:t>
      </w:r>
      <w:r w:rsidRPr="00727EE0">
        <w:rPr>
          <w:rFonts w:ascii="Times New Roman" w:hAnsi="Times New Roman" w:hint="eastAsia"/>
          <w:kern w:val="0"/>
          <w:szCs w:val="24"/>
        </w:rPr>
        <w:t>基金管理费</w:t>
      </w:r>
      <w:bookmarkEnd w:id="186"/>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5</w:t>
            </w:r>
            <w:r w:rsidRPr="000C342B">
              <w:rPr>
                <w:color w:val="000000"/>
                <w:sz w:val="24"/>
              </w:rPr>
              <w:t>月</w:t>
            </w:r>
            <w:r w:rsidRPr="000C342B">
              <w:rPr>
                <w:color w:val="000000"/>
                <w:sz w:val="24"/>
              </w:rPr>
              <w:t>23</w:t>
            </w:r>
            <w:r w:rsidRPr="000C342B">
              <w:rPr>
                <w:color w:val="000000"/>
                <w:sz w:val="24"/>
              </w:rPr>
              <w:t>日（基金合同生效日）至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2,841,284.29</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1,668,454.72</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1,135,915.44</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666,654.58</w:t>
            </w:r>
          </w:p>
        </w:tc>
      </w:tr>
    </w:tbl>
    <w:p w:rsidR="00644057" w:rsidRDefault="00A2009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×0.80%÷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27EE0" w:rsidRDefault="001A59F9" w:rsidP="00727EE0">
      <w:pPr>
        <w:pStyle w:val="20"/>
        <w:spacing w:before="29" w:after="0" w:line="288" w:lineRule="auto"/>
        <w:rPr>
          <w:rFonts w:ascii="Times New Roman" w:hAnsi="Times New Roman"/>
          <w:kern w:val="0"/>
          <w:szCs w:val="24"/>
        </w:rPr>
      </w:pPr>
      <w:bookmarkStart w:id="187" w:name="_Toc35966271"/>
      <w:r w:rsidRPr="00727EE0">
        <w:rPr>
          <w:rFonts w:ascii="Times New Roman" w:hAnsi="Times New Roman"/>
          <w:kern w:val="0"/>
          <w:szCs w:val="24"/>
        </w:rPr>
        <w:t>7.4.10.2.2</w:t>
      </w:r>
      <w:r w:rsidRPr="00727EE0">
        <w:rPr>
          <w:rFonts w:ascii="Times New Roman" w:hAnsi="Times New Roman" w:hint="eastAsia"/>
          <w:kern w:val="0"/>
          <w:szCs w:val="24"/>
        </w:rPr>
        <w:t>基金托管费</w:t>
      </w:r>
      <w:bookmarkEnd w:id="187"/>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5</w:t>
            </w:r>
            <w:r w:rsidRPr="000C342B">
              <w:rPr>
                <w:color w:val="000000"/>
                <w:sz w:val="24"/>
              </w:rPr>
              <w:t>月</w:t>
            </w:r>
            <w:r w:rsidRPr="000C342B">
              <w:rPr>
                <w:color w:val="000000"/>
                <w:sz w:val="24"/>
              </w:rPr>
              <w:t>23</w:t>
            </w:r>
            <w:r w:rsidRPr="000C342B">
              <w:rPr>
                <w:color w:val="000000"/>
                <w:sz w:val="24"/>
              </w:rPr>
              <w:t>日（基金合同生效日）至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532,740.79</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312,835.21</w:t>
            </w:r>
          </w:p>
        </w:tc>
      </w:tr>
    </w:tbl>
    <w:p w:rsidR="00644057" w:rsidRDefault="00A2009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×0.15%÷</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Pr="00727EE0" w:rsidRDefault="001A59F9" w:rsidP="00727EE0">
      <w:pPr>
        <w:pStyle w:val="20"/>
        <w:spacing w:before="29" w:after="0" w:line="288" w:lineRule="auto"/>
        <w:rPr>
          <w:rFonts w:ascii="Times New Roman" w:hAnsi="Times New Roman"/>
          <w:kern w:val="0"/>
          <w:szCs w:val="24"/>
        </w:rPr>
      </w:pPr>
      <w:bookmarkStart w:id="188" w:name="_Toc35966272"/>
      <w:r w:rsidRPr="00727EE0">
        <w:rPr>
          <w:rFonts w:ascii="Times New Roman" w:hAnsi="Times New Roman"/>
          <w:kern w:val="0"/>
          <w:szCs w:val="24"/>
        </w:rPr>
        <w:t>7.4.10.2.3</w:t>
      </w:r>
      <w:r w:rsidRPr="00727EE0">
        <w:rPr>
          <w:rFonts w:ascii="Times New Roman" w:hAnsi="Times New Roman" w:hint="eastAsia"/>
          <w:kern w:val="0"/>
          <w:szCs w:val="24"/>
        </w:rPr>
        <w:t>销售服务费</w:t>
      </w:r>
      <w:bookmarkEnd w:id="188"/>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交银丰晟收益债券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交银丰晟收益债券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644057">
        <w:tc>
          <w:tcPr>
            <w:tcW w:w="2045" w:type="dxa"/>
            <w:vAlign w:val="center"/>
          </w:tcPr>
          <w:p w:rsidR="00644057" w:rsidRDefault="00A20092">
            <w:pPr>
              <w:jc w:val="left"/>
            </w:pPr>
            <w:r>
              <w:rPr>
                <w:sz w:val="24"/>
              </w:rPr>
              <w:t>交通银行</w:t>
            </w:r>
          </w:p>
        </w:tc>
        <w:tc>
          <w:tcPr>
            <w:tcW w:w="2455" w:type="dxa"/>
            <w:vAlign w:val="center"/>
          </w:tcPr>
          <w:p w:rsidR="00644057" w:rsidRDefault="00A20092">
            <w:pPr>
              <w:jc w:val="right"/>
            </w:pPr>
            <w:r>
              <w:rPr>
                <w:sz w:val="24"/>
              </w:rPr>
              <w:t>-</w:t>
            </w:r>
          </w:p>
        </w:tc>
        <w:tc>
          <w:tcPr>
            <w:tcW w:w="2609" w:type="dxa"/>
            <w:vAlign w:val="center"/>
          </w:tcPr>
          <w:p w:rsidR="00644057" w:rsidRDefault="00A20092">
            <w:pPr>
              <w:jc w:val="right"/>
            </w:pPr>
            <w:r>
              <w:rPr>
                <w:sz w:val="24"/>
              </w:rPr>
              <w:t>3,920.94</w:t>
            </w:r>
          </w:p>
        </w:tc>
        <w:tc>
          <w:tcPr>
            <w:tcW w:w="1889" w:type="dxa"/>
            <w:vAlign w:val="center"/>
          </w:tcPr>
          <w:p w:rsidR="00644057" w:rsidRDefault="00A20092">
            <w:pPr>
              <w:jc w:val="right"/>
            </w:pPr>
            <w:r>
              <w:rPr>
                <w:sz w:val="24"/>
              </w:rPr>
              <w:t>3,920.94</w:t>
            </w:r>
          </w:p>
        </w:tc>
      </w:tr>
      <w:tr w:rsidR="00644057">
        <w:tc>
          <w:tcPr>
            <w:tcW w:w="2045" w:type="dxa"/>
            <w:vAlign w:val="center"/>
          </w:tcPr>
          <w:p w:rsidR="00644057" w:rsidRDefault="00A20092">
            <w:pPr>
              <w:jc w:val="left"/>
            </w:pPr>
            <w:r>
              <w:rPr>
                <w:sz w:val="24"/>
              </w:rPr>
              <w:t>招商银行</w:t>
            </w:r>
          </w:p>
        </w:tc>
        <w:tc>
          <w:tcPr>
            <w:tcW w:w="2455" w:type="dxa"/>
            <w:vAlign w:val="center"/>
          </w:tcPr>
          <w:p w:rsidR="00644057" w:rsidRDefault="00A20092">
            <w:pPr>
              <w:jc w:val="right"/>
            </w:pPr>
            <w:r>
              <w:rPr>
                <w:sz w:val="24"/>
              </w:rPr>
              <w:t>-</w:t>
            </w:r>
          </w:p>
        </w:tc>
        <w:tc>
          <w:tcPr>
            <w:tcW w:w="2609" w:type="dxa"/>
            <w:vAlign w:val="center"/>
          </w:tcPr>
          <w:p w:rsidR="00644057" w:rsidRDefault="00A20092">
            <w:pPr>
              <w:jc w:val="right"/>
            </w:pPr>
            <w:r>
              <w:rPr>
                <w:sz w:val="24"/>
              </w:rPr>
              <w:t>25.55</w:t>
            </w:r>
          </w:p>
        </w:tc>
        <w:tc>
          <w:tcPr>
            <w:tcW w:w="1889" w:type="dxa"/>
            <w:vAlign w:val="center"/>
          </w:tcPr>
          <w:p w:rsidR="00644057" w:rsidRDefault="00A20092">
            <w:pPr>
              <w:jc w:val="right"/>
            </w:pPr>
            <w:r>
              <w:rPr>
                <w:sz w:val="24"/>
              </w:rPr>
              <w:t>25.55</w:t>
            </w:r>
          </w:p>
        </w:tc>
      </w:tr>
      <w:tr w:rsidR="00644057">
        <w:tc>
          <w:tcPr>
            <w:tcW w:w="2045" w:type="dxa"/>
            <w:vAlign w:val="center"/>
          </w:tcPr>
          <w:p w:rsidR="00644057" w:rsidRDefault="00A20092">
            <w:pPr>
              <w:jc w:val="left"/>
            </w:pPr>
            <w:r>
              <w:rPr>
                <w:sz w:val="24"/>
              </w:rPr>
              <w:t>交银施罗德基金公司</w:t>
            </w:r>
          </w:p>
        </w:tc>
        <w:tc>
          <w:tcPr>
            <w:tcW w:w="2455" w:type="dxa"/>
            <w:vAlign w:val="center"/>
          </w:tcPr>
          <w:p w:rsidR="00644057" w:rsidRDefault="00A20092">
            <w:pPr>
              <w:jc w:val="right"/>
            </w:pPr>
            <w:r>
              <w:rPr>
                <w:sz w:val="24"/>
              </w:rPr>
              <w:t>-</w:t>
            </w:r>
          </w:p>
        </w:tc>
        <w:tc>
          <w:tcPr>
            <w:tcW w:w="2609" w:type="dxa"/>
            <w:vAlign w:val="center"/>
          </w:tcPr>
          <w:p w:rsidR="00644057" w:rsidRDefault="00A20092">
            <w:pPr>
              <w:jc w:val="right"/>
            </w:pPr>
            <w:r>
              <w:rPr>
                <w:sz w:val="24"/>
              </w:rPr>
              <w:t>194.12</w:t>
            </w:r>
          </w:p>
        </w:tc>
        <w:tc>
          <w:tcPr>
            <w:tcW w:w="1889" w:type="dxa"/>
            <w:vAlign w:val="center"/>
          </w:tcPr>
          <w:p w:rsidR="00644057" w:rsidRDefault="00A20092">
            <w:pPr>
              <w:jc w:val="right"/>
            </w:pPr>
            <w:r>
              <w:rPr>
                <w:sz w:val="24"/>
              </w:rPr>
              <w:t>194.12</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4,140.61</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4,140.61</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5</w:t>
            </w:r>
            <w:r w:rsidRPr="00251201">
              <w:rPr>
                <w:color w:val="000000"/>
                <w:sz w:val="24"/>
              </w:rPr>
              <w:t>月</w:t>
            </w:r>
            <w:r w:rsidRPr="00251201">
              <w:rPr>
                <w:color w:val="000000"/>
                <w:sz w:val="24"/>
              </w:rPr>
              <w:t>23</w:t>
            </w:r>
            <w:r w:rsidRPr="00251201">
              <w:rPr>
                <w:color w:val="000000"/>
                <w:sz w:val="24"/>
              </w:rPr>
              <w:t>日（基金合同生效日）至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交银丰晟收益债券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交银丰晟收益债券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644057">
        <w:tc>
          <w:tcPr>
            <w:tcW w:w="2045" w:type="dxa"/>
            <w:vAlign w:val="center"/>
          </w:tcPr>
          <w:p w:rsidR="00644057" w:rsidRDefault="00A20092">
            <w:pPr>
              <w:jc w:val="left"/>
            </w:pPr>
            <w:r>
              <w:rPr>
                <w:sz w:val="24"/>
              </w:rPr>
              <w:t>交通银行</w:t>
            </w:r>
          </w:p>
        </w:tc>
        <w:tc>
          <w:tcPr>
            <w:tcW w:w="2455" w:type="dxa"/>
            <w:vAlign w:val="center"/>
          </w:tcPr>
          <w:p w:rsidR="00644057" w:rsidRDefault="00A20092">
            <w:pPr>
              <w:jc w:val="right"/>
            </w:pPr>
            <w:r>
              <w:rPr>
                <w:sz w:val="24"/>
              </w:rPr>
              <w:t>-</w:t>
            </w:r>
          </w:p>
        </w:tc>
        <w:tc>
          <w:tcPr>
            <w:tcW w:w="2609" w:type="dxa"/>
            <w:vAlign w:val="center"/>
          </w:tcPr>
          <w:p w:rsidR="00644057" w:rsidRDefault="00A20092">
            <w:pPr>
              <w:jc w:val="right"/>
            </w:pPr>
            <w:r>
              <w:rPr>
                <w:sz w:val="24"/>
              </w:rPr>
              <w:t>2,303.73</w:t>
            </w:r>
          </w:p>
        </w:tc>
        <w:tc>
          <w:tcPr>
            <w:tcW w:w="1889" w:type="dxa"/>
            <w:vAlign w:val="center"/>
          </w:tcPr>
          <w:p w:rsidR="00644057" w:rsidRDefault="00A20092">
            <w:pPr>
              <w:jc w:val="right"/>
            </w:pPr>
            <w:r>
              <w:rPr>
                <w:sz w:val="24"/>
              </w:rPr>
              <w:t>2,303.73</w:t>
            </w:r>
          </w:p>
        </w:tc>
      </w:tr>
      <w:tr w:rsidR="00644057">
        <w:tc>
          <w:tcPr>
            <w:tcW w:w="2045" w:type="dxa"/>
            <w:vAlign w:val="center"/>
          </w:tcPr>
          <w:p w:rsidR="00644057" w:rsidRDefault="00A20092">
            <w:pPr>
              <w:jc w:val="left"/>
            </w:pPr>
            <w:r>
              <w:rPr>
                <w:sz w:val="24"/>
              </w:rPr>
              <w:t>交银施罗德基金公司</w:t>
            </w:r>
          </w:p>
        </w:tc>
        <w:tc>
          <w:tcPr>
            <w:tcW w:w="2455" w:type="dxa"/>
            <w:vAlign w:val="center"/>
          </w:tcPr>
          <w:p w:rsidR="00644057" w:rsidRDefault="00A20092">
            <w:pPr>
              <w:jc w:val="right"/>
            </w:pPr>
            <w:r>
              <w:rPr>
                <w:sz w:val="24"/>
              </w:rPr>
              <w:t>-</w:t>
            </w:r>
          </w:p>
        </w:tc>
        <w:tc>
          <w:tcPr>
            <w:tcW w:w="2609" w:type="dxa"/>
            <w:vAlign w:val="center"/>
          </w:tcPr>
          <w:p w:rsidR="00644057" w:rsidRDefault="00A20092">
            <w:pPr>
              <w:jc w:val="right"/>
            </w:pPr>
            <w:r>
              <w:rPr>
                <w:sz w:val="24"/>
              </w:rPr>
              <w:t>113.96</w:t>
            </w:r>
          </w:p>
        </w:tc>
        <w:tc>
          <w:tcPr>
            <w:tcW w:w="1889" w:type="dxa"/>
            <w:vAlign w:val="center"/>
          </w:tcPr>
          <w:p w:rsidR="00644057" w:rsidRDefault="00A20092">
            <w:pPr>
              <w:jc w:val="right"/>
            </w:pPr>
            <w:r>
              <w:rPr>
                <w:sz w:val="24"/>
              </w:rPr>
              <w:t>113.96</w:t>
            </w:r>
          </w:p>
        </w:tc>
      </w:tr>
      <w:tr w:rsidR="00644057">
        <w:tc>
          <w:tcPr>
            <w:tcW w:w="2045" w:type="dxa"/>
            <w:vAlign w:val="center"/>
          </w:tcPr>
          <w:p w:rsidR="00644057" w:rsidRDefault="00A20092">
            <w:pPr>
              <w:jc w:val="left"/>
            </w:pPr>
            <w:r>
              <w:rPr>
                <w:sz w:val="24"/>
              </w:rPr>
              <w:t>招商银行</w:t>
            </w:r>
          </w:p>
        </w:tc>
        <w:tc>
          <w:tcPr>
            <w:tcW w:w="2455" w:type="dxa"/>
            <w:vAlign w:val="center"/>
          </w:tcPr>
          <w:p w:rsidR="00644057" w:rsidRDefault="00A20092">
            <w:pPr>
              <w:jc w:val="right"/>
            </w:pPr>
            <w:r>
              <w:rPr>
                <w:sz w:val="24"/>
              </w:rPr>
              <w:t>-</w:t>
            </w:r>
          </w:p>
        </w:tc>
        <w:tc>
          <w:tcPr>
            <w:tcW w:w="2609" w:type="dxa"/>
            <w:vAlign w:val="center"/>
          </w:tcPr>
          <w:p w:rsidR="00644057" w:rsidRDefault="00A20092">
            <w:pPr>
              <w:jc w:val="right"/>
            </w:pPr>
            <w:r>
              <w:rPr>
                <w:sz w:val="24"/>
              </w:rPr>
              <w:t>15.54</w:t>
            </w:r>
          </w:p>
        </w:tc>
        <w:tc>
          <w:tcPr>
            <w:tcW w:w="1889" w:type="dxa"/>
            <w:vAlign w:val="center"/>
          </w:tcPr>
          <w:p w:rsidR="00644057" w:rsidRDefault="00A20092">
            <w:pPr>
              <w:jc w:val="right"/>
            </w:pPr>
            <w:r>
              <w:rPr>
                <w:sz w:val="24"/>
              </w:rPr>
              <w:t>15.54</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2,433.23</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2,433.23</w:t>
            </w:r>
          </w:p>
        </w:tc>
      </w:tr>
    </w:tbl>
    <w:p w:rsidR="00A07D44" w:rsidRPr="00A07D44" w:rsidRDefault="00A20092" w:rsidP="00A07D44">
      <w:pPr>
        <w:tabs>
          <w:tab w:val="left" w:pos="426"/>
        </w:tabs>
        <w:spacing w:before="29" w:line="288" w:lineRule="auto"/>
        <w:jc w:val="left"/>
        <w:rPr>
          <w:kern w:val="0"/>
          <w:sz w:val="24"/>
        </w:rPr>
      </w:pPr>
      <w:r>
        <w:rPr>
          <w:kern w:val="0"/>
          <w:sz w:val="24"/>
        </w:rPr>
        <w:t>注：</w:t>
      </w:r>
      <w:r w:rsidR="00A07D44" w:rsidRPr="00A07D44">
        <w:rPr>
          <w:rFonts w:hint="eastAsia"/>
          <w:kern w:val="0"/>
          <w:sz w:val="24"/>
        </w:rPr>
        <w:t>支付基金销售机构的销售服务费按前一日</w:t>
      </w:r>
      <w:r w:rsidR="00A07D44" w:rsidRPr="00A07D44">
        <w:rPr>
          <w:rFonts w:hint="eastAsia"/>
          <w:kern w:val="0"/>
          <w:sz w:val="24"/>
        </w:rPr>
        <w:t>C</w:t>
      </w:r>
      <w:r w:rsidR="00A07D44" w:rsidRPr="00A07D44">
        <w:rPr>
          <w:rFonts w:hint="eastAsia"/>
          <w:kern w:val="0"/>
          <w:sz w:val="24"/>
        </w:rPr>
        <w:t>类基金份额对应的基金资产净值</w:t>
      </w:r>
      <w:r w:rsidR="00A07D44" w:rsidRPr="00A07D44">
        <w:rPr>
          <w:rFonts w:hint="eastAsia"/>
          <w:kern w:val="0"/>
          <w:sz w:val="24"/>
        </w:rPr>
        <w:t>0.60%</w:t>
      </w:r>
      <w:r w:rsidR="00A07D44" w:rsidRPr="00A07D44">
        <w:rPr>
          <w:rFonts w:hint="eastAsia"/>
          <w:kern w:val="0"/>
          <w:sz w:val="24"/>
        </w:rPr>
        <w:t>的年费率计提，逐日累计至每月月底，按月支付给基金管理人，再由基金管理人计算并支付给各基金销售机构。其计算公式为：</w:t>
      </w:r>
    </w:p>
    <w:p w:rsidR="00EF55B7" w:rsidRPr="00D81900" w:rsidRDefault="00A07D44" w:rsidP="00A07D44">
      <w:pPr>
        <w:tabs>
          <w:tab w:val="left" w:pos="426"/>
        </w:tabs>
        <w:spacing w:before="29" w:line="288" w:lineRule="auto"/>
        <w:jc w:val="left"/>
        <w:rPr>
          <w:kern w:val="0"/>
          <w:sz w:val="24"/>
        </w:rPr>
      </w:pPr>
      <w:r w:rsidRPr="00A07D44">
        <w:rPr>
          <w:rFonts w:hint="eastAsia"/>
          <w:kern w:val="0"/>
          <w:sz w:val="24"/>
        </w:rPr>
        <w:t>日销售服务费＝前一日</w:t>
      </w:r>
      <w:r w:rsidRPr="00A07D44">
        <w:rPr>
          <w:rFonts w:hint="eastAsia"/>
          <w:kern w:val="0"/>
          <w:sz w:val="24"/>
        </w:rPr>
        <w:t>C</w:t>
      </w:r>
      <w:r w:rsidRPr="00A07D44">
        <w:rPr>
          <w:rFonts w:hint="eastAsia"/>
          <w:kern w:val="0"/>
          <w:sz w:val="24"/>
        </w:rPr>
        <w:t>类基金份额对应的资产净值×</w:t>
      </w:r>
      <w:r w:rsidRPr="00A07D44">
        <w:rPr>
          <w:rFonts w:hint="eastAsia"/>
          <w:kern w:val="0"/>
          <w:sz w:val="24"/>
        </w:rPr>
        <w:t>0.60%</w:t>
      </w:r>
      <w:r>
        <w:rPr>
          <w:rFonts w:hint="eastAsia"/>
          <w:kern w:val="0"/>
          <w:sz w:val="24"/>
        </w:rPr>
        <w:t>÷当年天数</w:t>
      </w:r>
      <w:r w:rsidR="00EF55B7" w:rsidRPr="00D81900">
        <w:rPr>
          <w:kern w:val="0"/>
          <w:sz w:val="24"/>
        </w:rPr>
        <w:t>。</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27EE0" w:rsidRDefault="001A59F9" w:rsidP="00727EE0">
      <w:pPr>
        <w:pStyle w:val="20"/>
        <w:spacing w:before="29" w:after="0" w:line="288" w:lineRule="auto"/>
        <w:rPr>
          <w:rFonts w:ascii="Times New Roman" w:hAnsi="Times New Roman"/>
          <w:kern w:val="0"/>
          <w:szCs w:val="24"/>
        </w:rPr>
      </w:pPr>
      <w:bookmarkStart w:id="189" w:name="_Toc35966273"/>
      <w:r w:rsidRPr="00727EE0">
        <w:rPr>
          <w:rFonts w:ascii="Times New Roman" w:hAnsi="Times New Roman"/>
          <w:kern w:val="0"/>
          <w:szCs w:val="24"/>
        </w:rPr>
        <w:t>7.4.10.3</w:t>
      </w:r>
      <w:r w:rsidRPr="00727EE0">
        <w:rPr>
          <w:rFonts w:ascii="Times New Roman" w:hAnsi="Times New Roman" w:hint="eastAsia"/>
          <w:kern w:val="0"/>
          <w:szCs w:val="24"/>
        </w:rPr>
        <w:t>与关联方进行银行间同业市场的债券</w:t>
      </w:r>
      <w:r w:rsidRPr="00727EE0">
        <w:rPr>
          <w:rFonts w:ascii="Times New Roman" w:hAnsi="Times New Roman"/>
          <w:kern w:val="0"/>
          <w:szCs w:val="24"/>
        </w:rPr>
        <w:t>(</w:t>
      </w:r>
      <w:r w:rsidRPr="00727EE0">
        <w:rPr>
          <w:rFonts w:ascii="Times New Roman" w:hAnsi="Times New Roman" w:hint="eastAsia"/>
          <w:kern w:val="0"/>
          <w:szCs w:val="24"/>
        </w:rPr>
        <w:t>含回购</w:t>
      </w:r>
      <w:r w:rsidRPr="00727EE0">
        <w:rPr>
          <w:rFonts w:ascii="Times New Roman" w:hAnsi="Times New Roman"/>
          <w:kern w:val="0"/>
          <w:szCs w:val="24"/>
        </w:rPr>
        <w:t>)</w:t>
      </w:r>
      <w:r w:rsidRPr="00727EE0">
        <w:rPr>
          <w:rFonts w:ascii="Times New Roman" w:hAnsi="Times New Roman" w:hint="eastAsia"/>
          <w:kern w:val="0"/>
          <w:szCs w:val="24"/>
        </w:rPr>
        <w:t>交易</w:t>
      </w:r>
      <w:bookmarkEnd w:id="189"/>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27EE0" w:rsidRDefault="001A59F9" w:rsidP="00727EE0">
      <w:pPr>
        <w:pStyle w:val="20"/>
        <w:spacing w:before="29" w:after="0" w:line="288" w:lineRule="auto"/>
        <w:rPr>
          <w:rFonts w:ascii="Times New Roman" w:hAnsi="Times New Roman"/>
          <w:kern w:val="0"/>
          <w:szCs w:val="24"/>
        </w:rPr>
      </w:pPr>
      <w:bookmarkStart w:id="190" w:name="_Toc35966274"/>
      <w:r w:rsidRPr="00727EE0">
        <w:rPr>
          <w:rFonts w:ascii="Times New Roman" w:hAnsi="Times New Roman"/>
          <w:kern w:val="0"/>
          <w:szCs w:val="24"/>
        </w:rPr>
        <w:t>7.4.10.4</w:t>
      </w:r>
      <w:proofErr w:type="gramStart"/>
      <w:r w:rsidRPr="00727EE0">
        <w:rPr>
          <w:rFonts w:ascii="Times New Roman" w:hAnsi="Times New Roman" w:hint="eastAsia"/>
          <w:kern w:val="0"/>
          <w:szCs w:val="24"/>
        </w:rPr>
        <w:t>各</w:t>
      </w:r>
      <w:proofErr w:type="gramEnd"/>
      <w:r w:rsidRPr="00727EE0">
        <w:rPr>
          <w:rFonts w:ascii="Times New Roman" w:hAnsi="Times New Roman" w:hint="eastAsia"/>
          <w:kern w:val="0"/>
          <w:szCs w:val="24"/>
        </w:rPr>
        <w:t>关联方投资本基金的情况</w:t>
      </w:r>
      <w:bookmarkEnd w:id="190"/>
    </w:p>
    <w:p w:rsidR="001A59F9" w:rsidRPr="00727EE0" w:rsidRDefault="001A59F9" w:rsidP="00727EE0">
      <w:pPr>
        <w:pStyle w:val="20"/>
        <w:spacing w:before="29" w:after="0" w:line="288" w:lineRule="auto"/>
        <w:rPr>
          <w:rFonts w:ascii="Times New Roman" w:hAnsi="Times New Roman"/>
          <w:kern w:val="0"/>
          <w:szCs w:val="24"/>
        </w:rPr>
      </w:pPr>
      <w:bookmarkStart w:id="191" w:name="_Toc35966275"/>
      <w:r w:rsidRPr="00727EE0">
        <w:rPr>
          <w:rFonts w:ascii="Times New Roman" w:hAnsi="Times New Roman"/>
          <w:kern w:val="0"/>
          <w:szCs w:val="24"/>
        </w:rPr>
        <w:t>7.4.10.4.1</w:t>
      </w:r>
      <w:r w:rsidRPr="00727EE0">
        <w:rPr>
          <w:rFonts w:ascii="Times New Roman" w:hAnsi="Times New Roman" w:hint="eastAsia"/>
          <w:kern w:val="0"/>
          <w:szCs w:val="24"/>
        </w:rPr>
        <w:t>报告期内基金管理人运用</w:t>
      </w:r>
      <w:proofErr w:type="gramStart"/>
      <w:r w:rsidRPr="00727EE0">
        <w:rPr>
          <w:rFonts w:ascii="Times New Roman" w:hAnsi="Times New Roman" w:hint="eastAsia"/>
          <w:kern w:val="0"/>
          <w:szCs w:val="24"/>
        </w:rPr>
        <w:t>固有资金</w:t>
      </w:r>
      <w:proofErr w:type="gramEnd"/>
      <w:r w:rsidRPr="00727EE0">
        <w:rPr>
          <w:rFonts w:ascii="Times New Roman" w:hAnsi="Times New Roman" w:hint="eastAsia"/>
          <w:kern w:val="0"/>
          <w:szCs w:val="24"/>
        </w:rPr>
        <w:t>投资本基金的情况</w:t>
      </w:r>
      <w:bookmarkEnd w:id="191"/>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w:t>
      </w:r>
      <w:proofErr w:type="gramStart"/>
      <w:r w:rsidRPr="00294E74">
        <w:rPr>
          <w:kern w:val="0"/>
          <w:sz w:val="24"/>
        </w:rPr>
        <w:t>固有资金</w:t>
      </w:r>
      <w:proofErr w:type="gramEnd"/>
      <w:r w:rsidRPr="00294E74">
        <w:rPr>
          <w:kern w:val="0"/>
          <w:sz w:val="24"/>
        </w:rPr>
        <w:t>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27EE0" w:rsidRDefault="001A59F9" w:rsidP="00727EE0">
      <w:pPr>
        <w:pStyle w:val="20"/>
        <w:spacing w:before="29" w:after="0" w:line="288" w:lineRule="auto"/>
        <w:rPr>
          <w:rFonts w:ascii="Times New Roman" w:hAnsi="Times New Roman"/>
          <w:kern w:val="0"/>
          <w:szCs w:val="24"/>
        </w:rPr>
      </w:pPr>
      <w:bookmarkStart w:id="192" w:name="_Toc35966276"/>
      <w:r w:rsidRPr="00727EE0">
        <w:rPr>
          <w:rFonts w:ascii="Times New Roman" w:hAnsi="Times New Roman"/>
          <w:kern w:val="0"/>
          <w:szCs w:val="24"/>
        </w:rPr>
        <w:t>7.4.10.4.2</w:t>
      </w:r>
      <w:r w:rsidRPr="00727EE0">
        <w:rPr>
          <w:rFonts w:ascii="Times New Roman" w:hAnsi="Times New Roman" w:hint="eastAsia"/>
          <w:kern w:val="0"/>
          <w:szCs w:val="24"/>
        </w:rPr>
        <w:t>报告期末除基金管理人之外的其他关联方投资本基金的情况</w:t>
      </w:r>
      <w:bookmarkEnd w:id="192"/>
    </w:p>
    <w:p w:rsidR="001A59F9" w:rsidRDefault="004131ED" w:rsidP="004931E2">
      <w:pPr>
        <w:tabs>
          <w:tab w:val="left" w:pos="426"/>
        </w:tabs>
        <w:spacing w:before="29" w:line="288" w:lineRule="auto"/>
        <w:jc w:val="left"/>
        <w:rPr>
          <w:kern w:val="0"/>
          <w:sz w:val="24"/>
        </w:rPr>
      </w:pPr>
      <w:r w:rsidRPr="004131ED">
        <w:rPr>
          <w:rFonts w:hint="eastAsia"/>
          <w:kern w:val="0"/>
          <w:sz w:val="24"/>
        </w:rPr>
        <w:t>本报告期末及上年度末除基金管理人之外的其他关联方未持有本基金。</w:t>
      </w:r>
    </w:p>
    <w:p w:rsidR="004131ED" w:rsidRPr="004131ED" w:rsidRDefault="004131ED" w:rsidP="004931E2">
      <w:pPr>
        <w:tabs>
          <w:tab w:val="left" w:pos="426"/>
        </w:tabs>
        <w:spacing w:before="29" w:line="288" w:lineRule="auto"/>
        <w:jc w:val="left"/>
        <w:rPr>
          <w:rFonts w:asciiTheme="minorEastAsia" w:eastAsiaTheme="minorEastAsia" w:hAnsiTheme="minorEastAsia"/>
          <w:color w:val="000000"/>
          <w:kern w:val="0"/>
          <w:szCs w:val="21"/>
        </w:rPr>
      </w:pPr>
    </w:p>
    <w:p w:rsidR="001A59F9" w:rsidRPr="00727EE0" w:rsidRDefault="001A59F9" w:rsidP="00727EE0">
      <w:pPr>
        <w:pStyle w:val="20"/>
        <w:spacing w:before="29" w:after="0" w:line="288" w:lineRule="auto"/>
        <w:rPr>
          <w:rFonts w:ascii="Times New Roman" w:hAnsi="Times New Roman"/>
          <w:kern w:val="0"/>
          <w:szCs w:val="24"/>
        </w:rPr>
      </w:pPr>
      <w:bookmarkStart w:id="193" w:name="_Toc35966277"/>
      <w:r w:rsidRPr="00727EE0">
        <w:rPr>
          <w:rFonts w:ascii="Times New Roman" w:hAnsi="Times New Roman"/>
          <w:kern w:val="0"/>
          <w:szCs w:val="24"/>
        </w:rPr>
        <w:t>7.4.10.5</w:t>
      </w:r>
      <w:r w:rsidRPr="00727EE0">
        <w:rPr>
          <w:rFonts w:ascii="Times New Roman" w:hAnsi="Times New Roman" w:hint="eastAsia"/>
          <w:kern w:val="0"/>
          <w:szCs w:val="24"/>
        </w:rPr>
        <w:t>由关联方保管的银行存款余额及当期产生的利息收入</w:t>
      </w:r>
      <w:bookmarkEnd w:id="193"/>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5</w:t>
            </w:r>
            <w:r w:rsidRPr="001D18B5">
              <w:rPr>
                <w:color w:val="000000"/>
                <w:szCs w:val="21"/>
              </w:rPr>
              <w:t>月</w:t>
            </w:r>
            <w:r w:rsidRPr="001D18B5">
              <w:rPr>
                <w:color w:val="000000"/>
                <w:szCs w:val="21"/>
              </w:rPr>
              <w:t>23</w:t>
            </w:r>
            <w:r w:rsidRPr="001D18B5">
              <w:rPr>
                <w:color w:val="000000"/>
                <w:szCs w:val="21"/>
              </w:rPr>
              <w:t>日（基金合同生效日）至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644057">
        <w:tc>
          <w:tcPr>
            <w:tcW w:w="2268" w:type="dxa"/>
            <w:vAlign w:val="center"/>
          </w:tcPr>
          <w:p w:rsidR="00644057" w:rsidRDefault="00A20092">
            <w:pPr>
              <w:jc w:val="left"/>
            </w:pPr>
            <w:r>
              <w:rPr>
                <w:szCs w:val="21"/>
              </w:rPr>
              <w:t>招商银行</w:t>
            </w:r>
          </w:p>
        </w:tc>
        <w:tc>
          <w:tcPr>
            <w:tcW w:w="1683" w:type="dxa"/>
            <w:vAlign w:val="center"/>
          </w:tcPr>
          <w:p w:rsidR="00644057" w:rsidRDefault="00A20092">
            <w:pPr>
              <w:jc w:val="right"/>
            </w:pPr>
            <w:r>
              <w:rPr>
                <w:szCs w:val="21"/>
              </w:rPr>
              <w:t>626,921.67</w:t>
            </w:r>
          </w:p>
        </w:tc>
        <w:tc>
          <w:tcPr>
            <w:tcW w:w="1683" w:type="dxa"/>
            <w:vAlign w:val="center"/>
          </w:tcPr>
          <w:p w:rsidR="00644057" w:rsidRDefault="00A20092">
            <w:pPr>
              <w:jc w:val="right"/>
            </w:pPr>
            <w:r>
              <w:rPr>
                <w:szCs w:val="21"/>
              </w:rPr>
              <w:t>6,206.83</w:t>
            </w:r>
          </w:p>
        </w:tc>
        <w:tc>
          <w:tcPr>
            <w:tcW w:w="1683" w:type="dxa"/>
            <w:vAlign w:val="center"/>
          </w:tcPr>
          <w:p w:rsidR="00644057" w:rsidRDefault="00A20092">
            <w:pPr>
              <w:jc w:val="right"/>
            </w:pPr>
            <w:r>
              <w:rPr>
                <w:szCs w:val="21"/>
              </w:rPr>
              <w:t>517,687.20</w:t>
            </w:r>
          </w:p>
        </w:tc>
        <w:tc>
          <w:tcPr>
            <w:tcW w:w="1683" w:type="dxa"/>
            <w:vAlign w:val="center"/>
          </w:tcPr>
          <w:p w:rsidR="00644057" w:rsidRDefault="00A20092">
            <w:pPr>
              <w:jc w:val="right"/>
            </w:pPr>
            <w:r>
              <w:rPr>
                <w:szCs w:val="21"/>
              </w:rPr>
              <w:t>30,850.03</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27EE0" w:rsidRDefault="001A59F9" w:rsidP="00727EE0">
      <w:pPr>
        <w:pStyle w:val="20"/>
        <w:spacing w:before="29" w:after="0" w:line="288" w:lineRule="auto"/>
        <w:rPr>
          <w:rFonts w:ascii="Times New Roman" w:hAnsi="Times New Roman"/>
          <w:kern w:val="0"/>
          <w:szCs w:val="24"/>
        </w:rPr>
      </w:pPr>
      <w:bookmarkStart w:id="194" w:name="_Toc35966278"/>
      <w:r w:rsidRPr="00727EE0">
        <w:rPr>
          <w:rFonts w:ascii="Times New Roman" w:hAnsi="Times New Roman"/>
          <w:kern w:val="0"/>
          <w:szCs w:val="24"/>
        </w:rPr>
        <w:t>7.4.10.6</w:t>
      </w:r>
      <w:r w:rsidRPr="00727EE0">
        <w:rPr>
          <w:rFonts w:ascii="Times New Roman" w:hAnsi="Times New Roman" w:hint="eastAsia"/>
          <w:kern w:val="0"/>
          <w:szCs w:val="24"/>
        </w:rPr>
        <w:t>本基金在承销期内参与关联方承销证券的情况</w:t>
      </w:r>
      <w:bookmarkEnd w:id="194"/>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727EE0" w:rsidRDefault="00A05BB8" w:rsidP="00727EE0">
      <w:pPr>
        <w:pStyle w:val="20"/>
        <w:spacing w:before="29" w:after="0" w:line="288" w:lineRule="auto"/>
        <w:rPr>
          <w:rFonts w:ascii="Times New Roman" w:hAnsi="Times New Roman"/>
          <w:kern w:val="0"/>
          <w:szCs w:val="24"/>
        </w:rPr>
      </w:pPr>
      <w:bookmarkStart w:id="195" w:name="_Toc35966279"/>
      <w:r w:rsidRPr="00727EE0">
        <w:rPr>
          <w:rFonts w:ascii="Times New Roman" w:hAnsi="Times New Roman"/>
          <w:kern w:val="0"/>
          <w:szCs w:val="24"/>
        </w:rPr>
        <w:t xml:space="preserve">7.4.10.7 </w:t>
      </w:r>
      <w:r w:rsidRPr="00727EE0">
        <w:rPr>
          <w:rFonts w:ascii="Times New Roman" w:hAnsi="Times New Roman"/>
          <w:kern w:val="0"/>
          <w:szCs w:val="24"/>
        </w:rPr>
        <w:t>其他关联交易事项的说明</w:t>
      </w:r>
      <w:bookmarkEnd w:id="195"/>
    </w:p>
    <w:p w:rsidR="00A05BB8" w:rsidRDefault="00A05BB8" w:rsidP="00727EE0">
      <w:pPr>
        <w:widowControl/>
        <w:spacing w:line="360" w:lineRule="auto"/>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727EE0" w:rsidRPr="00727EE0" w:rsidRDefault="00727EE0" w:rsidP="00727EE0">
      <w:pPr>
        <w:widowControl/>
        <w:spacing w:line="360" w:lineRule="auto"/>
        <w:rPr>
          <w:rFonts w:eastAsiaTheme="minorEastAsia"/>
          <w:color w:val="000000" w:themeColor="text1"/>
          <w:kern w:val="0"/>
          <w:sz w:val="24"/>
        </w:rPr>
      </w:pPr>
    </w:p>
    <w:p w:rsidR="001A59F9" w:rsidRPr="00727EE0" w:rsidRDefault="001A59F9" w:rsidP="00727EE0">
      <w:pPr>
        <w:pStyle w:val="20"/>
        <w:spacing w:before="29" w:after="0" w:line="288" w:lineRule="auto"/>
        <w:rPr>
          <w:rFonts w:ascii="Times New Roman" w:hAnsi="Times New Roman"/>
          <w:kern w:val="0"/>
          <w:szCs w:val="24"/>
        </w:rPr>
      </w:pPr>
      <w:bookmarkStart w:id="196" w:name="_Toc35966280"/>
      <w:r w:rsidRPr="00727EE0">
        <w:rPr>
          <w:rFonts w:ascii="Times New Roman" w:hAnsi="Times New Roman"/>
          <w:kern w:val="0"/>
          <w:szCs w:val="24"/>
        </w:rPr>
        <w:t>7.4.11</w:t>
      </w:r>
      <w:r w:rsidRPr="00727EE0">
        <w:rPr>
          <w:rFonts w:ascii="Times New Roman" w:hAnsi="Times New Roman" w:hint="eastAsia"/>
          <w:kern w:val="0"/>
          <w:szCs w:val="24"/>
        </w:rPr>
        <w:t>利润分配情况</w:t>
      </w:r>
      <w:bookmarkEnd w:id="196"/>
    </w:p>
    <w:p w:rsidR="00602AD8" w:rsidRPr="00F62C0F" w:rsidRDefault="00602AD8" w:rsidP="00F62C0F">
      <w:pPr>
        <w:adjustRightInd w:val="0"/>
        <w:snapToGrid w:val="0"/>
        <w:spacing w:before="29" w:line="288" w:lineRule="auto"/>
        <w:rPr>
          <w:color w:val="000000"/>
          <w:sz w:val="24"/>
        </w:rPr>
      </w:pPr>
      <w:r w:rsidRPr="00F62C0F">
        <w:rPr>
          <w:color w:val="000000"/>
          <w:sz w:val="24"/>
        </w:rPr>
        <w:t>交银丰晟收益债券</w:t>
      </w:r>
      <w:r w:rsidRPr="00F62C0F">
        <w:rPr>
          <w:color w:val="000000"/>
          <w:sz w:val="24"/>
        </w:rPr>
        <w:t>A</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FB41B8">
        <w:trPr>
          <w:trHeight w:val="1323"/>
          <w:jc w:val="center"/>
        </w:trPr>
        <w:tc>
          <w:tcPr>
            <w:tcW w:w="853"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vMerge w:val="restart"/>
            <w:shd w:val="clear" w:color="auto" w:fill="auto"/>
            <w:vAlign w:val="center"/>
          </w:tcPr>
          <w:p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vMerge w:val="restart"/>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DD677A" w:rsidTr="00DD677A">
        <w:trPr>
          <w:jc w:val="center"/>
        </w:trPr>
        <w:tc>
          <w:tcPr>
            <w:tcW w:w="853" w:type="dxa"/>
            <w:vAlign w:val="center"/>
          </w:tcPr>
          <w:p w:rsidR="00644057" w:rsidRDefault="00A20092">
            <w:pPr>
              <w:jc w:val="center"/>
            </w:pPr>
            <w:r>
              <w:rPr>
                <w:szCs w:val="21"/>
              </w:rPr>
              <w:t>1</w:t>
            </w:r>
          </w:p>
        </w:tc>
        <w:tc>
          <w:tcPr>
            <w:tcW w:w="1216" w:type="dxa"/>
            <w:vAlign w:val="center"/>
          </w:tcPr>
          <w:p w:rsidR="00644057" w:rsidRDefault="00A20092">
            <w:pPr>
              <w:jc w:val="center"/>
            </w:pPr>
            <w:r>
              <w:rPr>
                <w:szCs w:val="21"/>
              </w:rPr>
              <w:t>2019-01-14</w:t>
            </w:r>
          </w:p>
        </w:tc>
        <w:tc>
          <w:tcPr>
            <w:tcW w:w="1478" w:type="dxa"/>
            <w:vAlign w:val="center"/>
          </w:tcPr>
          <w:p w:rsidR="00644057" w:rsidRDefault="00A20092">
            <w:pPr>
              <w:jc w:val="center"/>
            </w:pPr>
            <w:r>
              <w:rPr>
                <w:szCs w:val="21"/>
              </w:rPr>
              <w:t>2019-01-14</w:t>
            </w:r>
          </w:p>
        </w:tc>
        <w:tc>
          <w:tcPr>
            <w:tcW w:w="1171" w:type="dxa"/>
            <w:vAlign w:val="center"/>
          </w:tcPr>
          <w:p w:rsidR="00644057" w:rsidRDefault="00A20092">
            <w:pPr>
              <w:jc w:val="right"/>
            </w:pPr>
            <w:r>
              <w:rPr>
                <w:szCs w:val="21"/>
              </w:rPr>
              <w:t>0.340</w:t>
            </w:r>
          </w:p>
        </w:tc>
        <w:tc>
          <w:tcPr>
            <w:tcW w:w="1325" w:type="dxa"/>
            <w:vAlign w:val="center"/>
          </w:tcPr>
          <w:p w:rsidR="00644057" w:rsidRDefault="00A20092">
            <w:pPr>
              <w:jc w:val="right"/>
            </w:pPr>
            <w:r>
              <w:rPr>
                <w:szCs w:val="21"/>
              </w:rPr>
              <w:t>11,247,650.94</w:t>
            </w:r>
          </w:p>
        </w:tc>
        <w:tc>
          <w:tcPr>
            <w:tcW w:w="1325" w:type="dxa"/>
            <w:vAlign w:val="center"/>
          </w:tcPr>
          <w:p w:rsidR="00644057" w:rsidRDefault="00A20092">
            <w:pPr>
              <w:jc w:val="right"/>
            </w:pPr>
            <w:r>
              <w:rPr>
                <w:szCs w:val="21"/>
              </w:rPr>
              <w:t>-</w:t>
            </w:r>
          </w:p>
        </w:tc>
        <w:tc>
          <w:tcPr>
            <w:tcW w:w="1325" w:type="dxa"/>
            <w:vAlign w:val="center"/>
          </w:tcPr>
          <w:p w:rsidR="00644057" w:rsidRDefault="00A20092">
            <w:pPr>
              <w:jc w:val="right"/>
            </w:pPr>
            <w:r>
              <w:rPr>
                <w:szCs w:val="21"/>
              </w:rPr>
              <w:t>11,247,650.94</w:t>
            </w:r>
          </w:p>
        </w:tc>
        <w:tc>
          <w:tcPr>
            <w:tcW w:w="948" w:type="dxa"/>
            <w:vAlign w:val="center"/>
          </w:tcPr>
          <w:p w:rsidR="00644057" w:rsidRDefault="00A20092">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0.340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11,247,650.94</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11,247,650.94</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602AD8" w:rsidRPr="00F62C0F" w:rsidRDefault="00602AD8" w:rsidP="00F62C0F">
      <w:pPr>
        <w:adjustRightInd w:val="0"/>
        <w:snapToGrid w:val="0"/>
        <w:spacing w:before="29" w:line="288" w:lineRule="auto"/>
        <w:rPr>
          <w:color w:val="000000"/>
          <w:sz w:val="24"/>
        </w:rPr>
      </w:pPr>
      <w:r w:rsidRPr="00F62C0F">
        <w:rPr>
          <w:color w:val="000000"/>
          <w:sz w:val="24"/>
        </w:rPr>
        <w:t>交银丰晟收益债券</w:t>
      </w:r>
      <w:r w:rsidRPr="00F62C0F">
        <w:rPr>
          <w:color w:val="000000"/>
          <w:sz w:val="24"/>
        </w:rPr>
        <w:t>C</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4E33C7" w:rsidTr="00FB41B8">
        <w:trPr>
          <w:trHeight w:val="1323"/>
          <w:jc w:val="center"/>
        </w:trPr>
        <w:tc>
          <w:tcPr>
            <w:tcW w:w="853" w:type="dxa"/>
            <w:vMerge w:val="restart"/>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序号</w:t>
            </w:r>
          </w:p>
        </w:tc>
        <w:tc>
          <w:tcPr>
            <w:tcW w:w="1216" w:type="dxa"/>
            <w:vMerge w:val="restart"/>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权益登记日</w:t>
            </w:r>
          </w:p>
        </w:tc>
        <w:tc>
          <w:tcPr>
            <w:tcW w:w="1478"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除息日</w:t>
            </w:r>
          </w:p>
        </w:tc>
        <w:tc>
          <w:tcPr>
            <w:tcW w:w="1171"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每</w:t>
            </w:r>
            <w:r w:rsidRPr="004E33C7">
              <w:rPr>
                <w:color w:val="000000"/>
                <w:szCs w:val="21"/>
              </w:rPr>
              <w:t>10</w:t>
            </w:r>
            <w:r w:rsidRPr="004E33C7">
              <w:rPr>
                <w:color w:val="000000"/>
                <w:szCs w:val="21"/>
              </w:rPr>
              <w:t>份基金份额分红数</w:t>
            </w:r>
          </w:p>
        </w:tc>
        <w:tc>
          <w:tcPr>
            <w:tcW w:w="1325"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现金形式发放总额</w:t>
            </w:r>
          </w:p>
        </w:tc>
        <w:tc>
          <w:tcPr>
            <w:tcW w:w="1325"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再投资形式发放总额</w:t>
            </w:r>
          </w:p>
        </w:tc>
        <w:tc>
          <w:tcPr>
            <w:tcW w:w="1325" w:type="dxa"/>
            <w:vMerge w:val="restart"/>
            <w:shd w:val="clear" w:color="auto" w:fill="auto"/>
            <w:vAlign w:val="center"/>
          </w:tcPr>
          <w:p w:rsidR="00602AD8" w:rsidRPr="004E33C7"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4E33C7">
              <w:rPr>
                <w:color w:val="000000"/>
                <w:szCs w:val="21"/>
              </w:rPr>
              <w:t>利润分配合计</w:t>
            </w:r>
          </w:p>
        </w:tc>
        <w:tc>
          <w:tcPr>
            <w:tcW w:w="948" w:type="dxa"/>
            <w:vMerge w:val="restart"/>
            <w:shd w:val="clear" w:color="auto" w:fill="auto"/>
            <w:vAlign w:val="center"/>
          </w:tcPr>
          <w:p w:rsidR="00602AD8" w:rsidRPr="004E33C7" w:rsidRDefault="00602AD8" w:rsidP="00BF20F3">
            <w:pPr>
              <w:widowControl/>
              <w:spacing w:line="288" w:lineRule="auto"/>
              <w:ind w:right="-15"/>
              <w:jc w:val="center"/>
              <w:textAlignment w:val="bottom"/>
              <w:rPr>
                <w:color w:val="000000"/>
                <w:szCs w:val="21"/>
              </w:rPr>
            </w:pPr>
            <w:r w:rsidRPr="004E33C7">
              <w:rPr>
                <w:color w:val="000000"/>
                <w:szCs w:val="21"/>
              </w:rPr>
              <w:t>备注</w:t>
            </w:r>
          </w:p>
        </w:tc>
      </w:tr>
      <w:tr w:rsidR="00DD677A" w:rsidTr="00DD677A">
        <w:trPr>
          <w:jc w:val="center"/>
        </w:trPr>
        <w:tc>
          <w:tcPr>
            <w:tcW w:w="853" w:type="dxa"/>
            <w:vAlign w:val="center"/>
          </w:tcPr>
          <w:p w:rsidR="00644057" w:rsidRDefault="00A20092">
            <w:pPr>
              <w:jc w:val="center"/>
            </w:pPr>
            <w:r>
              <w:rPr>
                <w:szCs w:val="21"/>
              </w:rPr>
              <w:t>1</w:t>
            </w:r>
          </w:p>
        </w:tc>
        <w:tc>
          <w:tcPr>
            <w:tcW w:w="1216" w:type="dxa"/>
            <w:vAlign w:val="center"/>
          </w:tcPr>
          <w:p w:rsidR="00644057" w:rsidRDefault="00A20092">
            <w:pPr>
              <w:jc w:val="center"/>
            </w:pPr>
            <w:r>
              <w:rPr>
                <w:szCs w:val="21"/>
              </w:rPr>
              <w:t>2019-01-14</w:t>
            </w:r>
          </w:p>
        </w:tc>
        <w:tc>
          <w:tcPr>
            <w:tcW w:w="1478" w:type="dxa"/>
            <w:vAlign w:val="center"/>
          </w:tcPr>
          <w:p w:rsidR="00644057" w:rsidRDefault="00A20092">
            <w:pPr>
              <w:jc w:val="center"/>
            </w:pPr>
            <w:r>
              <w:rPr>
                <w:szCs w:val="21"/>
              </w:rPr>
              <w:t>2019-01-14</w:t>
            </w:r>
          </w:p>
        </w:tc>
        <w:tc>
          <w:tcPr>
            <w:tcW w:w="1171" w:type="dxa"/>
            <w:vAlign w:val="center"/>
          </w:tcPr>
          <w:p w:rsidR="00644057" w:rsidRDefault="00A20092">
            <w:pPr>
              <w:jc w:val="right"/>
            </w:pPr>
            <w:r>
              <w:rPr>
                <w:szCs w:val="21"/>
              </w:rPr>
              <w:t>0.300</w:t>
            </w:r>
          </w:p>
        </w:tc>
        <w:tc>
          <w:tcPr>
            <w:tcW w:w="1325" w:type="dxa"/>
            <w:vAlign w:val="center"/>
          </w:tcPr>
          <w:p w:rsidR="00644057" w:rsidRDefault="00A20092">
            <w:pPr>
              <w:jc w:val="right"/>
            </w:pPr>
            <w:r>
              <w:rPr>
                <w:szCs w:val="21"/>
              </w:rPr>
              <w:t>23,299.92</w:t>
            </w:r>
          </w:p>
        </w:tc>
        <w:tc>
          <w:tcPr>
            <w:tcW w:w="1325" w:type="dxa"/>
            <w:vAlign w:val="center"/>
          </w:tcPr>
          <w:p w:rsidR="00644057" w:rsidRDefault="00A20092">
            <w:pPr>
              <w:jc w:val="right"/>
            </w:pPr>
            <w:r>
              <w:rPr>
                <w:szCs w:val="21"/>
              </w:rPr>
              <w:t>-</w:t>
            </w:r>
          </w:p>
        </w:tc>
        <w:tc>
          <w:tcPr>
            <w:tcW w:w="1325" w:type="dxa"/>
            <w:vAlign w:val="center"/>
          </w:tcPr>
          <w:p w:rsidR="00644057" w:rsidRDefault="00A20092">
            <w:pPr>
              <w:jc w:val="right"/>
            </w:pPr>
            <w:r>
              <w:rPr>
                <w:szCs w:val="21"/>
              </w:rPr>
              <w:t>23,299.92</w:t>
            </w:r>
          </w:p>
        </w:tc>
        <w:tc>
          <w:tcPr>
            <w:tcW w:w="948" w:type="dxa"/>
            <w:vAlign w:val="center"/>
          </w:tcPr>
          <w:p w:rsidR="00644057" w:rsidRDefault="00A20092">
            <w:pPr>
              <w:jc w:val="left"/>
            </w:pPr>
            <w:r>
              <w:rPr>
                <w:szCs w:val="21"/>
              </w:rPr>
              <w:t>-</w:t>
            </w:r>
          </w:p>
        </w:tc>
      </w:tr>
      <w:tr w:rsidR="00602AD8" w:rsidRPr="004E33C7" w:rsidTr="004C7021">
        <w:trPr>
          <w:jc w:val="center"/>
        </w:trPr>
        <w:tc>
          <w:tcPr>
            <w:tcW w:w="853" w:type="dxa"/>
            <w:shd w:val="clear" w:color="auto" w:fill="auto"/>
            <w:vAlign w:val="center"/>
          </w:tcPr>
          <w:p w:rsidR="00602AD8" w:rsidRPr="004E33C7" w:rsidRDefault="00602AD8" w:rsidP="004D4847">
            <w:pPr>
              <w:spacing w:before="29" w:line="288" w:lineRule="auto"/>
              <w:jc w:val="center"/>
              <w:rPr>
                <w:szCs w:val="21"/>
              </w:rPr>
            </w:pPr>
            <w:r w:rsidRPr="004E33C7">
              <w:rPr>
                <w:szCs w:val="21"/>
              </w:rPr>
              <w:t>合计</w:t>
            </w:r>
          </w:p>
        </w:tc>
        <w:tc>
          <w:tcPr>
            <w:tcW w:w="1216" w:type="dxa"/>
            <w:shd w:val="clear" w:color="auto" w:fill="auto"/>
            <w:vAlign w:val="center"/>
          </w:tcPr>
          <w:p w:rsidR="00602AD8" w:rsidRPr="004E33C7" w:rsidRDefault="00602AD8" w:rsidP="003E456E">
            <w:pPr>
              <w:spacing w:before="29" w:line="288" w:lineRule="auto"/>
              <w:jc w:val="right"/>
              <w:rPr>
                <w:szCs w:val="21"/>
              </w:rPr>
            </w:pPr>
          </w:p>
        </w:tc>
        <w:tc>
          <w:tcPr>
            <w:tcW w:w="1478" w:type="dxa"/>
            <w:shd w:val="clear" w:color="auto" w:fill="auto"/>
            <w:vAlign w:val="center"/>
          </w:tcPr>
          <w:p w:rsidR="00602AD8" w:rsidRPr="004E33C7" w:rsidRDefault="00602AD8" w:rsidP="003E456E">
            <w:pPr>
              <w:spacing w:before="29" w:line="288" w:lineRule="auto"/>
              <w:jc w:val="right"/>
              <w:rPr>
                <w:szCs w:val="21"/>
              </w:rPr>
            </w:pPr>
          </w:p>
        </w:tc>
        <w:tc>
          <w:tcPr>
            <w:tcW w:w="1171" w:type="dxa"/>
            <w:shd w:val="clear" w:color="auto" w:fill="auto"/>
            <w:vAlign w:val="center"/>
          </w:tcPr>
          <w:p w:rsidR="00602AD8" w:rsidRPr="004E33C7" w:rsidRDefault="00602AD8" w:rsidP="003E456E">
            <w:pPr>
              <w:spacing w:before="29" w:line="288" w:lineRule="auto"/>
              <w:jc w:val="right"/>
              <w:rPr>
                <w:szCs w:val="21"/>
              </w:rPr>
            </w:pPr>
            <w:r w:rsidRPr="004E33C7">
              <w:rPr>
                <w:szCs w:val="21"/>
              </w:rPr>
              <w:t>0.300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23,299.92</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23,299.92</w:t>
            </w:r>
          </w:p>
        </w:tc>
        <w:tc>
          <w:tcPr>
            <w:tcW w:w="948" w:type="dxa"/>
            <w:shd w:val="clear" w:color="auto" w:fill="auto"/>
            <w:vAlign w:val="center"/>
          </w:tcPr>
          <w:p w:rsidR="00602AD8" w:rsidRPr="004E33C7" w:rsidRDefault="00602AD8" w:rsidP="004C7021">
            <w:pPr>
              <w:spacing w:before="29" w:line="288" w:lineRule="auto"/>
              <w:rPr>
                <w:szCs w:val="21"/>
              </w:rPr>
            </w:pPr>
            <w:r w:rsidRPr="004E33C7">
              <w:rPr>
                <w:szCs w:val="21"/>
              </w:rPr>
              <w:t>-</w:t>
            </w:r>
          </w:p>
        </w:tc>
      </w:tr>
    </w:tbl>
    <w:p w:rsidR="00602AD8" w:rsidRDefault="00602AD8" w:rsidP="003A22A8">
      <w:pPr>
        <w:tabs>
          <w:tab w:val="left" w:pos="426"/>
        </w:tabs>
        <w:spacing w:before="29" w:line="288" w:lineRule="auto"/>
        <w:jc w:val="left"/>
        <w:rPr>
          <w:rFonts w:eastAsiaTheme="minorEastAsia"/>
          <w:b/>
          <w:sz w:val="24"/>
        </w:rPr>
      </w:pPr>
    </w:p>
    <w:p w:rsidR="001A59F9" w:rsidRPr="00727EE0" w:rsidRDefault="001A59F9" w:rsidP="00727EE0">
      <w:pPr>
        <w:pStyle w:val="20"/>
        <w:spacing w:before="29" w:after="0" w:line="288" w:lineRule="auto"/>
        <w:rPr>
          <w:rFonts w:ascii="Times New Roman" w:hAnsi="Times New Roman"/>
          <w:kern w:val="0"/>
          <w:szCs w:val="24"/>
        </w:rPr>
      </w:pPr>
      <w:bookmarkStart w:id="197" w:name="_Toc35966281"/>
      <w:r w:rsidRPr="00727EE0">
        <w:rPr>
          <w:rFonts w:ascii="Times New Roman" w:hAnsi="Times New Roman"/>
          <w:kern w:val="0"/>
          <w:szCs w:val="24"/>
        </w:rPr>
        <w:t>7.4.12</w:t>
      </w:r>
      <w:r w:rsidRPr="00727EE0">
        <w:rPr>
          <w:rFonts w:ascii="Times New Roman" w:hAnsi="Times New Roman" w:hint="eastAsia"/>
          <w:kern w:val="0"/>
          <w:szCs w:val="24"/>
        </w:rPr>
        <w:t>期末（</w:t>
      </w:r>
      <w:r w:rsidR="00F64FAD" w:rsidRPr="00727EE0">
        <w:rPr>
          <w:rFonts w:ascii="Times New Roman" w:hAnsi="Times New Roman"/>
          <w:kern w:val="0"/>
          <w:szCs w:val="24"/>
        </w:rPr>
        <w:t>2019</w:t>
      </w:r>
      <w:r w:rsidR="00F64FAD" w:rsidRPr="00727EE0">
        <w:rPr>
          <w:rFonts w:ascii="Times New Roman" w:hAnsi="Times New Roman"/>
          <w:kern w:val="0"/>
          <w:szCs w:val="24"/>
        </w:rPr>
        <w:t>年</w:t>
      </w:r>
      <w:r w:rsidR="00F64FAD" w:rsidRPr="00727EE0">
        <w:rPr>
          <w:rFonts w:ascii="Times New Roman" w:hAnsi="Times New Roman"/>
          <w:kern w:val="0"/>
          <w:szCs w:val="24"/>
        </w:rPr>
        <w:t>12</w:t>
      </w:r>
      <w:r w:rsidR="00F64FAD" w:rsidRPr="00727EE0">
        <w:rPr>
          <w:rFonts w:ascii="Times New Roman" w:hAnsi="Times New Roman"/>
          <w:kern w:val="0"/>
          <w:szCs w:val="24"/>
        </w:rPr>
        <w:t>月</w:t>
      </w:r>
      <w:r w:rsidR="00F64FAD" w:rsidRPr="00727EE0">
        <w:rPr>
          <w:rFonts w:ascii="Times New Roman" w:hAnsi="Times New Roman"/>
          <w:kern w:val="0"/>
          <w:szCs w:val="24"/>
        </w:rPr>
        <w:t>31</w:t>
      </w:r>
      <w:r w:rsidR="00F64FAD" w:rsidRPr="00727EE0">
        <w:rPr>
          <w:rFonts w:ascii="Times New Roman" w:hAnsi="Times New Roman"/>
          <w:kern w:val="0"/>
          <w:szCs w:val="24"/>
        </w:rPr>
        <w:t>日</w:t>
      </w:r>
      <w:r w:rsidRPr="00727EE0">
        <w:rPr>
          <w:rFonts w:ascii="Times New Roman" w:hAnsi="Times New Roman" w:hint="eastAsia"/>
          <w:kern w:val="0"/>
          <w:szCs w:val="24"/>
        </w:rPr>
        <w:t>）本基金持有的流通受限证券</w:t>
      </w:r>
      <w:bookmarkEnd w:id="197"/>
    </w:p>
    <w:p w:rsidR="001A59F9" w:rsidRPr="00727EE0" w:rsidRDefault="001A59F9" w:rsidP="00727EE0">
      <w:pPr>
        <w:pStyle w:val="20"/>
        <w:spacing w:before="29" w:after="0" w:line="288" w:lineRule="auto"/>
        <w:rPr>
          <w:rFonts w:ascii="Times New Roman" w:hAnsi="Times New Roman"/>
          <w:kern w:val="0"/>
          <w:szCs w:val="24"/>
        </w:rPr>
      </w:pPr>
      <w:bookmarkStart w:id="198" w:name="_Toc35966282"/>
      <w:r w:rsidRPr="00727EE0">
        <w:rPr>
          <w:rFonts w:ascii="Times New Roman" w:hAnsi="Times New Roman"/>
          <w:kern w:val="0"/>
          <w:szCs w:val="24"/>
        </w:rPr>
        <w:t>7.4.12.1</w:t>
      </w:r>
      <w:r w:rsidRPr="00727EE0">
        <w:rPr>
          <w:rFonts w:ascii="Times New Roman" w:hAnsi="Times New Roman" w:hint="eastAsia"/>
          <w:kern w:val="0"/>
          <w:szCs w:val="24"/>
        </w:rPr>
        <w:t>因认购新发</w:t>
      </w:r>
      <w:r w:rsidRPr="00727EE0">
        <w:rPr>
          <w:rFonts w:ascii="Times New Roman" w:hAnsi="Times New Roman"/>
          <w:kern w:val="0"/>
          <w:szCs w:val="24"/>
        </w:rPr>
        <w:t>/</w:t>
      </w:r>
      <w:r w:rsidRPr="00727EE0">
        <w:rPr>
          <w:rFonts w:ascii="Times New Roman" w:hAnsi="Times New Roman" w:hint="eastAsia"/>
          <w:kern w:val="0"/>
          <w:szCs w:val="24"/>
        </w:rPr>
        <w:t>增发证券而于期末持有的流通受限证券</w:t>
      </w:r>
      <w:bookmarkEnd w:id="198"/>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27EE0" w:rsidRDefault="001A59F9" w:rsidP="00727EE0">
      <w:pPr>
        <w:pStyle w:val="20"/>
        <w:spacing w:before="29" w:after="0" w:line="288" w:lineRule="auto"/>
        <w:rPr>
          <w:rFonts w:ascii="Times New Roman" w:hAnsi="Times New Roman"/>
          <w:kern w:val="0"/>
          <w:szCs w:val="24"/>
        </w:rPr>
      </w:pPr>
      <w:bookmarkStart w:id="199" w:name="_Toc35966283"/>
      <w:r w:rsidRPr="00727EE0">
        <w:rPr>
          <w:rFonts w:ascii="Times New Roman" w:hAnsi="Times New Roman"/>
          <w:kern w:val="0"/>
          <w:szCs w:val="24"/>
        </w:rPr>
        <w:t>7.4.12.2</w:t>
      </w:r>
      <w:r w:rsidRPr="00727EE0">
        <w:rPr>
          <w:rFonts w:ascii="Times New Roman" w:hAnsi="Times New Roman" w:hint="eastAsia"/>
          <w:kern w:val="0"/>
          <w:szCs w:val="24"/>
        </w:rPr>
        <w:t>期末持有的暂时停牌等流通受限股票</w:t>
      </w:r>
      <w:bookmarkEnd w:id="199"/>
    </w:p>
    <w:p w:rsidR="001A59F9" w:rsidRDefault="00AA2A58" w:rsidP="00026C9C">
      <w:pPr>
        <w:spacing w:line="360" w:lineRule="auto"/>
        <w:rPr>
          <w:kern w:val="0"/>
          <w:sz w:val="24"/>
        </w:rPr>
      </w:pPr>
      <w:r w:rsidRPr="00AA2A58">
        <w:rPr>
          <w:rFonts w:hint="eastAsia"/>
          <w:kern w:val="0"/>
          <w:sz w:val="24"/>
        </w:rPr>
        <w:t>本基金本报告期末未持有暂时停牌等流通受限股票。</w:t>
      </w:r>
    </w:p>
    <w:p w:rsidR="00AA2A58" w:rsidRPr="00AA2A58" w:rsidRDefault="00AA2A58" w:rsidP="00026C9C">
      <w:pPr>
        <w:spacing w:line="360" w:lineRule="auto"/>
        <w:rPr>
          <w:rFonts w:asciiTheme="minorEastAsia" w:eastAsiaTheme="minorEastAsia" w:hAnsiTheme="minorEastAsia"/>
          <w:color w:val="000000"/>
          <w:szCs w:val="21"/>
        </w:rPr>
      </w:pPr>
    </w:p>
    <w:p w:rsidR="001A59F9" w:rsidRPr="00727EE0" w:rsidRDefault="001A59F9" w:rsidP="00727EE0">
      <w:pPr>
        <w:pStyle w:val="20"/>
        <w:spacing w:before="29" w:after="0" w:line="288" w:lineRule="auto"/>
        <w:rPr>
          <w:rFonts w:ascii="Times New Roman" w:hAnsi="Times New Roman"/>
          <w:kern w:val="0"/>
          <w:szCs w:val="24"/>
        </w:rPr>
      </w:pPr>
      <w:bookmarkStart w:id="200" w:name="_Toc35966284"/>
      <w:r w:rsidRPr="00727EE0">
        <w:rPr>
          <w:rFonts w:ascii="Times New Roman" w:hAnsi="Times New Roman"/>
          <w:kern w:val="0"/>
          <w:szCs w:val="24"/>
        </w:rPr>
        <w:t>7.4.12.3</w:t>
      </w:r>
      <w:r w:rsidRPr="00727EE0">
        <w:rPr>
          <w:rFonts w:ascii="Times New Roman" w:hAnsi="Times New Roman" w:hint="eastAsia"/>
          <w:kern w:val="0"/>
          <w:szCs w:val="24"/>
        </w:rPr>
        <w:t>期末债券正回购交易中作为抵押的债券</w:t>
      </w:r>
      <w:bookmarkEnd w:id="200"/>
    </w:p>
    <w:p w:rsidR="001A59F9" w:rsidRPr="00727EE0" w:rsidRDefault="001A59F9" w:rsidP="00727EE0">
      <w:pPr>
        <w:pStyle w:val="20"/>
        <w:spacing w:before="29" w:after="0" w:line="288" w:lineRule="auto"/>
        <w:rPr>
          <w:rFonts w:ascii="Times New Roman" w:hAnsi="Times New Roman"/>
          <w:kern w:val="0"/>
          <w:szCs w:val="24"/>
        </w:rPr>
      </w:pPr>
      <w:bookmarkStart w:id="201" w:name="_Toc35966285"/>
      <w:r w:rsidRPr="00727EE0">
        <w:rPr>
          <w:rFonts w:ascii="Times New Roman" w:hAnsi="Times New Roman"/>
          <w:kern w:val="0"/>
          <w:szCs w:val="24"/>
        </w:rPr>
        <w:t>7.4.12.3.1</w:t>
      </w:r>
      <w:r w:rsidRPr="00727EE0">
        <w:rPr>
          <w:rFonts w:ascii="Times New Roman" w:hAnsi="Times New Roman" w:hint="eastAsia"/>
          <w:kern w:val="0"/>
          <w:szCs w:val="24"/>
        </w:rPr>
        <w:t>银行间市场债券正回购</w:t>
      </w:r>
      <w:bookmarkEnd w:id="201"/>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2019</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008F0020" w:rsidRPr="008F0020">
        <w:rPr>
          <w:kern w:val="0"/>
          <w:sz w:val="24"/>
        </w:rPr>
        <w:t>140,669,946.07</w:t>
      </w:r>
      <w:r w:rsidRPr="00633504">
        <w:rPr>
          <w:kern w:val="0"/>
          <w:sz w:val="24"/>
        </w:rPr>
        <w:t>元，是以如下债券作为抵押：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644057">
        <w:tc>
          <w:tcPr>
            <w:tcW w:w="1500" w:type="dxa"/>
            <w:vAlign w:val="center"/>
          </w:tcPr>
          <w:p w:rsidR="00644057" w:rsidRDefault="00A20092">
            <w:pPr>
              <w:jc w:val="center"/>
            </w:pPr>
            <w:r>
              <w:rPr>
                <w:sz w:val="24"/>
              </w:rPr>
              <w:t>101555010</w:t>
            </w:r>
          </w:p>
        </w:tc>
        <w:tc>
          <w:tcPr>
            <w:tcW w:w="1500" w:type="dxa"/>
            <w:vAlign w:val="center"/>
          </w:tcPr>
          <w:p w:rsidR="00644057" w:rsidRDefault="00A20092">
            <w:pPr>
              <w:jc w:val="center"/>
            </w:pPr>
            <w:r>
              <w:rPr>
                <w:sz w:val="24"/>
              </w:rPr>
              <w:t>15</w:t>
            </w:r>
            <w:proofErr w:type="gramStart"/>
            <w:r>
              <w:rPr>
                <w:sz w:val="24"/>
              </w:rPr>
              <w:t>苏州文旅</w:t>
            </w:r>
            <w:proofErr w:type="gramEnd"/>
            <w:r>
              <w:rPr>
                <w:sz w:val="24"/>
              </w:rPr>
              <w:t>MTN001</w:t>
            </w:r>
          </w:p>
        </w:tc>
        <w:tc>
          <w:tcPr>
            <w:tcW w:w="1500" w:type="dxa"/>
            <w:vAlign w:val="center"/>
          </w:tcPr>
          <w:p w:rsidR="00644057" w:rsidRDefault="00A20092">
            <w:pPr>
              <w:jc w:val="center"/>
            </w:pPr>
            <w:r>
              <w:rPr>
                <w:sz w:val="24"/>
              </w:rPr>
              <w:t>2020-01-02</w:t>
            </w:r>
          </w:p>
        </w:tc>
        <w:tc>
          <w:tcPr>
            <w:tcW w:w="1260" w:type="dxa"/>
            <w:vAlign w:val="center"/>
          </w:tcPr>
          <w:p w:rsidR="00644057" w:rsidRDefault="00A20092">
            <w:pPr>
              <w:jc w:val="right"/>
            </w:pPr>
            <w:r>
              <w:rPr>
                <w:sz w:val="24"/>
              </w:rPr>
              <w:t>101.33</w:t>
            </w:r>
          </w:p>
        </w:tc>
        <w:tc>
          <w:tcPr>
            <w:tcW w:w="1440" w:type="dxa"/>
            <w:vAlign w:val="center"/>
          </w:tcPr>
          <w:p w:rsidR="00644057" w:rsidRDefault="00A20092">
            <w:pPr>
              <w:jc w:val="right"/>
            </w:pPr>
            <w:r>
              <w:rPr>
                <w:sz w:val="24"/>
              </w:rPr>
              <w:t>100,000</w:t>
            </w:r>
          </w:p>
        </w:tc>
        <w:tc>
          <w:tcPr>
            <w:tcW w:w="1836" w:type="dxa"/>
            <w:vAlign w:val="center"/>
          </w:tcPr>
          <w:p w:rsidR="00644057" w:rsidRDefault="00A20092">
            <w:pPr>
              <w:jc w:val="right"/>
            </w:pPr>
            <w:r>
              <w:rPr>
                <w:sz w:val="24"/>
              </w:rPr>
              <w:t>10,133,000.00</w:t>
            </w:r>
          </w:p>
        </w:tc>
      </w:tr>
      <w:tr w:rsidR="00644057">
        <w:tc>
          <w:tcPr>
            <w:tcW w:w="1500" w:type="dxa"/>
            <w:vAlign w:val="center"/>
          </w:tcPr>
          <w:p w:rsidR="00644057" w:rsidRDefault="00A20092">
            <w:pPr>
              <w:jc w:val="center"/>
            </w:pPr>
            <w:r>
              <w:rPr>
                <w:sz w:val="24"/>
              </w:rPr>
              <w:t>101560059</w:t>
            </w:r>
          </w:p>
        </w:tc>
        <w:tc>
          <w:tcPr>
            <w:tcW w:w="1500" w:type="dxa"/>
            <w:vAlign w:val="center"/>
          </w:tcPr>
          <w:p w:rsidR="00644057" w:rsidRDefault="00A20092">
            <w:pPr>
              <w:jc w:val="center"/>
            </w:pPr>
            <w:r>
              <w:rPr>
                <w:sz w:val="24"/>
              </w:rPr>
              <w:t>15</w:t>
            </w:r>
            <w:r>
              <w:rPr>
                <w:sz w:val="24"/>
              </w:rPr>
              <w:t>盐城城南</w:t>
            </w:r>
            <w:r>
              <w:rPr>
                <w:sz w:val="24"/>
              </w:rPr>
              <w:t>MTN001</w:t>
            </w:r>
          </w:p>
        </w:tc>
        <w:tc>
          <w:tcPr>
            <w:tcW w:w="1500" w:type="dxa"/>
            <w:vAlign w:val="center"/>
          </w:tcPr>
          <w:p w:rsidR="00644057" w:rsidRDefault="00A20092">
            <w:pPr>
              <w:jc w:val="center"/>
            </w:pPr>
            <w:r>
              <w:rPr>
                <w:sz w:val="24"/>
              </w:rPr>
              <w:t>2020-01-03</w:t>
            </w:r>
          </w:p>
        </w:tc>
        <w:tc>
          <w:tcPr>
            <w:tcW w:w="1260" w:type="dxa"/>
            <w:vAlign w:val="center"/>
          </w:tcPr>
          <w:p w:rsidR="00644057" w:rsidRDefault="00A20092">
            <w:pPr>
              <w:jc w:val="right"/>
            </w:pPr>
            <w:r>
              <w:rPr>
                <w:sz w:val="24"/>
              </w:rPr>
              <w:t>100.97</w:t>
            </w:r>
          </w:p>
        </w:tc>
        <w:tc>
          <w:tcPr>
            <w:tcW w:w="1440" w:type="dxa"/>
            <w:vAlign w:val="center"/>
          </w:tcPr>
          <w:p w:rsidR="00644057" w:rsidRDefault="00A20092">
            <w:pPr>
              <w:jc w:val="right"/>
            </w:pPr>
            <w:r>
              <w:rPr>
                <w:sz w:val="24"/>
              </w:rPr>
              <w:t>300,000</w:t>
            </w:r>
          </w:p>
        </w:tc>
        <w:tc>
          <w:tcPr>
            <w:tcW w:w="1836" w:type="dxa"/>
            <w:vAlign w:val="center"/>
          </w:tcPr>
          <w:p w:rsidR="00644057" w:rsidRDefault="00A20092">
            <w:pPr>
              <w:jc w:val="right"/>
            </w:pPr>
            <w:r>
              <w:rPr>
                <w:sz w:val="24"/>
              </w:rPr>
              <w:t>30,291,000.00</w:t>
            </w:r>
          </w:p>
        </w:tc>
      </w:tr>
      <w:tr w:rsidR="00644057">
        <w:tc>
          <w:tcPr>
            <w:tcW w:w="1500" w:type="dxa"/>
            <w:vAlign w:val="center"/>
          </w:tcPr>
          <w:p w:rsidR="00644057" w:rsidRDefault="00A20092">
            <w:pPr>
              <w:jc w:val="center"/>
            </w:pPr>
            <w:r>
              <w:rPr>
                <w:sz w:val="24"/>
              </w:rPr>
              <w:t>101561019</w:t>
            </w:r>
          </w:p>
        </w:tc>
        <w:tc>
          <w:tcPr>
            <w:tcW w:w="1500" w:type="dxa"/>
            <w:vAlign w:val="center"/>
          </w:tcPr>
          <w:p w:rsidR="00644057" w:rsidRDefault="00A20092">
            <w:pPr>
              <w:jc w:val="center"/>
            </w:pPr>
            <w:r>
              <w:rPr>
                <w:sz w:val="24"/>
              </w:rPr>
              <w:t>15</w:t>
            </w:r>
            <w:r>
              <w:rPr>
                <w:sz w:val="24"/>
              </w:rPr>
              <w:t>金华城建</w:t>
            </w:r>
            <w:r>
              <w:rPr>
                <w:sz w:val="24"/>
              </w:rPr>
              <w:t>MTN001</w:t>
            </w:r>
          </w:p>
        </w:tc>
        <w:tc>
          <w:tcPr>
            <w:tcW w:w="1500" w:type="dxa"/>
            <w:vAlign w:val="center"/>
          </w:tcPr>
          <w:p w:rsidR="00644057" w:rsidRDefault="00A20092">
            <w:pPr>
              <w:jc w:val="center"/>
            </w:pPr>
            <w:r>
              <w:rPr>
                <w:sz w:val="24"/>
              </w:rPr>
              <w:t>2020-01-02</w:t>
            </w:r>
          </w:p>
        </w:tc>
        <w:tc>
          <w:tcPr>
            <w:tcW w:w="1260" w:type="dxa"/>
            <w:vAlign w:val="center"/>
          </w:tcPr>
          <w:p w:rsidR="00644057" w:rsidRDefault="00A20092">
            <w:pPr>
              <w:jc w:val="right"/>
            </w:pPr>
            <w:r>
              <w:rPr>
                <w:sz w:val="24"/>
              </w:rPr>
              <w:t>101.35</w:t>
            </w:r>
          </w:p>
        </w:tc>
        <w:tc>
          <w:tcPr>
            <w:tcW w:w="1440" w:type="dxa"/>
            <w:vAlign w:val="center"/>
          </w:tcPr>
          <w:p w:rsidR="00644057" w:rsidRDefault="00A20092">
            <w:pPr>
              <w:jc w:val="right"/>
            </w:pPr>
            <w:r>
              <w:rPr>
                <w:sz w:val="24"/>
              </w:rPr>
              <w:t>200,000</w:t>
            </w:r>
          </w:p>
        </w:tc>
        <w:tc>
          <w:tcPr>
            <w:tcW w:w="1836" w:type="dxa"/>
            <w:vAlign w:val="center"/>
          </w:tcPr>
          <w:p w:rsidR="00644057" w:rsidRDefault="00A20092">
            <w:pPr>
              <w:jc w:val="right"/>
            </w:pPr>
            <w:r>
              <w:rPr>
                <w:sz w:val="24"/>
              </w:rPr>
              <w:t>20,270,000.00</w:t>
            </w:r>
          </w:p>
        </w:tc>
      </w:tr>
      <w:tr w:rsidR="00644057">
        <w:tc>
          <w:tcPr>
            <w:tcW w:w="1500" w:type="dxa"/>
            <w:vAlign w:val="center"/>
          </w:tcPr>
          <w:p w:rsidR="00644057" w:rsidRDefault="00A20092">
            <w:pPr>
              <w:jc w:val="center"/>
            </w:pPr>
            <w:r>
              <w:rPr>
                <w:sz w:val="24"/>
              </w:rPr>
              <w:t>101755006</w:t>
            </w:r>
          </w:p>
        </w:tc>
        <w:tc>
          <w:tcPr>
            <w:tcW w:w="1500" w:type="dxa"/>
            <w:vAlign w:val="center"/>
          </w:tcPr>
          <w:p w:rsidR="00644057" w:rsidRDefault="00A20092">
            <w:pPr>
              <w:jc w:val="center"/>
            </w:pPr>
            <w:r>
              <w:rPr>
                <w:sz w:val="24"/>
              </w:rPr>
              <w:t>17</w:t>
            </w:r>
            <w:r>
              <w:rPr>
                <w:sz w:val="24"/>
              </w:rPr>
              <w:t>中山城投</w:t>
            </w:r>
            <w:r>
              <w:rPr>
                <w:sz w:val="24"/>
              </w:rPr>
              <w:t>MTN001</w:t>
            </w:r>
          </w:p>
        </w:tc>
        <w:tc>
          <w:tcPr>
            <w:tcW w:w="1500" w:type="dxa"/>
            <w:vAlign w:val="center"/>
          </w:tcPr>
          <w:p w:rsidR="00644057" w:rsidRDefault="00A20092">
            <w:pPr>
              <w:jc w:val="center"/>
            </w:pPr>
            <w:r>
              <w:rPr>
                <w:sz w:val="24"/>
              </w:rPr>
              <w:t>2020-01-02</w:t>
            </w:r>
          </w:p>
        </w:tc>
        <w:tc>
          <w:tcPr>
            <w:tcW w:w="1260" w:type="dxa"/>
            <w:vAlign w:val="center"/>
          </w:tcPr>
          <w:p w:rsidR="00644057" w:rsidRDefault="00A20092">
            <w:pPr>
              <w:jc w:val="right"/>
            </w:pPr>
            <w:r>
              <w:rPr>
                <w:sz w:val="24"/>
              </w:rPr>
              <w:t>101.19</w:t>
            </w:r>
          </w:p>
        </w:tc>
        <w:tc>
          <w:tcPr>
            <w:tcW w:w="1440" w:type="dxa"/>
            <w:vAlign w:val="center"/>
          </w:tcPr>
          <w:p w:rsidR="00644057" w:rsidRDefault="00A20092">
            <w:pPr>
              <w:jc w:val="right"/>
            </w:pPr>
            <w:r>
              <w:rPr>
                <w:sz w:val="24"/>
              </w:rPr>
              <w:t>12,000</w:t>
            </w:r>
          </w:p>
        </w:tc>
        <w:tc>
          <w:tcPr>
            <w:tcW w:w="1836" w:type="dxa"/>
            <w:vAlign w:val="center"/>
          </w:tcPr>
          <w:p w:rsidR="00644057" w:rsidRDefault="00A20092">
            <w:pPr>
              <w:jc w:val="right"/>
            </w:pPr>
            <w:r>
              <w:rPr>
                <w:sz w:val="24"/>
              </w:rPr>
              <w:t>1,214,280.00</w:t>
            </w:r>
          </w:p>
        </w:tc>
      </w:tr>
      <w:tr w:rsidR="00644057">
        <w:tc>
          <w:tcPr>
            <w:tcW w:w="1500" w:type="dxa"/>
            <w:vAlign w:val="center"/>
          </w:tcPr>
          <w:p w:rsidR="00644057" w:rsidRDefault="00A20092">
            <w:pPr>
              <w:jc w:val="center"/>
            </w:pPr>
            <w:r>
              <w:rPr>
                <w:sz w:val="24"/>
              </w:rPr>
              <w:t>101759039</w:t>
            </w:r>
          </w:p>
        </w:tc>
        <w:tc>
          <w:tcPr>
            <w:tcW w:w="1500" w:type="dxa"/>
            <w:vAlign w:val="center"/>
          </w:tcPr>
          <w:p w:rsidR="00644057" w:rsidRDefault="00A20092">
            <w:pPr>
              <w:jc w:val="center"/>
            </w:pPr>
            <w:r>
              <w:rPr>
                <w:sz w:val="24"/>
              </w:rPr>
              <w:t>17</w:t>
            </w:r>
            <w:proofErr w:type="gramStart"/>
            <w:r>
              <w:rPr>
                <w:sz w:val="24"/>
              </w:rPr>
              <w:t>乌高新</w:t>
            </w:r>
            <w:proofErr w:type="gramEnd"/>
            <w:r>
              <w:rPr>
                <w:sz w:val="24"/>
              </w:rPr>
              <w:t>MTN001</w:t>
            </w:r>
          </w:p>
        </w:tc>
        <w:tc>
          <w:tcPr>
            <w:tcW w:w="1500" w:type="dxa"/>
            <w:vAlign w:val="center"/>
          </w:tcPr>
          <w:p w:rsidR="00644057" w:rsidRDefault="00A20092">
            <w:pPr>
              <w:jc w:val="center"/>
            </w:pPr>
            <w:r>
              <w:rPr>
                <w:sz w:val="24"/>
              </w:rPr>
              <w:t>2020-01-07</w:t>
            </w:r>
          </w:p>
        </w:tc>
        <w:tc>
          <w:tcPr>
            <w:tcW w:w="1260" w:type="dxa"/>
            <w:vAlign w:val="center"/>
          </w:tcPr>
          <w:p w:rsidR="00644057" w:rsidRDefault="00A20092">
            <w:pPr>
              <w:jc w:val="right"/>
            </w:pPr>
            <w:r>
              <w:rPr>
                <w:sz w:val="24"/>
              </w:rPr>
              <w:t>101.60</w:t>
            </w:r>
          </w:p>
        </w:tc>
        <w:tc>
          <w:tcPr>
            <w:tcW w:w="1440" w:type="dxa"/>
            <w:vAlign w:val="center"/>
          </w:tcPr>
          <w:p w:rsidR="00644057" w:rsidRDefault="00A20092">
            <w:pPr>
              <w:jc w:val="right"/>
            </w:pPr>
            <w:r>
              <w:rPr>
                <w:sz w:val="24"/>
              </w:rPr>
              <w:t>179,000</w:t>
            </w:r>
          </w:p>
        </w:tc>
        <w:tc>
          <w:tcPr>
            <w:tcW w:w="1836" w:type="dxa"/>
            <w:vAlign w:val="center"/>
          </w:tcPr>
          <w:p w:rsidR="00644057" w:rsidRDefault="00A20092">
            <w:pPr>
              <w:jc w:val="right"/>
            </w:pPr>
            <w:r>
              <w:rPr>
                <w:sz w:val="24"/>
              </w:rPr>
              <w:t>18,186,400.00</w:t>
            </w:r>
          </w:p>
        </w:tc>
      </w:tr>
      <w:tr w:rsidR="00644057">
        <w:tc>
          <w:tcPr>
            <w:tcW w:w="1500" w:type="dxa"/>
            <w:vAlign w:val="center"/>
          </w:tcPr>
          <w:p w:rsidR="00644057" w:rsidRDefault="00A20092">
            <w:pPr>
              <w:jc w:val="center"/>
            </w:pPr>
            <w:r>
              <w:rPr>
                <w:sz w:val="24"/>
              </w:rPr>
              <w:t>101761017</w:t>
            </w:r>
          </w:p>
        </w:tc>
        <w:tc>
          <w:tcPr>
            <w:tcW w:w="1500" w:type="dxa"/>
            <w:vAlign w:val="center"/>
          </w:tcPr>
          <w:p w:rsidR="00644057" w:rsidRDefault="00A20092">
            <w:pPr>
              <w:jc w:val="center"/>
            </w:pPr>
            <w:r>
              <w:rPr>
                <w:sz w:val="24"/>
              </w:rPr>
              <w:t>17</w:t>
            </w:r>
            <w:r>
              <w:rPr>
                <w:sz w:val="24"/>
              </w:rPr>
              <w:t>江门建设</w:t>
            </w:r>
            <w:r>
              <w:rPr>
                <w:sz w:val="24"/>
              </w:rPr>
              <w:t>MTN001</w:t>
            </w:r>
          </w:p>
        </w:tc>
        <w:tc>
          <w:tcPr>
            <w:tcW w:w="1500" w:type="dxa"/>
            <w:vAlign w:val="center"/>
          </w:tcPr>
          <w:p w:rsidR="00644057" w:rsidRDefault="00A20092">
            <w:pPr>
              <w:jc w:val="center"/>
            </w:pPr>
            <w:r>
              <w:rPr>
                <w:sz w:val="24"/>
              </w:rPr>
              <w:t>2020-01-02</w:t>
            </w:r>
          </w:p>
        </w:tc>
        <w:tc>
          <w:tcPr>
            <w:tcW w:w="1260" w:type="dxa"/>
            <w:vAlign w:val="center"/>
          </w:tcPr>
          <w:p w:rsidR="00644057" w:rsidRDefault="00A20092">
            <w:pPr>
              <w:jc w:val="right"/>
            </w:pPr>
            <w:r>
              <w:rPr>
                <w:sz w:val="24"/>
              </w:rPr>
              <w:t>101.56</w:t>
            </w:r>
          </w:p>
        </w:tc>
        <w:tc>
          <w:tcPr>
            <w:tcW w:w="1440" w:type="dxa"/>
            <w:vAlign w:val="center"/>
          </w:tcPr>
          <w:p w:rsidR="00644057" w:rsidRDefault="00A20092">
            <w:pPr>
              <w:jc w:val="right"/>
            </w:pPr>
            <w:r>
              <w:rPr>
                <w:sz w:val="24"/>
              </w:rPr>
              <w:t>100,000</w:t>
            </w:r>
          </w:p>
        </w:tc>
        <w:tc>
          <w:tcPr>
            <w:tcW w:w="1836" w:type="dxa"/>
            <w:vAlign w:val="center"/>
          </w:tcPr>
          <w:p w:rsidR="00644057" w:rsidRDefault="00A20092">
            <w:pPr>
              <w:jc w:val="right"/>
            </w:pPr>
            <w:r>
              <w:rPr>
                <w:sz w:val="24"/>
              </w:rPr>
              <w:t>10,156,000.00</w:t>
            </w:r>
          </w:p>
        </w:tc>
      </w:tr>
      <w:tr w:rsidR="00644057">
        <w:tc>
          <w:tcPr>
            <w:tcW w:w="1500" w:type="dxa"/>
            <w:vAlign w:val="center"/>
          </w:tcPr>
          <w:p w:rsidR="00644057" w:rsidRDefault="00A20092">
            <w:pPr>
              <w:jc w:val="center"/>
            </w:pPr>
            <w:r>
              <w:rPr>
                <w:sz w:val="24"/>
              </w:rPr>
              <w:t>101761021</w:t>
            </w:r>
          </w:p>
        </w:tc>
        <w:tc>
          <w:tcPr>
            <w:tcW w:w="1500" w:type="dxa"/>
            <w:vAlign w:val="center"/>
          </w:tcPr>
          <w:p w:rsidR="00644057" w:rsidRDefault="00A20092">
            <w:pPr>
              <w:jc w:val="center"/>
            </w:pPr>
            <w:r>
              <w:rPr>
                <w:sz w:val="24"/>
              </w:rPr>
              <w:t>17</w:t>
            </w:r>
            <w:r>
              <w:rPr>
                <w:sz w:val="24"/>
              </w:rPr>
              <w:t>拱</w:t>
            </w:r>
            <w:proofErr w:type="gramStart"/>
            <w:r>
              <w:rPr>
                <w:sz w:val="24"/>
              </w:rPr>
              <w:t>墅</w:t>
            </w:r>
            <w:proofErr w:type="gramEnd"/>
            <w:r>
              <w:rPr>
                <w:sz w:val="24"/>
              </w:rPr>
              <w:t>经投</w:t>
            </w:r>
            <w:r>
              <w:rPr>
                <w:sz w:val="24"/>
              </w:rPr>
              <w:t>MTN001</w:t>
            </w:r>
          </w:p>
        </w:tc>
        <w:tc>
          <w:tcPr>
            <w:tcW w:w="1500" w:type="dxa"/>
            <w:vAlign w:val="center"/>
          </w:tcPr>
          <w:p w:rsidR="00644057" w:rsidRDefault="00A20092">
            <w:pPr>
              <w:jc w:val="center"/>
            </w:pPr>
            <w:r>
              <w:rPr>
                <w:sz w:val="24"/>
              </w:rPr>
              <w:t>2020-01-02</w:t>
            </w:r>
          </w:p>
        </w:tc>
        <w:tc>
          <w:tcPr>
            <w:tcW w:w="1260" w:type="dxa"/>
            <w:vAlign w:val="center"/>
          </w:tcPr>
          <w:p w:rsidR="00644057" w:rsidRDefault="00A20092">
            <w:pPr>
              <w:jc w:val="right"/>
            </w:pPr>
            <w:r>
              <w:rPr>
                <w:sz w:val="24"/>
              </w:rPr>
              <w:t>101.32</w:t>
            </w:r>
          </w:p>
        </w:tc>
        <w:tc>
          <w:tcPr>
            <w:tcW w:w="1440" w:type="dxa"/>
            <w:vAlign w:val="center"/>
          </w:tcPr>
          <w:p w:rsidR="00644057" w:rsidRDefault="00A20092">
            <w:pPr>
              <w:jc w:val="right"/>
            </w:pPr>
            <w:r>
              <w:rPr>
                <w:sz w:val="24"/>
              </w:rPr>
              <w:t>200,000</w:t>
            </w:r>
          </w:p>
        </w:tc>
        <w:tc>
          <w:tcPr>
            <w:tcW w:w="1836" w:type="dxa"/>
            <w:vAlign w:val="center"/>
          </w:tcPr>
          <w:p w:rsidR="00644057" w:rsidRDefault="00A20092">
            <w:pPr>
              <w:jc w:val="right"/>
            </w:pPr>
            <w:r>
              <w:rPr>
                <w:sz w:val="24"/>
              </w:rPr>
              <w:t>20,264,000.00</w:t>
            </w:r>
          </w:p>
        </w:tc>
      </w:tr>
      <w:tr w:rsidR="00644057">
        <w:tc>
          <w:tcPr>
            <w:tcW w:w="1500" w:type="dxa"/>
            <w:vAlign w:val="center"/>
          </w:tcPr>
          <w:p w:rsidR="00644057" w:rsidRDefault="00A20092">
            <w:pPr>
              <w:jc w:val="center"/>
            </w:pPr>
            <w:r>
              <w:rPr>
                <w:sz w:val="24"/>
              </w:rPr>
              <w:t>101772011</w:t>
            </w:r>
          </w:p>
        </w:tc>
        <w:tc>
          <w:tcPr>
            <w:tcW w:w="1500" w:type="dxa"/>
            <w:vAlign w:val="center"/>
          </w:tcPr>
          <w:p w:rsidR="00644057" w:rsidRDefault="00A20092">
            <w:pPr>
              <w:jc w:val="center"/>
            </w:pPr>
            <w:r>
              <w:rPr>
                <w:sz w:val="24"/>
              </w:rPr>
              <w:t>17</w:t>
            </w:r>
            <w:r>
              <w:rPr>
                <w:sz w:val="24"/>
              </w:rPr>
              <w:t>江阴公</w:t>
            </w:r>
            <w:r>
              <w:rPr>
                <w:sz w:val="24"/>
              </w:rPr>
              <w:t>MTN001</w:t>
            </w:r>
          </w:p>
        </w:tc>
        <w:tc>
          <w:tcPr>
            <w:tcW w:w="1500" w:type="dxa"/>
            <w:vAlign w:val="center"/>
          </w:tcPr>
          <w:p w:rsidR="00644057" w:rsidRDefault="00A20092">
            <w:pPr>
              <w:jc w:val="center"/>
            </w:pPr>
            <w:r>
              <w:rPr>
                <w:sz w:val="24"/>
              </w:rPr>
              <w:t>2020-01-02</w:t>
            </w:r>
          </w:p>
        </w:tc>
        <w:tc>
          <w:tcPr>
            <w:tcW w:w="1260" w:type="dxa"/>
            <w:vAlign w:val="center"/>
          </w:tcPr>
          <w:p w:rsidR="00644057" w:rsidRDefault="00A20092">
            <w:pPr>
              <w:jc w:val="right"/>
            </w:pPr>
            <w:r>
              <w:rPr>
                <w:sz w:val="24"/>
              </w:rPr>
              <w:t>101.28</w:t>
            </w:r>
          </w:p>
        </w:tc>
        <w:tc>
          <w:tcPr>
            <w:tcW w:w="1440" w:type="dxa"/>
            <w:vAlign w:val="center"/>
          </w:tcPr>
          <w:p w:rsidR="00644057" w:rsidRDefault="00A20092">
            <w:pPr>
              <w:jc w:val="right"/>
            </w:pPr>
            <w:r>
              <w:rPr>
                <w:sz w:val="24"/>
              </w:rPr>
              <w:t>106,000</w:t>
            </w:r>
          </w:p>
        </w:tc>
        <w:tc>
          <w:tcPr>
            <w:tcW w:w="1836" w:type="dxa"/>
            <w:vAlign w:val="center"/>
          </w:tcPr>
          <w:p w:rsidR="00644057" w:rsidRDefault="00A20092">
            <w:pPr>
              <w:jc w:val="right"/>
            </w:pPr>
            <w:r>
              <w:rPr>
                <w:sz w:val="24"/>
              </w:rPr>
              <w:t>10,735,680.00</w:t>
            </w:r>
          </w:p>
        </w:tc>
      </w:tr>
      <w:tr w:rsidR="00644057">
        <w:tc>
          <w:tcPr>
            <w:tcW w:w="1500" w:type="dxa"/>
            <w:vAlign w:val="center"/>
          </w:tcPr>
          <w:p w:rsidR="00644057" w:rsidRDefault="00A20092">
            <w:pPr>
              <w:jc w:val="center"/>
            </w:pPr>
            <w:r>
              <w:rPr>
                <w:sz w:val="24"/>
              </w:rPr>
              <w:t>101800692</w:t>
            </w:r>
          </w:p>
        </w:tc>
        <w:tc>
          <w:tcPr>
            <w:tcW w:w="1500" w:type="dxa"/>
            <w:vAlign w:val="center"/>
          </w:tcPr>
          <w:p w:rsidR="00644057" w:rsidRDefault="00A20092">
            <w:pPr>
              <w:jc w:val="center"/>
            </w:pPr>
            <w:r>
              <w:rPr>
                <w:sz w:val="24"/>
              </w:rPr>
              <w:t>18</w:t>
            </w:r>
            <w:r>
              <w:rPr>
                <w:sz w:val="24"/>
              </w:rPr>
              <w:t>拉萨城投</w:t>
            </w:r>
            <w:r>
              <w:rPr>
                <w:sz w:val="24"/>
              </w:rPr>
              <w:t>MTN001</w:t>
            </w:r>
          </w:p>
        </w:tc>
        <w:tc>
          <w:tcPr>
            <w:tcW w:w="1500" w:type="dxa"/>
            <w:vAlign w:val="center"/>
          </w:tcPr>
          <w:p w:rsidR="00644057" w:rsidRDefault="00A20092">
            <w:pPr>
              <w:jc w:val="center"/>
            </w:pPr>
            <w:r>
              <w:rPr>
                <w:sz w:val="24"/>
              </w:rPr>
              <w:t>2020-01-03</w:t>
            </w:r>
          </w:p>
        </w:tc>
        <w:tc>
          <w:tcPr>
            <w:tcW w:w="1260" w:type="dxa"/>
            <w:vAlign w:val="center"/>
          </w:tcPr>
          <w:p w:rsidR="00644057" w:rsidRDefault="00A20092">
            <w:pPr>
              <w:jc w:val="right"/>
            </w:pPr>
            <w:r>
              <w:rPr>
                <w:sz w:val="24"/>
              </w:rPr>
              <w:t>103.60</w:t>
            </w:r>
          </w:p>
        </w:tc>
        <w:tc>
          <w:tcPr>
            <w:tcW w:w="1440" w:type="dxa"/>
            <w:vAlign w:val="center"/>
          </w:tcPr>
          <w:p w:rsidR="00644057" w:rsidRDefault="00A20092">
            <w:pPr>
              <w:jc w:val="right"/>
            </w:pPr>
            <w:r>
              <w:rPr>
                <w:sz w:val="24"/>
              </w:rPr>
              <w:t>292,000</w:t>
            </w:r>
          </w:p>
        </w:tc>
        <w:tc>
          <w:tcPr>
            <w:tcW w:w="1836" w:type="dxa"/>
            <w:vAlign w:val="center"/>
          </w:tcPr>
          <w:p w:rsidR="00644057" w:rsidRDefault="00A20092">
            <w:pPr>
              <w:jc w:val="right"/>
            </w:pPr>
            <w:r>
              <w:rPr>
                <w:sz w:val="24"/>
              </w:rPr>
              <w:t>30,251,200.00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1,489,000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151,501,560.00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27EE0" w:rsidRDefault="001A59F9" w:rsidP="00727EE0">
      <w:pPr>
        <w:pStyle w:val="20"/>
        <w:spacing w:before="29" w:after="0" w:line="288" w:lineRule="auto"/>
        <w:rPr>
          <w:rFonts w:ascii="Times New Roman" w:hAnsi="Times New Roman"/>
          <w:kern w:val="0"/>
          <w:szCs w:val="24"/>
        </w:rPr>
      </w:pPr>
      <w:bookmarkStart w:id="202" w:name="_Toc35966286"/>
      <w:r w:rsidRPr="00727EE0">
        <w:rPr>
          <w:rFonts w:ascii="Times New Roman" w:hAnsi="Times New Roman"/>
          <w:kern w:val="0"/>
          <w:szCs w:val="24"/>
        </w:rPr>
        <w:t>7.4.12.3.2</w:t>
      </w:r>
      <w:r w:rsidRPr="00727EE0">
        <w:rPr>
          <w:rFonts w:ascii="Times New Roman" w:hAnsi="Times New Roman" w:hint="eastAsia"/>
          <w:kern w:val="0"/>
          <w:szCs w:val="24"/>
        </w:rPr>
        <w:t>交易所市场债券正回购</w:t>
      </w:r>
      <w:bookmarkEnd w:id="202"/>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2019</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202,500,000.00</w:t>
      </w:r>
      <w:r w:rsidRPr="00993BF6">
        <w:rPr>
          <w:kern w:val="0"/>
          <w:sz w:val="24"/>
        </w:rPr>
        <w:t>元，截至</w:t>
      </w:r>
      <w:r w:rsidRPr="00993BF6">
        <w:rPr>
          <w:kern w:val="0"/>
          <w:sz w:val="24"/>
        </w:rPr>
        <w:t>2020</w:t>
      </w:r>
      <w:r w:rsidRPr="00993BF6">
        <w:rPr>
          <w:kern w:val="0"/>
          <w:sz w:val="24"/>
        </w:rPr>
        <w:t>年</w:t>
      </w:r>
      <w:r w:rsidRPr="00993BF6">
        <w:rPr>
          <w:kern w:val="0"/>
          <w:sz w:val="24"/>
        </w:rPr>
        <w:t>1</w:t>
      </w:r>
      <w:r w:rsidRPr="00993BF6">
        <w:rPr>
          <w:kern w:val="0"/>
          <w:sz w:val="24"/>
        </w:rPr>
        <w:t>月</w:t>
      </w:r>
      <w:r w:rsidRPr="00993BF6">
        <w:rPr>
          <w:kern w:val="0"/>
          <w:sz w:val="24"/>
        </w:rPr>
        <w:t>2</w:t>
      </w:r>
      <w:r w:rsidRPr="00993BF6">
        <w:rPr>
          <w:kern w:val="0"/>
          <w:sz w:val="24"/>
        </w:rPr>
        <w:t>日到期。该类交易要求本基金转入质押库的债券，按证券交易所规定的比例折算为标准</w:t>
      </w:r>
      <w:proofErr w:type="gramStart"/>
      <w:r w:rsidRPr="00993BF6">
        <w:rPr>
          <w:kern w:val="0"/>
          <w:sz w:val="24"/>
        </w:rPr>
        <w:t>券</w:t>
      </w:r>
      <w:proofErr w:type="gramEnd"/>
      <w:r w:rsidRPr="00993BF6">
        <w:rPr>
          <w:kern w:val="0"/>
          <w:sz w:val="24"/>
        </w:rPr>
        <w:t>后，不低于债券回购交易的余额。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727EE0" w:rsidRDefault="001A59F9" w:rsidP="00727EE0">
      <w:pPr>
        <w:pStyle w:val="20"/>
        <w:spacing w:before="29" w:after="0" w:line="288" w:lineRule="auto"/>
        <w:rPr>
          <w:rFonts w:ascii="Times New Roman" w:hAnsi="Times New Roman"/>
          <w:kern w:val="0"/>
          <w:szCs w:val="24"/>
        </w:rPr>
      </w:pPr>
      <w:bookmarkStart w:id="203" w:name="_Toc35966287"/>
      <w:r w:rsidRPr="00727EE0">
        <w:rPr>
          <w:rFonts w:ascii="Times New Roman" w:hAnsi="Times New Roman"/>
          <w:kern w:val="0"/>
          <w:szCs w:val="24"/>
        </w:rPr>
        <w:t>7.4.13</w:t>
      </w:r>
      <w:r w:rsidRPr="00727EE0">
        <w:rPr>
          <w:rFonts w:ascii="Times New Roman" w:hAnsi="Times New Roman" w:hint="eastAsia"/>
          <w:kern w:val="0"/>
          <w:szCs w:val="24"/>
        </w:rPr>
        <w:t>金融工具风险及管理</w:t>
      </w:r>
      <w:bookmarkEnd w:id="203"/>
    </w:p>
    <w:p w:rsidR="001A59F9" w:rsidRPr="00727EE0" w:rsidRDefault="001A59F9" w:rsidP="00727EE0">
      <w:pPr>
        <w:pStyle w:val="20"/>
        <w:spacing w:before="29" w:after="0" w:line="288" w:lineRule="auto"/>
        <w:rPr>
          <w:rFonts w:ascii="Times New Roman" w:hAnsi="Times New Roman"/>
          <w:kern w:val="0"/>
          <w:szCs w:val="24"/>
        </w:rPr>
      </w:pPr>
      <w:bookmarkStart w:id="204" w:name="_Toc35966288"/>
      <w:r w:rsidRPr="00727EE0">
        <w:rPr>
          <w:rFonts w:ascii="Times New Roman" w:hAnsi="Times New Roman"/>
          <w:kern w:val="0"/>
          <w:szCs w:val="24"/>
        </w:rPr>
        <w:t>7.4.13.1</w:t>
      </w:r>
      <w:r w:rsidRPr="00727EE0">
        <w:rPr>
          <w:rFonts w:ascii="Times New Roman" w:hAnsi="Times New Roman" w:hint="eastAsia"/>
          <w:kern w:val="0"/>
          <w:szCs w:val="24"/>
        </w:rPr>
        <w:t>风险管理政策和组织架构</w:t>
      </w:r>
      <w:bookmarkEnd w:id="204"/>
    </w:p>
    <w:p w:rsidR="00644057" w:rsidRDefault="00A20092">
      <w:pPr>
        <w:spacing w:before="29" w:line="288" w:lineRule="auto"/>
        <w:ind w:firstLineChars="200" w:firstLine="480"/>
        <w:rPr>
          <w:kern w:val="0"/>
          <w:sz w:val="24"/>
        </w:rPr>
      </w:pPr>
      <w:r>
        <w:rPr>
          <w:kern w:val="0"/>
          <w:sz w:val="24"/>
        </w:rPr>
        <w:t>本基金是一只债券型基金，其预期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可分离交易可转债</w:t>
      </w:r>
      <w:proofErr w:type="gramStart"/>
      <w:r>
        <w:rPr>
          <w:kern w:val="0"/>
          <w:sz w:val="24"/>
        </w:rPr>
        <w:t>的纯债部分</w:t>
      </w:r>
      <w:proofErr w:type="gramEnd"/>
      <w:r>
        <w:rPr>
          <w:kern w:val="0"/>
          <w:sz w:val="24"/>
        </w:rPr>
        <w:t>、公开发行的次级债、资产支持证券、短期融资</w:t>
      </w:r>
      <w:proofErr w:type="gramStart"/>
      <w:r>
        <w:rPr>
          <w:kern w:val="0"/>
          <w:sz w:val="24"/>
        </w:rPr>
        <w:t>券</w:t>
      </w:r>
      <w:proofErr w:type="gramEnd"/>
      <w:r>
        <w:rPr>
          <w:kern w:val="0"/>
          <w:sz w:val="24"/>
        </w:rPr>
        <w:t>、超级短期融资</w:t>
      </w:r>
      <w:proofErr w:type="gramStart"/>
      <w:r>
        <w:rPr>
          <w:kern w:val="0"/>
          <w:sz w:val="24"/>
        </w:rPr>
        <w:t>券</w:t>
      </w:r>
      <w:proofErr w:type="gramEnd"/>
      <w:r>
        <w:rPr>
          <w:kern w:val="0"/>
          <w:sz w:val="24"/>
        </w:rPr>
        <w:t>、中小企业私募债、中期票据、债券回购、银行存款、同业存单、货币市场工具等资产和法律法规允许投资的其他金融工具。本基金不投资于股票、权证等资产，也不投资于可转换债券（可分离交易可转债的</w:t>
      </w:r>
      <w:proofErr w:type="gramStart"/>
      <w:r>
        <w:rPr>
          <w:kern w:val="0"/>
          <w:sz w:val="24"/>
        </w:rPr>
        <w:t>纯债部分</w:t>
      </w:r>
      <w:proofErr w:type="gramEnd"/>
      <w:r>
        <w:rPr>
          <w:kern w:val="0"/>
          <w:sz w:val="24"/>
        </w:rPr>
        <w:t>除外）、可交换债券。本基金在日常经营活动中面临的与这些金融工具相关的风险主要包括信用风险、流动性风险及市场风险。本基金的基金管理人从事风险管理的主要目标是争取将以上风险控制在限定的范围之内，力求获得高于业绩基准的投资收益。</w:t>
      </w:r>
    </w:p>
    <w:p w:rsidR="00644057" w:rsidRDefault="00A20092">
      <w:pPr>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rsidR="00644057" w:rsidRDefault="00A20092">
      <w:pPr>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727EE0" w:rsidRDefault="001A59F9" w:rsidP="00727EE0">
      <w:pPr>
        <w:pStyle w:val="20"/>
        <w:spacing w:before="29" w:after="0" w:line="288" w:lineRule="auto"/>
        <w:rPr>
          <w:rFonts w:ascii="Times New Roman" w:hAnsi="Times New Roman"/>
          <w:kern w:val="0"/>
          <w:szCs w:val="24"/>
        </w:rPr>
      </w:pPr>
      <w:bookmarkStart w:id="205" w:name="_Toc35966289"/>
      <w:r w:rsidRPr="00727EE0">
        <w:rPr>
          <w:rFonts w:ascii="Times New Roman" w:hAnsi="Times New Roman"/>
          <w:kern w:val="0"/>
          <w:szCs w:val="24"/>
        </w:rPr>
        <w:t>7.4.13.2</w:t>
      </w:r>
      <w:r w:rsidRPr="00727EE0">
        <w:rPr>
          <w:rFonts w:ascii="Times New Roman" w:hAnsi="Times New Roman" w:hint="eastAsia"/>
          <w:kern w:val="0"/>
          <w:szCs w:val="24"/>
        </w:rPr>
        <w:t>信用风险</w:t>
      </w:r>
      <w:bookmarkEnd w:id="205"/>
    </w:p>
    <w:p w:rsidR="00644057" w:rsidRDefault="00A20092">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644057" w:rsidRDefault="00A20092">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727EE0" w:rsidRDefault="00271758" w:rsidP="00727EE0">
      <w:pPr>
        <w:pStyle w:val="20"/>
        <w:spacing w:before="29" w:after="0" w:line="288" w:lineRule="auto"/>
        <w:rPr>
          <w:rFonts w:ascii="Times New Roman" w:hAnsi="Times New Roman"/>
          <w:kern w:val="0"/>
          <w:szCs w:val="24"/>
        </w:rPr>
      </w:pPr>
      <w:bookmarkStart w:id="206" w:name="_Toc35966290"/>
      <w:r w:rsidRPr="00727EE0">
        <w:rPr>
          <w:rFonts w:ascii="Times New Roman" w:hAnsi="Times New Roman"/>
          <w:kern w:val="0"/>
          <w:szCs w:val="24"/>
        </w:rPr>
        <w:t>7.4.13.2.1</w:t>
      </w:r>
      <w:r w:rsidRPr="00727EE0">
        <w:rPr>
          <w:rFonts w:ascii="Times New Roman" w:hAnsi="Times New Roman" w:hint="eastAsia"/>
          <w:kern w:val="0"/>
          <w:szCs w:val="24"/>
        </w:rPr>
        <w:t>按短期信用评级列示的债券投资</w:t>
      </w:r>
      <w:bookmarkEnd w:id="206"/>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5B0242">
        <w:tc>
          <w:tcPr>
            <w:tcW w:w="2590"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17,079,900.00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17,079,900.00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bl>
    <w:p w:rsid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注：未评级部分为企业超短期融资</w:t>
      </w:r>
      <w:proofErr w:type="gramStart"/>
      <w:r w:rsidRPr="00271758">
        <w:rPr>
          <w:kern w:val="0"/>
          <w:sz w:val="24"/>
        </w:rPr>
        <w:t>券</w:t>
      </w:r>
      <w:proofErr w:type="gramEnd"/>
      <w:r w:rsidRPr="00271758">
        <w:rPr>
          <w:kern w:val="0"/>
          <w:sz w:val="24"/>
        </w:rPr>
        <w:t>。</w:t>
      </w:r>
    </w:p>
    <w:p w:rsidR="00727EE0" w:rsidRPr="00271758" w:rsidRDefault="00727EE0" w:rsidP="00271758">
      <w:pPr>
        <w:tabs>
          <w:tab w:val="left" w:pos="426"/>
        </w:tabs>
        <w:spacing w:line="360" w:lineRule="auto"/>
        <w:ind w:firstLineChars="200" w:firstLine="480"/>
        <w:jc w:val="left"/>
        <w:rPr>
          <w:kern w:val="0"/>
          <w:sz w:val="24"/>
        </w:rPr>
      </w:pPr>
    </w:p>
    <w:p w:rsidR="00271758" w:rsidRPr="00727EE0" w:rsidRDefault="00271758" w:rsidP="00727EE0">
      <w:pPr>
        <w:pStyle w:val="20"/>
        <w:spacing w:before="29" w:after="0" w:line="288" w:lineRule="auto"/>
        <w:rPr>
          <w:rFonts w:ascii="Times New Roman" w:hAnsi="Times New Roman"/>
          <w:kern w:val="0"/>
          <w:szCs w:val="24"/>
        </w:rPr>
      </w:pPr>
      <w:bookmarkStart w:id="207" w:name="_Toc35966291"/>
      <w:r w:rsidRPr="00727EE0">
        <w:rPr>
          <w:rFonts w:ascii="Times New Roman" w:hAnsi="Times New Roman"/>
          <w:kern w:val="0"/>
          <w:szCs w:val="24"/>
        </w:rPr>
        <w:t>7.4.13.2.2</w:t>
      </w:r>
      <w:proofErr w:type="gramStart"/>
      <w:r w:rsidRPr="00727EE0">
        <w:rPr>
          <w:rFonts w:ascii="Times New Roman" w:hAnsi="Times New Roman"/>
          <w:kern w:val="0"/>
          <w:szCs w:val="24"/>
        </w:rPr>
        <w:t>按长期</w:t>
      </w:r>
      <w:proofErr w:type="gramEnd"/>
      <w:r w:rsidRPr="00727EE0">
        <w:rPr>
          <w:rFonts w:ascii="Times New Roman" w:hAnsi="Times New Roman"/>
          <w:kern w:val="0"/>
          <w:szCs w:val="24"/>
        </w:rPr>
        <w:t>信用评级列示的债券投资</w:t>
      </w:r>
      <w:bookmarkEnd w:id="207"/>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258,298,300.00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259,592,300.00</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396,787,000.00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408,831,100.00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655,085,300.00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668,423,400.00</w:t>
            </w:r>
          </w:p>
        </w:tc>
      </w:tr>
    </w:tbl>
    <w:p w:rsidR="00727EE0" w:rsidRPr="00727EE0" w:rsidRDefault="00727EE0" w:rsidP="00727EE0">
      <w:pPr>
        <w:tabs>
          <w:tab w:val="left" w:pos="426"/>
        </w:tabs>
        <w:spacing w:line="360" w:lineRule="auto"/>
        <w:ind w:firstLineChars="200" w:firstLine="480"/>
        <w:jc w:val="left"/>
        <w:rPr>
          <w:kern w:val="0"/>
          <w:sz w:val="24"/>
        </w:rPr>
      </w:pPr>
    </w:p>
    <w:p w:rsidR="001A59F9" w:rsidRPr="00727EE0" w:rsidRDefault="001A59F9" w:rsidP="00727EE0">
      <w:pPr>
        <w:pStyle w:val="20"/>
        <w:spacing w:before="29" w:after="0" w:line="288" w:lineRule="auto"/>
        <w:rPr>
          <w:rFonts w:ascii="Times New Roman" w:hAnsi="Times New Roman"/>
          <w:kern w:val="0"/>
          <w:szCs w:val="24"/>
        </w:rPr>
      </w:pPr>
      <w:bookmarkStart w:id="208" w:name="_Toc35966292"/>
      <w:r w:rsidRPr="00727EE0">
        <w:rPr>
          <w:rFonts w:ascii="Times New Roman" w:hAnsi="Times New Roman"/>
          <w:kern w:val="0"/>
          <w:szCs w:val="24"/>
        </w:rPr>
        <w:t>7.4.13.3</w:t>
      </w:r>
      <w:r w:rsidRPr="00727EE0">
        <w:rPr>
          <w:rFonts w:ascii="Times New Roman" w:hAnsi="Times New Roman" w:hint="eastAsia"/>
          <w:kern w:val="0"/>
          <w:szCs w:val="24"/>
        </w:rPr>
        <w:t>流动性风险</w:t>
      </w:r>
      <w:bookmarkEnd w:id="208"/>
    </w:p>
    <w:p w:rsidR="00644057" w:rsidRDefault="00A20092">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来自于投资品种所处的交易市场不活跃而带来的变现困难或因投资集中而无法在市场出现剧烈波动的情况下以合理的价格变现。</w:t>
      </w:r>
    </w:p>
    <w:p w:rsidR="00644057" w:rsidRDefault="00A20092">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343,169,946.07</w:t>
      </w:r>
      <w:r>
        <w:rPr>
          <w:kern w:val="0"/>
          <w:sz w:val="24"/>
        </w:rPr>
        <w:t>元将在一个月以内到期且计息</w:t>
      </w:r>
      <w:r>
        <w:rPr>
          <w:kern w:val="0"/>
          <w:sz w:val="24"/>
        </w:rPr>
        <w:t>(</w:t>
      </w:r>
      <w:r>
        <w:rPr>
          <w:kern w:val="0"/>
          <w:sz w:val="24"/>
        </w:rPr>
        <w:t>该利息金额</w:t>
      </w:r>
      <w:proofErr w:type="gramStart"/>
      <w:r>
        <w:rPr>
          <w:kern w:val="0"/>
          <w:sz w:val="24"/>
        </w:rPr>
        <w:t>不重大</w:t>
      </w:r>
      <w:proofErr w:type="gramEnd"/>
      <w:r>
        <w:rPr>
          <w:kern w:val="0"/>
          <w:sz w:val="24"/>
        </w:rPr>
        <w:t>)</w:t>
      </w:r>
      <w:r>
        <w:rPr>
          <w:kern w:val="0"/>
          <w:sz w:val="24"/>
        </w:rPr>
        <w:t>外，本基金所承担的其他金融负债的合约约定到期日均为一个月以内且不计息，因此账面余额约为未折现的合约到期现金流量。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727EE0" w:rsidRDefault="00341F55" w:rsidP="00727EE0">
      <w:pPr>
        <w:pStyle w:val="20"/>
        <w:spacing w:before="29" w:after="0" w:line="288" w:lineRule="auto"/>
        <w:rPr>
          <w:rFonts w:ascii="Times New Roman" w:hAnsi="Times New Roman"/>
          <w:kern w:val="0"/>
          <w:szCs w:val="24"/>
        </w:rPr>
      </w:pPr>
      <w:bookmarkStart w:id="209" w:name="_Toc35966293"/>
      <w:r w:rsidRPr="00727EE0">
        <w:rPr>
          <w:rFonts w:ascii="Times New Roman" w:hAnsi="Times New Roman"/>
          <w:kern w:val="0"/>
          <w:szCs w:val="24"/>
        </w:rPr>
        <w:t>7.4.13.3</w:t>
      </w:r>
      <w:r w:rsidRPr="00727EE0">
        <w:rPr>
          <w:rFonts w:ascii="Times New Roman" w:hAnsi="Times New Roman" w:hint="eastAsia"/>
          <w:kern w:val="0"/>
          <w:szCs w:val="24"/>
        </w:rPr>
        <w:t>.1</w:t>
      </w:r>
      <w:r w:rsidRPr="00727EE0">
        <w:rPr>
          <w:rFonts w:ascii="Times New Roman" w:hAnsi="Times New Roman"/>
          <w:kern w:val="0"/>
          <w:szCs w:val="24"/>
        </w:rPr>
        <w:t xml:space="preserve"> </w:t>
      </w:r>
      <w:r w:rsidRPr="00727EE0">
        <w:rPr>
          <w:rFonts w:ascii="Times New Roman" w:hAnsi="Times New Roman" w:hint="eastAsia"/>
          <w:kern w:val="0"/>
          <w:szCs w:val="24"/>
        </w:rPr>
        <w:t>报告期内本基金组合资产的流动性风险分析</w:t>
      </w:r>
      <w:bookmarkEnd w:id="209"/>
    </w:p>
    <w:p w:rsidR="00644057" w:rsidRPr="004C4D59" w:rsidRDefault="00A20092" w:rsidP="004C4D59">
      <w:pPr>
        <w:spacing w:before="29" w:line="288" w:lineRule="auto"/>
        <w:ind w:firstLineChars="200" w:firstLine="480"/>
        <w:rPr>
          <w:kern w:val="0"/>
          <w:sz w:val="24"/>
        </w:rPr>
      </w:pPr>
      <w:r w:rsidRPr="004C4D59">
        <w:rPr>
          <w:kern w:val="0"/>
          <w:sz w:val="24"/>
        </w:rPr>
        <w:t>本基金的基金管理人在基金运作过程中严格按照《公开募集证券投资基金运作管理办法》且于封闭期结束后按照《公开募集开放式证券投资基金流动性风险管理规定》</w:t>
      </w:r>
      <w:r w:rsidRPr="004C4D59">
        <w:rPr>
          <w:kern w:val="0"/>
          <w:sz w:val="24"/>
        </w:rPr>
        <w:t>(</w:t>
      </w:r>
      <w:r w:rsidRPr="004C4D59">
        <w:rPr>
          <w:kern w:val="0"/>
          <w:sz w:val="24"/>
        </w:rPr>
        <w:t>自</w:t>
      </w:r>
      <w:r w:rsidRPr="004C4D59">
        <w:rPr>
          <w:kern w:val="0"/>
          <w:sz w:val="24"/>
        </w:rPr>
        <w:t>2017</w:t>
      </w:r>
      <w:r w:rsidRPr="004C4D59">
        <w:rPr>
          <w:kern w:val="0"/>
          <w:sz w:val="24"/>
        </w:rPr>
        <w:t>年</w:t>
      </w:r>
      <w:r w:rsidRPr="004C4D59">
        <w:rPr>
          <w:kern w:val="0"/>
          <w:sz w:val="24"/>
        </w:rPr>
        <w:t>10</w:t>
      </w:r>
      <w:r w:rsidRPr="004C4D59">
        <w:rPr>
          <w:kern w:val="0"/>
          <w:sz w:val="24"/>
        </w:rPr>
        <w:t>月</w:t>
      </w:r>
      <w:r w:rsidRPr="004C4D59">
        <w:rPr>
          <w:kern w:val="0"/>
          <w:sz w:val="24"/>
        </w:rPr>
        <w:t>1</w:t>
      </w:r>
      <w:r w:rsidRPr="004C4D59">
        <w:rPr>
          <w:kern w:val="0"/>
          <w:sz w:val="24"/>
        </w:rPr>
        <w:t>日起施行</w:t>
      </w:r>
      <w:r w:rsidRPr="004C4D59">
        <w:rPr>
          <w:kern w:val="0"/>
          <w:sz w:val="24"/>
        </w:rPr>
        <w:t>)</w:t>
      </w:r>
      <w:r w:rsidRPr="004C4D59">
        <w:rPr>
          <w:kern w:val="0"/>
          <w:sz w:val="24"/>
        </w:rPr>
        <w:t>等法规的要求对本基金组合资产的流动性风险进行管理，通过独立的风险管理部门对本基金的组合持仓集中度指标、</w:t>
      </w:r>
      <w:proofErr w:type="gramStart"/>
      <w:r w:rsidRPr="004C4D59">
        <w:rPr>
          <w:kern w:val="0"/>
          <w:sz w:val="24"/>
        </w:rPr>
        <w:t>流通受</w:t>
      </w:r>
      <w:proofErr w:type="gramEnd"/>
      <w:r w:rsidRPr="004C4D59">
        <w:rPr>
          <w:kern w:val="0"/>
          <w:sz w:val="24"/>
        </w:rPr>
        <w:t>限制的投资品种比例以及组合在短时间内变现能力的综合指标等流动性指标进行持续的监测和分析。</w:t>
      </w:r>
    </w:p>
    <w:p w:rsidR="00644057" w:rsidRPr="004C4D59" w:rsidRDefault="00A20092" w:rsidP="004C4D59">
      <w:pPr>
        <w:spacing w:before="29" w:line="288" w:lineRule="auto"/>
        <w:ind w:firstLineChars="200" w:firstLine="480"/>
        <w:rPr>
          <w:kern w:val="0"/>
          <w:sz w:val="24"/>
        </w:rPr>
      </w:pPr>
      <w:r w:rsidRPr="004C4D59">
        <w:rPr>
          <w:kern w:val="0"/>
          <w:sz w:val="24"/>
        </w:rPr>
        <w:t>本基金投资于一家公司发行的证券市值不超过基金资产净值的</w:t>
      </w:r>
      <w:r w:rsidRPr="004C4D59">
        <w:rPr>
          <w:kern w:val="0"/>
          <w:sz w:val="24"/>
        </w:rPr>
        <w:t>10%</w:t>
      </w:r>
      <w:r w:rsidRPr="004C4D59">
        <w:rPr>
          <w:kern w:val="0"/>
          <w:sz w:val="24"/>
        </w:rPr>
        <w:t>，且本基金与由本基金的基金管理人管理的其他基金共同持有一家公司发行的证券不得超过该证券的</w:t>
      </w:r>
      <w:r w:rsidRPr="004C4D59">
        <w:rPr>
          <w:kern w:val="0"/>
          <w:sz w:val="24"/>
        </w:rPr>
        <w:t>10%</w:t>
      </w:r>
      <w:r w:rsidRPr="004C4D59">
        <w:rPr>
          <w:kern w:val="0"/>
          <w:sz w:val="24"/>
        </w:rPr>
        <w:t>。于封闭期结束后，本基金与由本基金的基金管理人管理的其他开放式基金共同持有一家上市公司发行的可流通股票不得超过该上市公司可流通股票的</w:t>
      </w:r>
      <w:r w:rsidRPr="004C4D59">
        <w:rPr>
          <w:kern w:val="0"/>
          <w:sz w:val="24"/>
        </w:rPr>
        <w:t>15%(</w:t>
      </w:r>
      <w:r w:rsidRPr="004C4D59">
        <w:rPr>
          <w:kern w:val="0"/>
          <w:sz w:val="24"/>
        </w:rPr>
        <w:t>完全按照有关指数构成比例进行证券投资的开放式基金及中国证监会认定的特殊投资组合不受该比例限制</w:t>
      </w:r>
      <w:r w:rsidRPr="004C4D59">
        <w:rPr>
          <w:kern w:val="0"/>
          <w:sz w:val="24"/>
        </w:rPr>
        <w:t>)</w:t>
      </w:r>
      <w:r w:rsidRPr="004C4D59">
        <w:rPr>
          <w:kern w:val="0"/>
          <w:sz w:val="24"/>
        </w:rPr>
        <w:t>，本基金与由本基金的基金管理人管理的全部投资组合持有一家上市公司发行的可流通股票，不得超过该上市公司可流通股票的</w:t>
      </w:r>
      <w:r w:rsidRPr="004C4D59">
        <w:rPr>
          <w:kern w:val="0"/>
          <w:sz w:val="24"/>
        </w:rPr>
        <w:t>30%</w:t>
      </w:r>
      <w:r w:rsidRPr="004C4D59">
        <w:rPr>
          <w:kern w:val="0"/>
          <w:sz w:val="24"/>
        </w:rPr>
        <w:t>。</w:t>
      </w:r>
    </w:p>
    <w:p w:rsidR="00644057" w:rsidRPr="004C4D59" w:rsidRDefault="00A20092" w:rsidP="004C4D59">
      <w:pPr>
        <w:spacing w:before="29" w:line="288" w:lineRule="auto"/>
        <w:ind w:firstLineChars="200" w:firstLine="480"/>
        <w:rPr>
          <w:kern w:val="0"/>
          <w:sz w:val="24"/>
        </w:rPr>
      </w:pPr>
      <w:r w:rsidRPr="004C4D59">
        <w:rPr>
          <w:kern w:val="0"/>
          <w:sz w:val="24"/>
        </w:rPr>
        <w:t>本基金所持部分证券在证券交易所上市，其余亦可在银行间同业市场交易，部分基金资产流通暂时受限制不能自由转让的情况参见附注</w:t>
      </w:r>
      <w:r w:rsidRPr="004C4D59">
        <w:rPr>
          <w:kern w:val="0"/>
          <w:sz w:val="24"/>
        </w:rPr>
        <w:t>7.4.12</w:t>
      </w:r>
      <w:r w:rsidRPr="004C4D59">
        <w:rPr>
          <w:kern w:val="0"/>
          <w:sz w:val="24"/>
        </w:rPr>
        <w:t>。此外，本基金可通过卖出回购金融资产方式借入短期资金应对流动性需求，其上限一般不超过基金持有的债券投资的公允价值。于封闭期结束后，本基金主动投资于流动性受限资产的市值合计不得超过基金资产净值的</w:t>
      </w:r>
      <w:r w:rsidRPr="004C4D59">
        <w:rPr>
          <w:kern w:val="0"/>
          <w:sz w:val="24"/>
        </w:rPr>
        <w:t>15%</w:t>
      </w:r>
      <w:r w:rsidRPr="004C4D59">
        <w:rPr>
          <w:kern w:val="0"/>
          <w:sz w:val="24"/>
        </w:rPr>
        <w:t>。</w:t>
      </w:r>
    </w:p>
    <w:p w:rsidR="00644057" w:rsidRPr="004C4D59" w:rsidRDefault="00A20092" w:rsidP="004C4D59">
      <w:pPr>
        <w:spacing w:before="29" w:line="288" w:lineRule="auto"/>
        <w:ind w:firstLineChars="200" w:firstLine="480"/>
        <w:rPr>
          <w:kern w:val="0"/>
          <w:sz w:val="24"/>
        </w:rPr>
      </w:pPr>
      <w:r w:rsidRPr="004C4D59">
        <w:rPr>
          <w:kern w:val="0"/>
          <w:sz w:val="24"/>
        </w:rPr>
        <w:t>于封闭期结束后，本基金的基金管理人每日对基金组合资产中</w:t>
      </w:r>
      <w:r w:rsidRPr="004C4D59">
        <w:rPr>
          <w:kern w:val="0"/>
          <w:sz w:val="24"/>
        </w:rPr>
        <w:t>7</w:t>
      </w:r>
      <w:r w:rsidRPr="004C4D59">
        <w:rPr>
          <w:kern w:val="0"/>
          <w:sz w:val="24"/>
        </w:rPr>
        <w:t>个工作日可变现资产的可变现价值进行审慎评估与测算，确保每日确认的净赎回申请不得超过</w:t>
      </w:r>
      <w:r w:rsidRPr="004C4D59">
        <w:rPr>
          <w:kern w:val="0"/>
          <w:sz w:val="24"/>
        </w:rPr>
        <w:t>7</w:t>
      </w:r>
      <w:r w:rsidRPr="004C4D59">
        <w:rPr>
          <w:kern w:val="0"/>
          <w:sz w:val="24"/>
        </w:rPr>
        <w:t>个工作日可变现资产的可变现价值。</w:t>
      </w:r>
    </w:p>
    <w:p w:rsidR="00644057" w:rsidRPr="004C4D59" w:rsidRDefault="00A20092" w:rsidP="004C4D59">
      <w:pPr>
        <w:spacing w:before="29" w:line="288" w:lineRule="auto"/>
        <w:ind w:firstLineChars="200" w:firstLine="480"/>
        <w:rPr>
          <w:kern w:val="0"/>
          <w:sz w:val="24"/>
        </w:rPr>
      </w:pPr>
      <w:r w:rsidRPr="004C4D59">
        <w:rPr>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4C4D59">
        <w:rPr>
          <w:kern w:val="0"/>
          <w:sz w:val="24"/>
        </w:rPr>
        <w:t>证券资管产品</w:t>
      </w:r>
      <w:proofErr w:type="gramEnd"/>
      <w:r w:rsidRPr="004C4D59">
        <w:rPr>
          <w:kern w:val="0"/>
          <w:sz w:val="24"/>
        </w:rPr>
        <w:t>及中国证监会认定的其他主体为交易对手开展逆回购交易时，可接受质押品的资质要求与基金合同约定的投资范围保持一致。</w:t>
      </w:r>
    </w:p>
    <w:p w:rsidR="001A59F9" w:rsidRPr="004C4D59" w:rsidRDefault="00341F55" w:rsidP="004C4D59">
      <w:pPr>
        <w:spacing w:before="29" w:line="288" w:lineRule="auto"/>
        <w:ind w:firstLineChars="200" w:firstLine="480"/>
        <w:rPr>
          <w:kern w:val="0"/>
          <w:sz w:val="24"/>
        </w:rPr>
      </w:pPr>
      <w:r w:rsidRPr="004C4D59">
        <w:rPr>
          <w:kern w:val="0"/>
          <w:sz w:val="24"/>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292955" w:rsidRDefault="001A59F9" w:rsidP="00292955">
      <w:pPr>
        <w:pStyle w:val="20"/>
        <w:spacing w:before="29" w:after="0" w:line="288" w:lineRule="auto"/>
        <w:rPr>
          <w:rFonts w:ascii="Times New Roman" w:hAnsi="Times New Roman"/>
          <w:kern w:val="0"/>
          <w:szCs w:val="24"/>
        </w:rPr>
      </w:pPr>
      <w:bookmarkStart w:id="210" w:name="_Toc35966294"/>
      <w:r w:rsidRPr="00292955">
        <w:rPr>
          <w:rFonts w:ascii="Times New Roman" w:hAnsi="Times New Roman"/>
          <w:kern w:val="0"/>
          <w:szCs w:val="24"/>
        </w:rPr>
        <w:t>7.4.13.4</w:t>
      </w:r>
      <w:r w:rsidRPr="00292955">
        <w:rPr>
          <w:rFonts w:ascii="Times New Roman" w:hAnsi="Times New Roman" w:hint="eastAsia"/>
          <w:kern w:val="0"/>
          <w:szCs w:val="24"/>
        </w:rPr>
        <w:t>市场风险</w:t>
      </w:r>
      <w:bookmarkEnd w:id="210"/>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292955" w:rsidRDefault="001A59F9" w:rsidP="00292955">
      <w:pPr>
        <w:pStyle w:val="20"/>
        <w:spacing w:before="29" w:after="0" w:line="288" w:lineRule="auto"/>
        <w:rPr>
          <w:rFonts w:ascii="Times New Roman" w:hAnsi="Times New Roman"/>
          <w:kern w:val="0"/>
          <w:szCs w:val="24"/>
        </w:rPr>
      </w:pPr>
      <w:bookmarkStart w:id="211" w:name="_Toc35966295"/>
      <w:r w:rsidRPr="00292955">
        <w:rPr>
          <w:rFonts w:ascii="Times New Roman" w:hAnsi="Times New Roman"/>
          <w:kern w:val="0"/>
          <w:szCs w:val="24"/>
        </w:rPr>
        <w:t>7.4.13.4.1</w:t>
      </w:r>
      <w:r w:rsidRPr="00292955">
        <w:rPr>
          <w:rFonts w:ascii="Times New Roman" w:hAnsi="Times New Roman" w:hint="eastAsia"/>
          <w:kern w:val="0"/>
          <w:szCs w:val="24"/>
        </w:rPr>
        <w:t>利率风险</w:t>
      </w:r>
      <w:bookmarkEnd w:id="211"/>
    </w:p>
    <w:p w:rsidR="00644057" w:rsidRDefault="00A20092">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44057" w:rsidRDefault="00A20092">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w:t>
      </w:r>
      <w:proofErr w:type="gramStart"/>
      <w:r>
        <w:rPr>
          <w:kern w:val="0"/>
          <w:sz w:val="24"/>
        </w:rPr>
        <w:t>的久期等</w:t>
      </w:r>
      <w:proofErr w:type="gramEnd"/>
      <w:r>
        <w:rPr>
          <w:kern w:val="0"/>
          <w:sz w:val="24"/>
        </w:rPr>
        <w:t>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292955" w:rsidRDefault="001A59F9" w:rsidP="00292955">
      <w:pPr>
        <w:pStyle w:val="20"/>
        <w:spacing w:before="29" w:after="0" w:line="288" w:lineRule="auto"/>
        <w:rPr>
          <w:rFonts w:ascii="Times New Roman" w:hAnsi="Times New Roman"/>
          <w:kern w:val="0"/>
          <w:szCs w:val="24"/>
        </w:rPr>
      </w:pPr>
      <w:bookmarkStart w:id="212" w:name="_Toc35966296"/>
      <w:r w:rsidRPr="00292955">
        <w:rPr>
          <w:rFonts w:ascii="Times New Roman" w:hAnsi="Times New Roman"/>
          <w:kern w:val="0"/>
          <w:szCs w:val="24"/>
        </w:rPr>
        <w:t>7.4.13.4.1.1</w:t>
      </w:r>
      <w:r w:rsidRPr="00292955">
        <w:rPr>
          <w:rFonts w:ascii="Times New Roman" w:hAnsi="Times New Roman" w:hint="eastAsia"/>
          <w:kern w:val="0"/>
          <w:szCs w:val="24"/>
        </w:rPr>
        <w:t>利率风险敞口</w:t>
      </w:r>
      <w:bookmarkEnd w:id="212"/>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2019</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644057">
        <w:tc>
          <w:tcPr>
            <w:tcW w:w="1499" w:type="dxa"/>
            <w:vAlign w:val="center"/>
          </w:tcPr>
          <w:p w:rsidR="00644057" w:rsidRDefault="00A20092">
            <w:pPr>
              <w:jc w:val="center"/>
            </w:pPr>
            <w:r>
              <w:rPr>
                <w:color w:val="000000"/>
                <w:sz w:val="18"/>
                <w:szCs w:val="18"/>
              </w:rPr>
              <w:t>银行存款</w:t>
            </w:r>
          </w:p>
        </w:tc>
        <w:tc>
          <w:tcPr>
            <w:tcW w:w="1499" w:type="dxa"/>
            <w:vAlign w:val="center"/>
          </w:tcPr>
          <w:p w:rsidR="00644057" w:rsidRDefault="00A20092">
            <w:pPr>
              <w:jc w:val="right"/>
            </w:pPr>
            <w:r>
              <w:rPr>
                <w:color w:val="000000"/>
                <w:sz w:val="18"/>
                <w:szCs w:val="18"/>
              </w:rPr>
              <w:t>626,921.67</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626,921.67</w:t>
            </w:r>
          </w:p>
        </w:tc>
      </w:tr>
      <w:tr w:rsidR="00644057">
        <w:tc>
          <w:tcPr>
            <w:tcW w:w="1499" w:type="dxa"/>
            <w:vAlign w:val="center"/>
          </w:tcPr>
          <w:p w:rsidR="00644057" w:rsidRDefault="00A20092">
            <w:pPr>
              <w:jc w:val="center"/>
            </w:pPr>
            <w:r>
              <w:rPr>
                <w:color w:val="000000"/>
                <w:sz w:val="18"/>
                <w:szCs w:val="18"/>
              </w:rPr>
              <w:t>结算备付金</w:t>
            </w:r>
          </w:p>
        </w:tc>
        <w:tc>
          <w:tcPr>
            <w:tcW w:w="1499" w:type="dxa"/>
            <w:vAlign w:val="center"/>
          </w:tcPr>
          <w:p w:rsidR="00644057" w:rsidRDefault="00A20092">
            <w:pPr>
              <w:jc w:val="right"/>
            </w:pPr>
            <w:r>
              <w:rPr>
                <w:color w:val="000000"/>
                <w:sz w:val="18"/>
                <w:szCs w:val="18"/>
              </w:rPr>
              <w:t>20,333,676.00</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20,333,676.00</w:t>
            </w:r>
          </w:p>
        </w:tc>
      </w:tr>
      <w:tr w:rsidR="00644057">
        <w:tc>
          <w:tcPr>
            <w:tcW w:w="1499" w:type="dxa"/>
            <w:vAlign w:val="center"/>
          </w:tcPr>
          <w:p w:rsidR="00644057" w:rsidRDefault="00A20092">
            <w:pPr>
              <w:jc w:val="center"/>
            </w:pPr>
            <w:r>
              <w:rPr>
                <w:color w:val="000000"/>
                <w:sz w:val="18"/>
                <w:szCs w:val="18"/>
              </w:rPr>
              <w:t>交易性金融资产</w:t>
            </w:r>
          </w:p>
        </w:tc>
        <w:tc>
          <w:tcPr>
            <w:tcW w:w="1499" w:type="dxa"/>
            <w:vAlign w:val="center"/>
          </w:tcPr>
          <w:p w:rsidR="00644057" w:rsidRDefault="00A20092">
            <w:pPr>
              <w:jc w:val="right"/>
            </w:pPr>
            <w:r>
              <w:rPr>
                <w:color w:val="000000"/>
                <w:sz w:val="18"/>
                <w:szCs w:val="18"/>
              </w:rPr>
              <w:t>569,157,200.00</w:t>
            </w:r>
          </w:p>
        </w:tc>
        <w:tc>
          <w:tcPr>
            <w:tcW w:w="1500" w:type="dxa"/>
            <w:vAlign w:val="center"/>
          </w:tcPr>
          <w:p w:rsidR="00644057" w:rsidRDefault="00A20092">
            <w:pPr>
              <w:jc w:val="right"/>
            </w:pPr>
            <w:r>
              <w:rPr>
                <w:color w:val="000000"/>
                <w:sz w:val="18"/>
                <w:szCs w:val="18"/>
              </w:rPr>
              <w:t>103,008,000.00</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672,165,200.00</w:t>
            </w:r>
          </w:p>
        </w:tc>
      </w:tr>
      <w:tr w:rsidR="00644057">
        <w:tc>
          <w:tcPr>
            <w:tcW w:w="1499" w:type="dxa"/>
            <w:vAlign w:val="center"/>
          </w:tcPr>
          <w:p w:rsidR="00644057" w:rsidRDefault="00A20092">
            <w:pPr>
              <w:jc w:val="center"/>
            </w:pPr>
            <w:r>
              <w:rPr>
                <w:color w:val="000000"/>
                <w:sz w:val="18"/>
                <w:szCs w:val="18"/>
              </w:rPr>
              <w:t>应收利息</w:t>
            </w:r>
          </w:p>
        </w:tc>
        <w:tc>
          <w:tcPr>
            <w:tcW w:w="1499"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12,445,356.45</w:t>
            </w:r>
          </w:p>
        </w:tc>
        <w:tc>
          <w:tcPr>
            <w:tcW w:w="1500" w:type="dxa"/>
            <w:vAlign w:val="center"/>
          </w:tcPr>
          <w:p w:rsidR="00644057" w:rsidRDefault="00A20092">
            <w:pPr>
              <w:jc w:val="right"/>
            </w:pPr>
            <w:r>
              <w:rPr>
                <w:color w:val="000000"/>
                <w:sz w:val="18"/>
                <w:szCs w:val="18"/>
              </w:rPr>
              <w:t>12,445,356.45</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590,117,797.67</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103,008,000.00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12,445,356.45</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705,571,154.12</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644057">
        <w:tc>
          <w:tcPr>
            <w:tcW w:w="1499" w:type="dxa"/>
            <w:vAlign w:val="center"/>
          </w:tcPr>
          <w:p w:rsidR="00644057" w:rsidRDefault="00A20092">
            <w:pPr>
              <w:jc w:val="center"/>
            </w:pPr>
            <w:r>
              <w:rPr>
                <w:color w:val="000000"/>
                <w:sz w:val="18"/>
                <w:szCs w:val="18"/>
              </w:rPr>
              <w:t>卖出回购金融资产款</w:t>
            </w:r>
          </w:p>
        </w:tc>
        <w:tc>
          <w:tcPr>
            <w:tcW w:w="1499" w:type="dxa"/>
            <w:vAlign w:val="center"/>
          </w:tcPr>
          <w:p w:rsidR="00644057" w:rsidRDefault="00A20092">
            <w:pPr>
              <w:jc w:val="right"/>
            </w:pPr>
            <w:r>
              <w:rPr>
                <w:color w:val="000000"/>
                <w:sz w:val="18"/>
                <w:szCs w:val="18"/>
              </w:rPr>
              <w:t>343,169,946.07</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343,169,946.07</w:t>
            </w:r>
          </w:p>
        </w:tc>
      </w:tr>
      <w:tr w:rsidR="00644057">
        <w:tc>
          <w:tcPr>
            <w:tcW w:w="1499" w:type="dxa"/>
            <w:vAlign w:val="center"/>
          </w:tcPr>
          <w:p w:rsidR="00644057" w:rsidRDefault="00A20092">
            <w:pPr>
              <w:jc w:val="center"/>
            </w:pPr>
            <w:r>
              <w:rPr>
                <w:color w:val="000000"/>
                <w:sz w:val="18"/>
                <w:szCs w:val="18"/>
              </w:rPr>
              <w:t>应付证券清算款</w:t>
            </w:r>
          </w:p>
        </w:tc>
        <w:tc>
          <w:tcPr>
            <w:tcW w:w="1499"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34,397.26</w:t>
            </w:r>
          </w:p>
        </w:tc>
        <w:tc>
          <w:tcPr>
            <w:tcW w:w="1500" w:type="dxa"/>
            <w:vAlign w:val="center"/>
          </w:tcPr>
          <w:p w:rsidR="00644057" w:rsidRDefault="00A20092">
            <w:pPr>
              <w:jc w:val="right"/>
            </w:pPr>
            <w:r>
              <w:rPr>
                <w:color w:val="000000"/>
                <w:sz w:val="18"/>
                <w:szCs w:val="18"/>
              </w:rPr>
              <w:t>34,397.26</w:t>
            </w:r>
          </w:p>
        </w:tc>
      </w:tr>
      <w:tr w:rsidR="00644057">
        <w:tc>
          <w:tcPr>
            <w:tcW w:w="1499" w:type="dxa"/>
            <w:vAlign w:val="center"/>
          </w:tcPr>
          <w:p w:rsidR="00644057" w:rsidRDefault="00A20092">
            <w:pPr>
              <w:jc w:val="center"/>
            </w:pPr>
            <w:r>
              <w:rPr>
                <w:color w:val="000000"/>
                <w:sz w:val="18"/>
                <w:szCs w:val="18"/>
              </w:rPr>
              <w:t>应付管理人报酬</w:t>
            </w:r>
          </w:p>
        </w:tc>
        <w:tc>
          <w:tcPr>
            <w:tcW w:w="1499"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245,453.45</w:t>
            </w:r>
          </w:p>
        </w:tc>
        <w:tc>
          <w:tcPr>
            <w:tcW w:w="1500" w:type="dxa"/>
            <w:vAlign w:val="center"/>
          </w:tcPr>
          <w:p w:rsidR="00644057" w:rsidRDefault="00A20092">
            <w:pPr>
              <w:jc w:val="right"/>
            </w:pPr>
            <w:r>
              <w:rPr>
                <w:color w:val="000000"/>
                <w:sz w:val="18"/>
                <w:szCs w:val="18"/>
              </w:rPr>
              <w:t>245,453.45</w:t>
            </w:r>
          </w:p>
        </w:tc>
      </w:tr>
      <w:tr w:rsidR="00644057">
        <w:tc>
          <w:tcPr>
            <w:tcW w:w="1499" w:type="dxa"/>
            <w:vAlign w:val="center"/>
          </w:tcPr>
          <w:p w:rsidR="00644057" w:rsidRDefault="00A20092">
            <w:pPr>
              <w:jc w:val="center"/>
            </w:pPr>
            <w:r>
              <w:rPr>
                <w:color w:val="000000"/>
                <w:sz w:val="18"/>
                <w:szCs w:val="18"/>
              </w:rPr>
              <w:t>应付托管费</w:t>
            </w:r>
          </w:p>
        </w:tc>
        <w:tc>
          <w:tcPr>
            <w:tcW w:w="1499"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46,022.54</w:t>
            </w:r>
          </w:p>
        </w:tc>
        <w:tc>
          <w:tcPr>
            <w:tcW w:w="1500" w:type="dxa"/>
            <w:vAlign w:val="center"/>
          </w:tcPr>
          <w:p w:rsidR="00644057" w:rsidRDefault="00A20092">
            <w:pPr>
              <w:jc w:val="right"/>
            </w:pPr>
            <w:r>
              <w:rPr>
                <w:color w:val="000000"/>
                <w:sz w:val="18"/>
                <w:szCs w:val="18"/>
              </w:rPr>
              <w:t>46,022.54</w:t>
            </w:r>
          </w:p>
        </w:tc>
      </w:tr>
      <w:tr w:rsidR="00644057">
        <w:tc>
          <w:tcPr>
            <w:tcW w:w="1499" w:type="dxa"/>
            <w:vAlign w:val="center"/>
          </w:tcPr>
          <w:p w:rsidR="00644057" w:rsidRDefault="00A20092">
            <w:pPr>
              <w:jc w:val="center"/>
            </w:pPr>
            <w:r>
              <w:rPr>
                <w:color w:val="000000"/>
                <w:sz w:val="18"/>
                <w:szCs w:val="18"/>
              </w:rPr>
              <w:t>应付销售服务费</w:t>
            </w:r>
          </w:p>
        </w:tc>
        <w:tc>
          <w:tcPr>
            <w:tcW w:w="1499"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428.74</w:t>
            </w:r>
          </w:p>
        </w:tc>
        <w:tc>
          <w:tcPr>
            <w:tcW w:w="1500" w:type="dxa"/>
            <w:vAlign w:val="center"/>
          </w:tcPr>
          <w:p w:rsidR="00644057" w:rsidRDefault="00A20092">
            <w:pPr>
              <w:jc w:val="right"/>
            </w:pPr>
            <w:r>
              <w:rPr>
                <w:color w:val="000000"/>
                <w:sz w:val="18"/>
                <w:szCs w:val="18"/>
              </w:rPr>
              <w:t>428.74</w:t>
            </w:r>
          </w:p>
        </w:tc>
      </w:tr>
      <w:tr w:rsidR="00644057">
        <w:tc>
          <w:tcPr>
            <w:tcW w:w="1499" w:type="dxa"/>
            <w:vAlign w:val="center"/>
          </w:tcPr>
          <w:p w:rsidR="00644057" w:rsidRDefault="00A20092">
            <w:pPr>
              <w:jc w:val="center"/>
            </w:pPr>
            <w:r>
              <w:rPr>
                <w:color w:val="000000"/>
                <w:sz w:val="18"/>
                <w:szCs w:val="18"/>
              </w:rPr>
              <w:t>应付交易费用</w:t>
            </w:r>
          </w:p>
        </w:tc>
        <w:tc>
          <w:tcPr>
            <w:tcW w:w="1499"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9,826.93</w:t>
            </w:r>
          </w:p>
        </w:tc>
        <w:tc>
          <w:tcPr>
            <w:tcW w:w="1500" w:type="dxa"/>
            <w:vAlign w:val="center"/>
          </w:tcPr>
          <w:p w:rsidR="00644057" w:rsidRDefault="00A20092">
            <w:pPr>
              <w:jc w:val="right"/>
            </w:pPr>
            <w:r>
              <w:rPr>
                <w:color w:val="000000"/>
                <w:sz w:val="18"/>
                <w:szCs w:val="18"/>
              </w:rPr>
              <w:t>9,826.93</w:t>
            </w:r>
          </w:p>
        </w:tc>
      </w:tr>
      <w:tr w:rsidR="00644057">
        <w:tc>
          <w:tcPr>
            <w:tcW w:w="1499" w:type="dxa"/>
            <w:vAlign w:val="center"/>
          </w:tcPr>
          <w:p w:rsidR="00644057" w:rsidRDefault="00A20092">
            <w:pPr>
              <w:jc w:val="center"/>
            </w:pPr>
            <w:r>
              <w:rPr>
                <w:color w:val="000000"/>
                <w:sz w:val="18"/>
                <w:szCs w:val="18"/>
              </w:rPr>
              <w:t>应交税费</w:t>
            </w:r>
          </w:p>
        </w:tc>
        <w:tc>
          <w:tcPr>
            <w:tcW w:w="1499"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75,187.25</w:t>
            </w:r>
          </w:p>
        </w:tc>
        <w:tc>
          <w:tcPr>
            <w:tcW w:w="1500" w:type="dxa"/>
            <w:vAlign w:val="center"/>
          </w:tcPr>
          <w:p w:rsidR="00644057" w:rsidRDefault="00A20092">
            <w:pPr>
              <w:jc w:val="right"/>
            </w:pPr>
            <w:r>
              <w:rPr>
                <w:color w:val="000000"/>
                <w:sz w:val="18"/>
                <w:szCs w:val="18"/>
              </w:rPr>
              <w:t>75,187.25</w:t>
            </w:r>
          </w:p>
        </w:tc>
      </w:tr>
      <w:tr w:rsidR="00644057">
        <w:tc>
          <w:tcPr>
            <w:tcW w:w="1499" w:type="dxa"/>
            <w:vAlign w:val="center"/>
          </w:tcPr>
          <w:p w:rsidR="00644057" w:rsidRDefault="00A20092">
            <w:pPr>
              <w:jc w:val="center"/>
            </w:pPr>
            <w:r>
              <w:rPr>
                <w:color w:val="000000"/>
                <w:sz w:val="18"/>
                <w:szCs w:val="18"/>
              </w:rPr>
              <w:t>应付利息</w:t>
            </w:r>
          </w:p>
        </w:tc>
        <w:tc>
          <w:tcPr>
            <w:tcW w:w="1499"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33,926.36</w:t>
            </w:r>
          </w:p>
        </w:tc>
        <w:tc>
          <w:tcPr>
            <w:tcW w:w="1500" w:type="dxa"/>
            <w:vAlign w:val="center"/>
          </w:tcPr>
          <w:p w:rsidR="00644057" w:rsidRDefault="00A20092">
            <w:pPr>
              <w:jc w:val="right"/>
            </w:pPr>
            <w:r>
              <w:rPr>
                <w:color w:val="000000"/>
                <w:sz w:val="18"/>
                <w:szCs w:val="18"/>
              </w:rPr>
              <w:t>33,926.36</w:t>
            </w:r>
          </w:p>
        </w:tc>
      </w:tr>
      <w:tr w:rsidR="00644057">
        <w:tc>
          <w:tcPr>
            <w:tcW w:w="1499" w:type="dxa"/>
            <w:vAlign w:val="center"/>
          </w:tcPr>
          <w:p w:rsidR="00644057" w:rsidRDefault="00A20092">
            <w:pPr>
              <w:jc w:val="center"/>
            </w:pPr>
            <w:r>
              <w:rPr>
                <w:color w:val="000000"/>
                <w:sz w:val="18"/>
                <w:szCs w:val="18"/>
              </w:rPr>
              <w:t>其他负债</w:t>
            </w:r>
          </w:p>
        </w:tc>
        <w:tc>
          <w:tcPr>
            <w:tcW w:w="1499"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189,300.00</w:t>
            </w:r>
          </w:p>
        </w:tc>
        <w:tc>
          <w:tcPr>
            <w:tcW w:w="1500" w:type="dxa"/>
            <w:vAlign w:val="center"/>
          </w:tcPr>
          <w:p w:rsidR="00644057" w:rsidRDefault="00A20092">
            <w:pPr>
              <w:jc w:val="right"/>
            </w:pPr>
            <w:r>
              <w:rPr>
                <w:color w:val="000000"/>
                <w:sz w:val="18"/>
                <w:szCs w:val="18"/>
              </w:rPr>
              <w:t>189,300.00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343,169,946.07</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634,542.53</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343,804,488.60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246,947,851.60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103,008,000.00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11,810,813.92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361,766,665.52</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2018</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644057">
        <w:tc>
          <w:tcPr>
            <w:tcW w:w="1499" w:type="dxa"/>
            <w:vAlign w:val="center"/>
          </w:tcPr>
          <w:p w:rsidR="00644057" w:rsidRDefault="00A20092">
            <w:pPr>
              <w:jc w:val="center"/>
            </w:pPr>
            <w:r>
              <w:rPr>
                <w:color w:val="000000"/>
                <w:sz w:val="18"/>
                <w:szCs w:val="18"/>
              </w:rPr>
              <w:t>银行存款</w:t>
            </w:r>
          </w:p>
        </w:tc>
        <w:tc>
          <w:tcPr>
            <w:tcW w:w="1499" w:type="dxa"/>
            <w:vAlign w:val="center"/>
          </w:tcPr>
          <w:p w:rsidR="00644057" w:rsidRDefault="00A20092">
            <w:pPr>
              <w:jc w:val="right"/>
            </w:pPr>
            <w:r>
              <w:rPr>
                <w:color w:val="000000"/>
                <w:sz w:val="18"/>
                <w:szCs w:val="18"/>
              </w:rPr>
              <w:t>517,687.20</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517,687.20</w:t>
            </w:r>
          </w:p>
        </w:tc>
      </w:tr>
      <w:tr w:rsidR="00644057">
        <w:tc>
          <w:tcPr>
            <w:tcW w:w="1499" w:type="dxa"/>
            <w:vAlign w:val="center"/>
          </w:tcPr>
          <w:p w:rsidR="00644057" w:rsidRDefault="00A20092">
            <w:pPr>
              <w:jc w:val="center"/>
            </w:pPr>
            <w:r>
              <w:rPr>
                <w:color w:val="000000"/>
                <w:sz w:val="18"/>
                <w:szCs w:val="18"/>
              </w:rPr>
              <w:t>结算备付金</w:t>
            </w:r>
          </w:p>
        </w:tc>
        <w:tc>
          <w:tcPr>
            <w:tcW w:w="1499" w:type="dxa"/>
            <w:vAlign w:val="center"/>
          </w:tcPr>
          <w:p w:rsidR="00644057" w:rsidRDefault="00A20092">
            <w:pPr>
              <w:jc w:val="right"/>
            </w:pPr>
            <w:r>
              <w:rPr>
                <w:color w:val="000000"/>
                <w:sz w:val="18"/>
                <w:szCs w:val="18"/>
              </w:rPr>
              <w:t>21,090,963.23</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21,090,963.23</w:t>
            </w:r>
          </w:p>
        </w:tc>
      </w:tr>
      <w:tr w:rsidR="00644057">
        <w:tc>
          <w:tcPr>
            <w:tcW w:w="1499" w:type="dxa"/>
            <w:vAlign w:val="center"/>
          </w:tcPr>
          <w:p w:rsidR="00644057" w:rsidRDefault="00A20092">
            <w:pPr>
              <w:jc w:val="center"/>
            </w:pPr>
            <w:r>
              <w:rPr>
                <w:color w:val="000000"/>
                <w:sz w:val="18"/>
                <w:szCs w:val="18"/>
              </w:rPr>
              <w:t>存出保证金</w:t>
            </w:r>
          </w:p>
        </w:tc>
        <w:tc>
          <w:tcPr>
            <w:tcW w:w="1499" w:type="dxa"/>
            <w:vAlign w:val="center"/>
          </w:tcPr>
          <w:p w:rsidR="00644057" w:rsidRDefault="00A20092">
            <w:pPr>
              <w:jc w:val="right"/>
            </w:pPr>
            <w:r>
              <w:rPr>
                <w:color w:val="000000"/>
                <w:sz w:val="18"/>
                <w:szCs w:val="18"/>
              </w:rPr>
              <w:t>9,852.42</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9,852.42</w:t>
            </w:r>
          </w:p>
        </w:tc>
      </w:tr>
      <w:tr w:rsidR="00644057">
        <w:tc>
          <w:tcPr>
            <w:tcW w:w="1499" w:type="dxa"/>
            <w:vAlign w:val="center"/>
          </w:tcPr>
          <w:p w:rsidR="00644057" w:rsidRDefault="00A20092">
            <w:pPr>
              <w:jc w:val="center"/>
            </w:pPr>
            <w:r>
              <w:rPr>
                <w:color w:val="000000"/>
                <w:sz w:val="18"/>
                <w:szCs w:val="18"/>
              </w:rPr>
              <w:t>交易性金融资产</w:t>
            </w:r>
          </w:p>
        </w:tc>
        <w:tc>
          <w:tcPr>
            <w:tcW w:w="1499"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668,423,400.00</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668,423,400.00</w:t>
            </w:r>
          </w:p>
        </w:tc>
      </w:tr>
      <w:tr w:rsidR="00644057">
        <w:tc>
          <w:tcPr>
            <w:tcW w:w="1499" w:type="dxa"/>
            <w:vAlign w:val="center"/>
          </w:tcPr>
          <w:p w:rsidR="00644057" w:rsidRDefault="00A20092">
            <w:pPr>
              <w:jc w:val="center"/>
            </w:pPr>
            <w:r>
              <w:rPr>
                <w:color w:val="000000"/>
                <w:sz w:val="18"/>
                <w:szCs w:val="18"/>
              </w:rPr>
              <w:t>应收证券清算款</w:t>
            </w:r>
          </w:p>
        </w:tc>
        <w:tc>
          <w:tcPr>
            <w:tcW w:w="1499"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263,663.48</w:t>
            </w:r>
          </w:p>
        </w:tc>
        <w:tc>
          <w:tcPr>
            <w:tcW w:w="1500" w:type="dxa"/>
            <w:vAlign w:val="center"/>
          </w:tcPr>
          <w:p w:rsidR="00644057" w:rsidRDefault="00A20092">
            <w:pPr>
              <w:jc w:val="right"/>
            </w:pPr>
            <w:r>
              <w:rPr>
                <w:color w:val="000000"/>
                <w:sz w:val="18"/>
                <w:szCs w:val="18"/>
              </w:rPr>
              <w:t>263,663.48</w:t>
            </w:r>
          </w:p>
        </w:tc>
      </w:tr>
      <w:tr w:rsidR="00644057">
        <w:tc>
          <w:tcPr>
            <w:tcW w:w="1499" w:type="dxa"/>
            <w:vAlign w:val="center"/>
          </w:tcPr>
          <w:p w:rsidR="00644057" w:rsidRDefault="00A20092">
            <w:pPr>
              <w:jc w:val="center"/>
            </w:pPr>
            <w:r>
              <w:rPr>
                <w:color w:val="000000"/>
                <w:sz w:val="18"/>
                <w:szCs w:val="18"/>
              </w:rPr>
              <w:t>应收利息</w:t>
            </w:r>
          </w:p>
        </w:tc>
        <w:tc>
          <w:tcPr>
            <w:tcW w:w="1499"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12,582,627.36</w:t>
            </w:r>
          </w:p>
        </w:tc>
        <w:tc>
          <w:tcPr>
            <w:tcW w:w="1500" w:type="dxa"/>
            <w:vAlign w:val="center"/>
          </w:tcPr>
          <w:p w:rsidR="00644057" w:rsidRDefault="00A20092">
            <w:pPr>
              <w:jc w:val="right"/>
            </w:pPr>
            <w:r>
              <w:rPr>
                <w:color w:val="000000"/>
                <w:sz w:val="18"/>
                <w:szCs w:val="18"/>
              </w:rPr>
              <w:t>12,582,627.36</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21,618,502.85</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668,423,400.00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12,846,290.84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702,888,193.69</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644057">
        <w:tc>
          <w:tcPr>
            <w:tcW w:w="1499" w:type="dxa"/>
            <w:vAlign w:val="center"/>
          </w:tcPr>
          <w:p w:rsidR="00644057" w:rsidRDefault="00A20092">
            <w:pPr>
              <w:jc w:val="center"/>
            </w:pPr>
            <w:r>
              <w:rPr>
                <w:color w:val="000000"/>
                <w:sz w:val="18"/>
                <w:szCs w:val="18"/>
              </w:rPr>
              <w:t>卖出回购金融资产款</w:t>
            </w:r>
          </w:p>
        </w:tc>
        <w:tc>
          <w:tcPr>
            <w:tcW w:w="1499" w:type="dxa"/>
            <w:vAlign w:val="center"/>
          </w:tcPr>
          <w:p w:rsidR="00644057" w:rsidRDefault="00A20092">
            <w:pPr>
              <w:jc w:val="right"/>
            </w:pPr>
            <w:r>
              <w:rPr>
                <w:color w:val="000000"/>
                <w:sz w:val="18"/>
                <w:szCs w:val="18"/>
              </w:rPr>
              <w:t>348,055,594.42</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348,055,594.42</w:t>
            </w:r>
          </w:p>
        </w:tc>
      </w:tr>
      <w:tr w:rsidR="00644057">
        <w:tc>
          <w:tcPr>
            <w:tcW w:w="1499" w:type="dxa"/>
            <w:vAlign w:val="center"/>
          </w:tcPr>
          <w:p w:rsidR="00644057" w:rsidRDefault="00A20092">
            <w:pPr>
              <w:jc w:val="center"/>
            </w:pPr>
            <w:r>
              <w:rPr>
                <w:color w:val="000000"/>
                <w:sz w:val="18"/>
                <w:szCs w:val="18"/>
              </w:rPr>
              <w:t>应付管理人报酬</w:t>
            </w:r>
          </w:p>
        </w:tc>
        <w:tc>
          <w:tcPr>
            <w:tcW w:w="1499"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240,539.19</w:t>
            </w:r>
          </w:p>
        </w:tc>
        <w:tc>
          <w:tcPr>
            <w:tcW w:w="1500" w:type="dxa"/>
            <w:vAlign w:val="center"/>
          </w:tcPr>
          <w:p w:rsidR="00644057" w:rsidRDefault="00A20092">
            <w:pPr>
              <w:jc w:val="right"/>
            </w:pPr>
            <w:r>
              <w:rPr>
                <w:color w:val="000000"/>
                <w:sz w:val="18"/>
                <w:szCs w:val="18"/>
              </w:rPr>
              <w:t>240,539.19</w:t>
            </w:r>
          </w:p>
        </w:tc>
      </w:tr>
      <w:tr w:rsidR="00644057">
        <w:tc>
          <w:tcPr>
            <w:tcW w:w="1499" w:type="dxa"/>
            <w:vAlign w:val="center"/>
          </w:tcPr>
          <w:p w:rsidR="00644057" w:rsidRDefault="00A20092">
            <w:pPr>
              <w:jc w:val="center"/>
            </w:pPr>
            <w:r>
              <w:rPr>
                <w:color w:val="000000"/>
                <w:sz w:val="18"/>
                <w:szCs w:val="18"/>
              </w:rPr>
              <w:t>应付托管费</w:t>
            </w:r>
          </w:p>
        </w:tc>
        <w:tc>
          <w:tcPr>
            <w:tcW w:w="1499"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45,101.10</w:t>
            </w:r>
          </w:p>
        </w:tc>
        <w:tc>
          <w:tcPr>
            <w:tcW w:w="1500" w:type="dxa"/>
            <w:vAlign w:val="center"/>
          </w:tcPr>
          <w:p w:rsidR="00644057" w:rsidRDefault="00A20092">
            <w:pPr>
              <w:jc w:val="right"/>
            </w:pPr>
            <w:r>
              <w:rPr>
                <w:color w:val="000000"/>
                <w:sz w:val="18"/>
                <w:szCs w:val="18"/>
              </w:rPr>
              <w:t>45,101.10</w:t>
            </w:r>
          </w:p>
        </w:tc>
      </w:tr>
      <w:tr w:rsidR="00644057">
        <w:tc>
          <w:tcPr>
            <w:tcW w:w="1499" w:type="dxa"/>
            <w:vAlign w:val="center"/>
          </w:tcPr>
          <w:p w:rsidR="00644057" w:rsidRDefault="00A20092">
            <w:pPr>
              <w:jc w:val="center"/>
            </w:pPr>
            <w:r>
              <w:rPr>
                <w:color w:val="000000"/>
                <w:sz w:val="18"/>
                <w:szCs w:val="18"/>
              </w:rPr>
              <w:t>应付销售服务费</w:t>
            </w:r>
          </w:p>
        </w:tc>
        <w:tc>
          <w:tcPr>
            <w:tcW w:w="1499"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421.14</w:t>
            </w:r>
          </w:p>
        </w:tc>
        <w:tc>
          <w:tcPr>
            <w:tcW w:w="1500" w:type="dxa"/>
            <w:vAlign w:val="center"/>
          </w:tcPr>
          <w:p w:rsidR="00644057" w:rsidRDefault="00A20092">
            <w:pPr>
              <w:jc w:val="right"/>
            </w:pPr>
            <w:r>
              <w:rPr>
                <w:color w:val="000000"/>
                <w:sz w:val="18"/>
                <w:szCs w:val="18"/>
              </w:rPr>
              <w:t>421.14</w:t>
            </w:r>
          </w:p>
        </w:tc>
      </w:tr>
      <w:tr w:rsidR="00644057">
        <w:tc>
          <w:tcPr>
            <w:tcW w:w="1499" w:type="dxa"/>
            <w:vAlign w:val="center"/>
          </w:tcPr>
          <w:p w:rsidR="00644057" w:rsidRDefault="00A20092">
            <w:pPr>
              <w:jc w:val="center"/>
            </w:pPr>
            <w:r>
              <w:rPr>
                <w:color w:val="000000"/>
                <w:sz w:val="18"/>
                <w:szCs w:val="18"/>
              </w:rPr>
              <w:t>应付交易费用</w:t>
            </w:r>
          </w:p>
        </w:tc>
        <w:tc>
          <w:tcPr>
            <w:tcW w:w="1499"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9,306.82</w:t>
            </w:r>
          </w:p>
        </w:tc>
        <w:tc>
          <w:tcPr>
            <w:tcW w:w="1500" w:type="dxa"/>
            <w:vAlign w:val="center"/>
          </w:tcPr>
          <w:p w:rsidR="00644057" w:rsidRDefault="00A20092">
            <w:pPr>
              <w:jc w:val="right"/>
            </w:pPr>
            <w:r>
              <w:rPr>
                <w:color w:val="000000"/>
                <w:sz w:val="18"/>
                <w:szCs w:val="18"/>
              </w:rPr>
              <w:t>9,306.82</w:t>
            </w:r>
          </w:p>
        </w:tc>
      </w:tr>
      <w:tr w:rsidR="00644057">
        <w:tc>
          <w:tcPr>
            <w:tcW w:w="1499" w:type="dxa"/>
            <w:vAlign w:val="center"/>
          </w:tcPr>
          <w:p w:rsidR="00644057" w:rsidRDefault="00A20092">
            <w:pPr>
              <w:jc w:val="center"/>
            </w:pPr>
            <w:r>
              <w:rPr>
                <w:color w:val="000000"/>
                <w:sz w:val="18"/>
                <w:szCs w:val="18"/>
              </w:rPr>
              <w:t>应交税费</w:t>
            </w:r>
          </w:p>
        </w:tc>
        <w:tc>
          <w:tcPr>
            <w:tcW w:w="1499"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74,359.43</w:t>
            </w:r>
          </w:p>
        </w:tc>
        <w:tc>
          <w:tcPr>
            <w:tcW w:w="1500" w:type="dxa"/>
            <w:vAlign w:val="center"/>
          </w:tcPr>
          <w:p w:rsidR="00644057" w:rsidRDefault="00A20092">
            <w:pPr>
              <w:jc w:val="right"/>
            </w:pPr>
            <w:r>
              <w:rPr>
                <w:color w:val="000000"/>
                <w:sz w:val="18"/>
                <w:szCs w:val="18"/>
              </w:rPr>
              <w:t>74,359.43</w:t>
            </w:r>
          </w:p>
        </w:tc>
      </w:tr>
      <w:tr w:rsidR="00644057">
        <w:tc>
          <w:tcPr>
            <w:tcW w:w="1499" w:type="dxa"/>
            <w:vAlign w:val="center"/>
          </w:tcPr>
          <w:p w:rsidR="00644057" w:rsidRDefault="00A20092">
            <w:pPr>
              <w:jc w:val="center"/>
            </w:pPr>
            <w:r>
              <w:rPr>
                <w:color w:val="000000"/>
                <w:sz w:val="18"/>
                <w:szCs w:val="18"/>
              </w:rPr>
              <w:t>应付利息</w:t>
            </w:r>
          </w:p>
        </w:tc>
        <w:tc>
          <w:tcPr>
            <w:tcW w:w="1499"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46,944.63</w:t>
            </w:r>
          </w:p>
        </w:tc>
        <w:tc>
          <w:tcPr>
            <w:tcW w:w="1500" w:type="dxa"/>
            <w:vAlign w:val="center"/>
          </w:tcPr>
          <w:p w:rsidR="00644057" w:rsidRDefault="00A20092">
            <w:pPr>
              <w:jc w:val="right"/>
            </w:pPr>
            <w:r>
              <w:rPr>
                <w:color w:val="000000"/>
                <w:sz w:val="18"/>
                <w:szCs w:val="18"/>
              </w:rPr>
              <w:t>46,944.63</w:t>
            </w:r>
          </w:p>
        </w:tc>
      </w:tr>
      <w:tr w:rsidR="00644057">
        <w:tc>
          <w:tcPr>
            <w:tcW w:w="1499" w:type="dxa"/>
            <w:vAlign w:val="center"/>
          </w:tcPr>
          <w:p w:rsidR="00644057" w:rsidRDefault="00A20092">
            <w:pPr>
              <w:jc w:val="center"/>
            </w:pPr>
            <w:r>
              <w:rPr>
                <w:color w:val="000000"/>
                <w:sz w:val="18"/>
                <w:szCs w:val="18"/>
              </w:rPr>
              <w:t>其他负债</w:t>
            </w:r>
          </w:p>
        </w:tc>
        <w:tc>
          <w:tcPr>
            <w:tcW w:w="1499"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w:t>
            </w:r>
          </w:p>
        </w:tc>
        <w:tc>
          <w:tcPr>
            <w:tcW w:w="1500" w:type="dxa"/>
            <w:vAlign w:val="center"/>
          </w:tcPr>
          <w:p w:rsidR="00644057" w:rsidRDefault="00A20092">
            <w:pPr>
              <w:jc w:val="right"/>
            </w:pPr>
            <w:r>
              <w:rPr>
                <w:color w:val="000000"/>
                <w:sz w:val="18"/>
                <w:szCs w:val="18"/>
              </w:rPr>
              <w:t>309,300.00</w:t>
            </w:r>
          </w:p>
        </w:tc>
        <w:tc>
          <w:tcPr>
            <w:tcW w:w="1500" w:type="dxa"/>
            <w:vAlign w:val="center"/>
          </w:tcPr>
          <w:p w:rsidR="00644057" w:rsidRDefault="00A20092">
            <w:pPr>
              <w:jc w:val="right"/>
            </w:pPr>
            <w:r>
              <w:rPr>
                <w:color w:val="000000"/>
                <w:sz w:val="18"/>
                <w:szCs w:val="18"/>
              </w:rPr>
              <w:t>309,300.00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348,055,594.42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725,972.31</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348,781,566.73</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-326,437,091.57</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668,423,400.00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12,120,318.53</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354,106,626.96</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w:t>
      </w:r>
      <w:proofErr w:type="gramStart"/>
      <w:r w:rsidRPr="009F6B95">
        <w:rPr>
          <w:kern w:val="0"/>
          <w:sz w:val="24"/>
        </w:rPr>
        <w:t>日孰早予以</w:t>
      </w:r>
      <w:proofErr w:type="gramEnd"/>
      <w:r w:rsidRPr="009F6B95">
        <w:rPr>
          <w:kern w:val="0"/>
          <w:sz w:val="24"/>
        </w:rPr>
        <w:t>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292955" w:rsidRDefault="007E26F4" w:rsidP="00292955">
      <w:pPr>
        <w:pStyle w:val="20"/>
        <w:spacing w:before="29" w:after="0" w:line="288" w:lineRule="auto"/>
        <w:rPr>
          <w:rFonts w:ascii="Times New Roman" w:hAnsi="Times New Roman"/>
          <w:kern w:val="0"/>
          <w:szCs w:val="24"/>
        </w:rPr>
      </w:pPr>
      <w:bookmarkStart w:id="213" w:name="_Toc35966297"/>
      <w:r w:rsidRPr="00292955">
        <w:rPr>
          <w:rFonts w:ascii="Times New Roman" w:hAnsi="Times New Roman"/>
          <w:kern w:val="0"/>
          <w:szCs w:val="24"/>
        </w:rPr>
        <w:t>7.4.13.4.1.2</w:t>
      </w:r>
      <w:r w:rsidRPr="00292955">
        <w:rPr>
          <w:rFonts w:ascii="Times New Roman" w:hAnsi="Times New Roman" w:hint="eastAsia"/>
          <w:kern w:val="0"/>
          <w:szCs w:val="24"/>
        </w:rPr>
        <w:t>利率风险的敏感性分析</w:t>
      </w:r>
      <w:bookmarkEnd w:id="2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644057">
        <w:tc>
          <w:tcPr>
            <w:tcW w:w="1276" w:type="dxa"/>
            <w:vAlign w:val="center"/>
          </w:tcPr>
          <w:p w:rsidR="00644057" w:rsidRDefault="00A20092">
            <w:pPr>
              <w:jc w:val="left"/>
            </w:pPr>
            <w:r>
              <w:rPr>
                <w:color w:val="000000"/>
                <w:sz w:val="24"/>
              </w:rPr>
              <w:t>假设</w:t>
            </w:r>
          </w:p>
        </w:tc>
        <w:tc>
          <w:tcPr>
            <w:tcW w:w="7722" w:type="dxa"/>
            <w:gridSpan w:val="3"/>
            <w:vAlign w:val="center"/>
          </w:tcPr>
          <w:p w:rsidR="00644057" w:rsidRDefault="00A20092">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644057">
        <w:tc>
          <w:tcPr>
            <w:tcW w:w="1276" w:type="dxa"/>
            <w:vMerge/>
          </w:tcPr>
          <w:p w:rsidR="00644057" w:rsidRDefault="00644057"/>
        </w:tc>
        <w:tc>
          <w:tcPr>
            <w:tcW w:w="2693" w:type="dxa"/>
            <w:vAlign w:val="center"/>
          </w:tcPr>
          <w:p w:rsidR="00644057" w:rsidRDefault="00A20092">
            <w:pPr>
              <w:jc w:val="left"/>
            </w:pPr>
            <w:r>
              <w:rPr>
                <w:color w:val="000000"/>
                <w:sz w:val="24"/>
              </w:rPr>
              <w:t>市场利率上升</w:t>
            </w:r>
            <w:r>
              <w:rPr>
                <w:color w:val="000000"/>
                <w:sz w:val="24"/>
              </w:rPr>
              <w:t>25</w:t>
            </w:r>
            <w:r>
              <w:rPr>
                <w:color w:val="000000"/>
                <w:sz w:val="24"/>
              </w:rPr>
              <w:t>个基点</w:t>
            </w:r>
          </w:p>
        </w:tc>
        <w:tc>
          <w:tcPr>
            <w:tcW w:w="2780" w:type="dxa"/>
            <w:vAlign w:val="center"/>
          </w:tcPr>
          <w:p w:rsidR="00644057" w:rsidRDefault="00A20092">
            <w:pPr>
              <w:jc w:val="right"/>
            </w:pPr>
            <w:r>
              <w:rPr>
                <w:color w:val="000000"/>
                <w:sz w:val="24"/>
              </w:rPr>
              <w:t>减少约</w:t>
            </w:r>
            <w:r>
              <w:rPr>
                <w:color w:val="000000"/>
                <w:sz w:val="24"/>
              </w:rPr>
              <w:t>156</w:t>
            </w:r>
          </w:p>
        </w:tc>
        <w:tc>
          <w:tcPr>
            <w:tcW w:w="2249" w:type="dxa"/>
            <w:vAlign w:val="center"/>
          </w:tcPr>
          <w:p w:rsidR="00644057" w:rsidRDefault="00A20092">
            <w:pPr>
              <w:jc w:val="right"/>
            </w:pPr>
            <w:r>
              <w:rPr>
                <w:color w:val="000000"/>
                <w:sz w:val="24"/>
              </w:rPr>
              <w:t>减少约</w:t>
            </w:r>
            <w:r>
              <w:rPr>
                <w:color w:val="000000"/>
                <w:sz w:val="24"/>
              </w:rPr>
              <w:t>278</w:t>
            </w:r>
          </w:p>
        </w:tc>
      </w:tr>
      <w:tr w:rsidR="00644057">
        <w:tc>
          <w:tcPr>
            <w:tcW w:w="1276" w:type="dxa"/>
            <w:vMerge/>
          </w:tcPr>
          <w:p w:rsidR="00644057" w:rsidRDefault="00644057"/>
        </w:tc>
        <w:tc>
          <w:tcPr>
            <w:tcW w:w="2693" w:type="dxa"/>
            <w:vAlign w:val="center"/>
          </w:tcPr>
          <w:p w:rsidR="00644057" w:rsidRDefault="00A20092">
            <w:pPr>
              <w:jc w:val="left"/>
            </w:pPr>
            <w:r>
              <w:rPr>
                <w:color w:val="000000"/>
                <w:sz w:val="24"/>
              </w:rPr>
              <w:t>市场利率下降</w:t>
            </w:r>
            <w:r>
              <w:rPr>
                <w:color w:val="000000"/>
                <w:sz w:val="24"/>
              </w:rPr>
              <w:t>25</w:t>
            </w:r>
            <w:r>
              <w:rPr>
                <w:color w:val="000000"/>
                <w:sz w:val="24"/>
              </w:rPr>
              <w:t>个基点</w:t>
            </w:r>
          </w:p>
        </w:tc>
        <w:tc>
          <w:tcPr>
            <w:tcW w:w="2780" w:type="dxa"/>
            <w:vAlign w:val="center"/>
          </w:tcPr>
          <w:p w:rsidR="00644057" w:rsidRDefault="00A20092">
            <w:pPr>
              <w:jc w:val="right"/>
            </w:pPr>
            <w:r>
              <w:rPr>
                <w:color w:val="000000"/>
                <w:sz w:val="24"/>
              </w:rPr>
              <w:t>增加约</w:t>
            </w:r>
            <w:r>
              <w:rPr>
                <w:color w:val="000000"/>
                <w:sz w:val="24"/>
              </w:rPr>
              <w:t>157</w:t>
            </w:r>
          </w:p>
        </w:tc>
        <w:tc>
          <w:tcPr>
            <w:tcW w:w="2249" w:type="dxa"/>
            <w:vAlign w:val="center"/>
          </w:tcPr>
          <w:p w:rsidR="00644057" w:rsidRDefault="00A20092">
            <w:pPr>
              <w:jc w:val="right"/>
            </w:pPr>
            <w:r>
              <w:rPr>
                <w:color w:val="000000"/>
                <w:sz w:val="24"/>
              </w:rPr>
              <w:t>增加约</w:t>
            </w:r>
            <w:r>
              <w:rPr>
                <w:color w:val="000000"/>
                <w:sz w:val="24"/>
              </w:rPr>
              <w:t>280</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292955" w:rsidRDefault="009C6879" w:rsidP="00292955">
      <w:pPr>
        <w:pStyle w:val="20"/>
        <w:spacing w:before="29" w:after="0" w:line="288" w:lineRule="auto"/>
        <w:rPr>
          <w:rFonts w:ascii="Times New Roman" w:hAnsi="Times New Roman"/>
          <w:kern w:val="0"/>
          <w:szCs w:val="24"/>
        </w:rPr>
      </w:pPr>
      <w:bookmarkStart w:id="214" w:name="_Toc35966298"/>
      <w:r w:rsidRPr="00292955">
        <w:rPr>
          <w:rFonts w:ascii="Times New Roman" w:hAnsi="Times New Roman"/>
          <w:kern w:val="0"/>
          <w:szCs w:val="24"/>
        </w:rPr>
        <w:t>7.4.13.4.2</w:t>
      </w:r>
      <w:r w:rsidRPr="00292955">
        <w:rPr>
          <w:rFonts w:ascii="Times New Roman" w:hAnsi="Times New Roman" w:hint="eastAsia"/>
          <w:kern w:val="0"/>
          <w:szCs w:val="24"/>
        </w:rPr>
        <w:t>外汇风险</w:t>
      </w:r>
      <w:bookmarkEnd w:id="214"/>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292955" w:rsidRDefault="001A59F9" w:rsidP="00292955">
      <w:pPr>
        <w:pStyle w:val="20"/>
        <w:spacing w:before="29" w:after="0" w:line="288" w:lineRule="auto"/>
        <w:rPr>
          <w:rFonts w:ascii="Times New Roman" w:hAnsi="Times New Roman"/>
          <w:kern w:val="0"/>
          <w:szCs w:val="24"/>
        </w:rPr>
      </w:pPr>
      <w:bookmarkStart w:id="215" w:name="_Toc35966299"/>
      <w:r w:rsidRPr="00292955">
        <w:rPr>
          <w:rFonts w:ascii="Times New Roman" w:hAnsi="Times New Roman"/>
          <w:kern w:val="0"/>
          <w:szCs w:val="24"/>
        </w:rPr>
        <w:t>7.4.13.4.3</w:t>
      </w:r>
      <w:r w:rsidRPr="00292955">
        <w:rPr>
          <w:rFonts w:ascii="Times New Roman" w:hAnsi="Times New Roman" w:hint="eastAsia"/>
          <w:kern w:val="0"/>
          <w:szCs w:val="24"/>
        </w:rPr>
        <w:t>其他价格风险</w:t>
      </w:r>
      <w:bookmarkEnd w:id="215"/>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292955" w:rsidRDefault="001A59F9" w:rsidP="00292955">
      <w:pPr>
        <w:pStyle w:val="20"/>
        <w:spacing w:before="29" w:after="0" w:line="288" w:lineRule="auto"/>
        <w:rPr>
          <w:rFonts w:ascii="Times New Roman" w:hAnsi="Times New Roman"/>
          <w:kern w:val="0"/>
          <w:szCs w:val="24"/>
        </w:rPr>
      </w:pPr>
      <w:bookmarkStart w:id="216" w:name="_Toc35966300"/>
      <w:r w:rsidRPr="00292955">
        <w:rPr>
          <w:rFonts w:ascii="Times New Roman" w:hAnsi="Times New Roman"/>
          <w:kern w:val="0"/>
          <w:szCs w:val="24"/>
        </w:rPr>
        <w:t>7.4.14</w:t>
      </w:r>
      <w:r w:rsidRPr="00292955">
        <w:rPr>
          <w:rFonts w:ascii="Times New Roman" w:hAnsi="Times New Roman" w:hint="eastAsia"/>
          <w:kern w:val="0"/>
          <w:szCs w:val="24"/>
        </w:rPr>
        <w:t>有助于理解和分析会计报表需要说明的其他事项</w:t>
      </w:r>
      <w:bookmarkEnd w:id="216"/>
    </w:p>
    <w:p w:rsidR="00644057" w:rsidRDefault="00A20092">
      <w:pPr>
        <w:spacing w:before="29" w:line="288" w:lineRule="auto"/>
        <w:ind w:firstLineChars="200" w:firstLine="480"/>
        <w:rPr>
          <w:kern w:val="0"/>
          <w:sz w:val="24"/>
        </w:rPr>
      </w:pPr>
      <w:r>
        <w:rPr>
          <w:kern w:val="0"/>
          <w:sz w:val="24"/>
        </w:rPr>
        <w:t xml:space="preserve">(1) </w:t>
      </w:r>
      <w:r>
        <w:rPr>
          <w:kern w:val="0"/>
          <w:sz w:val="24"/>
        </w:rPr>
        <w:t>公允价值</w:t>
      </w:r>
    </w:p>
    <w:p w:rsidR="00644057" w:rsidRDefault="00A20092">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644057" w:rsidRDefault="00A20092">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644057" w:rsidRDefault="00A20092">
      <w:pPr>
        <w:spacing w:before="29" w:line="288" w:lineRule="auto"/>
        <w:ind w:firstLineChars="200" w:firstLine="480"/>
        <w:rPr>
          <w:kern w:val="0"/>
          <w:sz w:val="24"/>
        </w:rPr>
      </w:pPr>
      <w:r>
        <w:rPr>
          <w:kern w:val="0"/>
          <w:sz w:val="24"/>
        </w:rPr>
        <w:t>第一层次：相同资产或负债在活跃市场上未经调整的报价。</w:t>
      </w:r>
    </w:p>
    <w:p w:rsidR="00644057" w:rsidRDefault="00A20092">
      <w:pPr>
        <w:spacing w:before="29" w:line="288" w:lineRule="auto"/>
        <w:ind w:firstLineChars="200" w:firstLine="480"/>
        <w:rPr>
          <w:kern w:val="0"/>
          <w:sz w:val="24"/>
        </w:rPr>
      </w:pPr>
      <w:r>
        <w:rPr>
          <w:kern w:val="0"/>
          <w:sz w:val="24"/>
        </w:rPr>
        <w:t>第二层次：除第一层次输入</w:t>
      </w:r>
      <w:proofErr w:type="gramStart"/>
      <w:r>
        <w:rPr>
          <w:kern w:val="0"/>
          <w:sz w:val="24"/>
        </w:rPr>
        <w:t>值外相关</w:t>
      </w:r>
      <w:proofErr w:type="gramEnd"/>
      <w:r>
        <w:rPr>
          <w:kern w:val="0"/>
          <w:sz w:val="24"/>
        </w:rPr>
        <w:t>资产或负债直接或</w:t>
      </w:r>
      <w:proofErr w:type="gramStart"/>
      <w:r>
        <w:rPr>
          <w:kern w:val="0"/>
          <w:sz w:val="24"/>
        </w:rPr>
        <w:t>间接可</w:t>
      </w:r>
      <w:proofErr w:type="gramEnd"/>
      <w:r>
        <w:rPr>
          <w:kern w:val="0"/>
          <w:sz w:val="24"/>
        </w:rPr>
        <w:t>观察的输入值。</w:t>
      </w:r>
    </w:p>
    <w:p w:rsidR="00644057" w:rsidRDefault="00A20092">
      <w:pPr>
        <w:spacing w:before="29" w:line="288" w:lineRule="auto"/>
        <w:ind w:firstLineChars="200" w:firstLine="480"/>
        <w:rPr>
          <w:kern w:val="0"/>
          <w:sz w:val="24"/>
        </w:rPr>
      </w:pPr>
      <w:r>
        <w:rPr>
          <w:kern w:val="0"/>
          <w:sz w:val="24"/>
        </w:rPr>
        <w:t>第三层次：相关资产或负债的不可观察输入值。</w:t>
      </w:r>
    </w:p>
    <w:p w:rsidR="00644057" w:rsidRDefault="00A20092">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644057" w:rsidRDefault="00A20092">
      <w:pPr>
        <w:spacing w:before="29" w:line="288" w:lineRule="auto"/>
        <w:ind w:firstLineChars="200" w:firstLine="480"/>
        <w:rPr>
          <w:kern w:val="0"/>
          <w:sz w:val="24"/>
        </w:rPr>
      </w:pPr>
      <w:r>
        <w:rPr>
          <w:kern w:val="0"/>
          <w:sz w:val="24"/>
        </w:rPr>
        <w:t xml:space="preserve">(i)  </w:t>
      </w:r>
      <w:r>
        <w:rPr>
          <w:kern w:val="0"/>
          <w:sz w:val="24"/>
        </w:rPr>
        <w:t>各层次金融工具公允价值</w:t>
      </w:r>
    </w:p>
    <w:p w:rsidR="00644057" w:rsidRDefault="00A20092">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672,165,200.00</w:t>
      </w:r>
      <w:r>
        <w:rPr>
          <w:kern w:val="0"/>
          <w:sz w:val="24"/>
        </w:rPr>
        <w:t>元，</w:t>
      </w:r>
      <w:proofErr w:type="gramStart"/>
      <w:r>
        <w:rPr>
          <w:kern w:val="0"/>
          <w:sz w:val="24"/>
        </w:rPr>
        <w:t>无属于</w:t>
      </w:r>
      <w:proofErr w:type="gramEnd"/>
      <w:r>
        <w:rPr>
          <w:kern w:val="0"/>
          <w:sz w:val="24"/>
        </w:rPr>
        <w:t>第一或第三层次的余额</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668,423,400.00</w:t>
      </w:r>
      <w:r>
        <w:rPr>
          <w:kern w:val="0"/>
          <w:sz w:val="24"/>
        </w:rPr>
        <w:t>元，无第一或第三层次</w:t>
      </w:r>
      <w:r>
        <w:rPr>
          <w:kern w:val="0"/>
          <w:sz w:val="24"/>
        </w:rPr>
        <w:t>)</w:t>
      </w:r>
      <w:r>
        <w:rPr>
          <w:kern w:val="0"/>
          <w:sz w:val="24"/>
        </w:rPr>
        <w:t>。</w:t>
      </w:r>
    </w:p>
    <w:p w:rsidR="00644057" w:rsidRDefault="00A20092">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644057" w:rsidRDefault="00A20092">
      <w:pPr>
        <w:spacing w:before="29" w:line="288" w:lineRule="auto"/>
        <w:ind w:firstLineChars="200" w:firstLine="480"/>
        <w:rPr>
          <w:kern w:val="0"/>
          <w:sz w:val="24"/>
        </w:rPr>
      </w:pPr>
      <w:r>
        <w:rPr>
          <w:kern w:val="0"/>
          <w:sz w:val="24"/>
        </w:rPr>
        <w:t>本基金以导致各层次之间转换的事项发生日为确认各层次之间转换的时点。</w:t>
      </w:r>
    </w:p>
    <w:p w:rsidR="00644057" w:rsidRDefault="00A20092">
      <w:pPr>
        <w:spacing w:before="29" w:line="288" w:lineRule="auto"/>
        <w:ind w:firstLineChars="200" w:firstLine="480"/>
        <w:rPr>
          <w:kern w:val="0"/>
          <w:sz w:val="24"/>
        </w:rPr>
      </w:pPr>
      <w:r>
        <w:rPr>
          <w:kern w:val="0"/>
          <w:sz w:val="24"/>
        </w:rPr>
        <w:t>本基金本期及上年度可比期间持有的以公允价值计量的金融工具的公允价值所属层次未发生重大变动。</w:t>
      </w:r>
    </w:p>
    <w:p w:rsidR="00644057" w:rsidRDefault="00A20092">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644057" w:rsidRDefault="00A20092">
      <w:pPr>
        <w:spacing w:before="29" w:line="288" w:lineRule="auto"/>
        <w:ind w:firstLineChars="200" w:firstLine="480"/>
        <w:rPr>
          <w:kern w:val="0"/>
          <w:sz w:val="24"/>
        </w:rPr>
      </w:pPr>
      <w:r>
        <w:rPr>
          <w:kern w:val="0"/>
          <w:sz w:val="24"/>
        </w:rPr>
        <w:t>无。</w:t>
      </w:r>
    </w:p>
    <w:p w:rsidR="00644057" w:rsidRDefault="00A20092">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644057" w:rsidRDefault="00A20092">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644057" w:rsidRDefault="00A20092">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644057" w:rsidRDefault="00A20092">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17" w:name="_Toc225498272"/>
      <w:bookmarkStart w:id="218" w:name="_Toc361324877"/>
      <w:bookmarkStart w:id="219" w:name="_Toc35966301"/>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217"/>
      <w:bookmarkEnd w:id="218"/>
      <w:bookmarkEnd w:id="219"/>
    </w:p>
    <w:p w:rsidR="00DB6EA0" w:rsidRPr="00DB6EA0" w:rsidRDefault="00DB6EA0" w:rsidP="00DB6EA0"/>
    <w:p w:rsidR="00832C5C" w:rsidRPr="00292955" w:rsidRDefault="00832C5C" w:rsidP="00292955">
      <w:pPr>
        <w:pStyle w:val="20"/>
        <w:spacing w:before="29" w:after="0" w:line="288" w:lineRule="auto"/>
        <w:rPr>
          <w:rFonts w:ascii="Times New Roman" w:hAnsi="Times New Roman"/>
          <w:kern w:val="0"/>
          <w:szCs w:val="24"/>
        </w:rPr>
      </w:pPr>
      <w:bookmarkStart w:id="220" w:name="_Toc225498273"/>
      <w:bookmarkStart w:id="221" w:name="_Toc361324878"/>
      <w:bookmarkStart w:id="222" w:name="_Toc35966302"/>
      <w:r w:rsidRPr="00292955">
        <w:rPr>
          <w:rFonts w:ascii="Times New Roman" w:hAnsi="Times New Roman"/>
          <w:kern w:val="0"/>
          <w:szCs w:val="24"/>
        </w:rPr>
        <w:t xml:space="preserve">8.1 </w:t>
      </w:r>
      <w:r w:rsidRPr="00292955">
        <w:rPr>
          <w:rFonts w:ascii="Times New Roman" w:hAnsi="Times New Roman"/>
          <w:kern w:val="0"/>
          <w:szCs w:val="24"/>
        </w:rPr>
        <w:t>期末基金资产组合情况</w:t>
      </w:r>
      <w:bookmarkEnd w:id="220"/>
      <w:bookmarkEnd w:id="221"/>
      <w:bookmarkEnd w:id="222"/>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672,165,200.00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95.27</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672,165,200.00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95.27</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w:t>
            </w:r>
            <w:proofErr w:type="gramStart"/>
            <w:r w:rsidRPr="00A73188">
              <w:rPr>
                <w:rFonts w:eastAsiaTheme="minorEastAsia"/>
                <w:color w:val="000000" w:themeColor="text1"/>
                <w:szCs w:val="21"/>
              </w:rPr>
              <w:t>品投资</w:t>
            </w:r>
            <w:proofErr w:type="gramEnd"/>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20,960,597.67</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2.97</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12,445,356.45</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1.76</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705,571,154.12</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292955" w:rsidRDefault="001A59F9" w:rsidP="00292955">
      <w:pPr>
        <w:pStyle w:val="20"/>
        <w:spacing w:before="29" w:after="0" w:line="288" w:lineRule="auto"/>
        <w:rPr>
          <w:rFonts w:ascii="Times New Roman" w:hAnsi="Times New Roman"/>
          <w:kern w:val="0"/>
          <w:szCs w:val="24"/>
        </w:rPr>
      </w:pPr>
      <w:bookmarkStart w:id="223" w:name="_Toc225498274"/>
      <w:bookmarkStart w:id="224" w:name="_Toc361324879"/>
      <w:bookmarkStart w:id="225" w:name="_Toc35966303"/>
      <w:r w:rsidRPr="00292955">
        <w:rPr>
          <w:rFonts w:ascii="Times New Roman" w:hAnsi="Times New Roman"/>
          <w:kern w:val="0"/>
          <w:szCs w:val="24"/>
        </w:rPr>
        <w:t>8.2</w:t>
      </w:r>
      <w:r w:rsidRPr="00292955">
        <w:rPr>
          <w:rFonts w:ascii="Times New Roman" w:hAnsi="Times New Roman" w:hint="eastAsia"/>
          <w:kern w:val="0"/>
          <w:szCs w:val="24"/>
        </w:rPr>
        <w:t>期末按行业分类的股票投资组合</w:t>
      </w:r>
      <w:bookmarkEnd w:id="223"/>
      <w:bookmarkEnd w:id="224"/>
      <w:bookmarkEnd w:id="225"/>
    </w:p>
    <w:p w:rsidR="00905382" w:rsidRPr="00292955" w:rsidRDefault="00905382" w:rsidP="00292955">
      <w:pPr>
        <w:pStyle w:val="20"/>
        <w:spacing w:before="29" w:after="0" w:line="288" w:lineRule="auto"/>
        <w:rPr>
          <w:rFonts w:ascii="Times New Roman" w:hAnsi="Times New Roman"/>
          <w:kern w:val="0"/>
          <w:szCs w:val="24"/>
        </w:rPr>
      </w:pPr>
      <w:bookmarkStart w:id="226" w:name="_Toc35966304"/>
      <w:r w:rsidRPr="00292955">
        <w:rPr>
          <w:rFonts w:ascii="Times New Roman" w:hAnsi="Times New Roman"/>
          <w:kern w:val="0"/>
          <w:szCs w:val="24"/>
        </w:rPr>
        <w:t>8.2.1</w:t>
      </w:r>
      <w:r w:rsidRPr="00292955">
        <w:rPr>
          <w:rFonts w:ascii="Times New Roman" w:hAnsi="Times New Roman" w:hint="eastAsia"/>
          <w:kern w:val="0"/>
          <w:szCs w:val="24"/>
        </w:rPr>
        <w:t>报告期末按行业分类的境内股票投资组合</w:t>
      </w:r>
      <w:bookmarkEnd w:id="226"/>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292955" w:rsidRDefault="00905382" w:rsidP="00292955">
      <w:pPr>
        <w:pStyle w:val="20"/>
        <w:spacing w:before="29" w:after="0" w:line="288" w:lineRule="auto"/>
        <w:rPr>
          <w:rFonts w:ascii="Times New Roman" w:hAnsi="Times New Roman"/>
          <w:kern w:val="0"/>
          <w:szCs w:val="24"/>
        </w:rPr>
      </w:pPr>
      <w:bookmarkStart w:id="227" w:name="_Toc35966305"/>
      <w:r w:rsidRPr="00292955">
        <w:rPr>
          <w:rFonts w:ascii="Times New Roman" w:hAnsi="Times New Roman"/>
          <w:kern w:val="0"/>
          <w:szCs w:val="24"/>
        </w:rPr>
        <w:t>8.2.2</w:t>
      </w:r>
      <w:r w:rsidRPr="00292955">
        <w:rPr>
          <w:rFonts w:ascii="Times New Roman" w:hAnsi="Times New Roman" w:hint="eastAsia"/>
          <w:kern w:val="0"/>
          <w:szCs w:val="24"/>
        </w:rPr>
        <w:t>报告期末按行业分类的</w:t>
      </w:r>
      <w:r w:rsidR="00BC645C" w:rsidRPr="00292955">
        <w:rPr>
          <w:rFonts w:ascii="Times New Roman" w:hAnsi="Times New Roman" w:hint="eastAsia"/>
          <w:kern w:val="0"/>
          <w:szCs w:val="24"/>
        </w:rPr>
        <w:t>港股通</w:t>
      </w:r>
      <w:r w:rsidRPr="00292955">
        <w:rPr>
          <w:rFonts w:ascii="Times New Roman" w:hAnsi="Times New Roman" w:hint="eastAsia"/>
          <w:kern w:val="0"/>
          <w:szCs w:val="24"/>
        </w:rPr>
        <w:t>投资股票投资组合</w:t>
      </w:r>
      <w:bookmarkEnd w:id="227"/>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292955" w:rsidRDefault="001A59F9" w:rsidP="00292955">
      <w:pPr>
        <w:pStyle w:val="20"/>
        <w:spacing w:before="29" w:after="0" w:line="288" w:lineRule="auto"/>
        <w:rPr>
          <w:rFonts w:ascii="Times New Roman" w:hAnsi="Times New Roman"/>
          <w:kern w:val="0"/>
          <w:szCs w:val="24"/>
        </w:rPr>
      </w:pPr>
      <w:bookmarkStart w:id="228" w:name="_Toc361324881"/>
      <w:bookmarkStart w:id="229" w:name="_Toc35966306"/>
      <w:r w:rsidRPr="00292955">
        <w:rPr>
          <w:rFonts w:ascii="Times New Roman" w:hAnsi="Times New Roman"/>
          <w:kern w:val="0"/>
          <w:szCs w:val="24"/>
        </w:rPr>
        <w:t>8.3</w:t>
      </w:r>
      <w:r w:rsidRPr="00292955">
        <w:rPr>
          <w:rFonts w:ascii="Times New Roman" w:hAnsi="Times New Roman" w:hint="eastAsia"/>
          <w:kern w:val="0"/>
          <w:szCs w:val="24"/>
        </w:rPr>
        <w:t>期末按公允价值占基金资产净值比例大小排序的所有股票投资明细</w:t>
      </w:r>
      <w:bookmarkEnd w:id="228"/>
      <w:bookmarkEnd w:id="229"/>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292955" w:rsidRDefault="001A59F9" w:rsidP="00292955">
      <w:pPr>
        <w:pStyle w:val="20"/>
        <w:spacing w:before="29" w:after="0" w:line="288" w:lineRule="auto"/>
        <w:rPr>
          <w:rFonts w:ascii="Times New Roman" w:hAnsi="Times New Roman"/>
          <w:kern w:val="0"/>
          <w:szCs w:val="24"/>
        </w:rPr>
      </w:pPr>
      <w:bookmarkStart w:id="230" w:name="_Toc361324882"/>
      <w:bookmarkStart w:id="231" w:name="_Toc35966307"/>
      <w:r w:rsidRPr="00292955">
        <w:rPr>
          <w:rFonts w:ascii="Times New Roman" w:hAnsi="Times New Roman"/>
          <w:kern w:val="0"/>
          <w:szCs w:val="24"/>
        </w:rPr>
        <w:t>8.4</w:t>
      </w:r>
      <w:bookmarkStart w:id="232" w:name="_Toc234814103"/>
      <w:r w:rsidRPr="00292955">
        <w:rPr>
          <w:rFonts w:ascii="Times New Roman" w:hAnsi="Times New Roman" w:hint="eastAsia"/>
          <w:kern w:val="0"/>
          <w:szCs w:val="24"/>
        </w:rPr>
        <w:t>报告期内股票投资组合的重大变动</w:t>
      </w:r>
      <w:bookmarkEnd w:id="230"/>
      <w:bookmarkEnd w:id="231"/>
      <w:bookmarkEnd w:id="232"/>
    </w:p>
    <w:p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rsidR="001A59F9" w:rsidRPr="00292955" w:rsidRDefault="001A59F9" w:rsidP="00292955">
      <w:pPr>
        <w:pStyle w:val="20"/>
        <w:spacing w:before="29" w:after="0" w:line="288" w:lineRule="auto"/>
        <w:rPr>
          <w:rFonts w:ascii="Times New Roman" w:hAnsi="Times New Roman"/>
          <w:kern w:val="0"/>
          <w:szCs w:val="24"/>
        </w:rPr>
      </w:pPr>
      <w:bookmarkStart w:id="233" w:name="_Toc234814104"/>
      <w:bookmarkStart w:id="234" w:name="_Toc361324883"/>
      <w:bookmarkStart w:id="235" w:name="_Toc35966308"/>
      <w:r w:rsidRPr="00292955">
        <w:rPr>
          <w:rFonts w:ascii="Times New Roman" w:hAnsi="Times New Roman"/>
          <w:kern w:val="0"/>
          <w:szCs w:val="24"/>
        </w:rPr>
        <w:t>8.5</w:t>
      </w:r>
      <w:r w:rsidRPr="00292955">
        <w:rPr>
          <w:rFonts w:ascii="Times New Roman" w:hAnsi="Times New Roman" w:hint="eastAsia"/>
          <w:kern w:val="0"/>
          <w:szCs w:val="24"/>
        </w:rPr>
        <w:t>期末按债券品种分类的债券投资组合</w:t>
      </w:r>
      <w:bookmarkEnd w:id="233"/>
      <w:bookmarkEnd w:id="234"/>
      <w:bookmarkEnd w:id="23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323,880,800.00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89.53</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proofErr w:type="gramStart"/>
            <w:r w:rsidR="0043264B" w:rsidRPr="00AA6F29">
              <w:rPr>
                <w:rFonts w:hint="eastAsia"/>
                <w:color w:val="000000"/>
                <w:sz w:val="24"/>
              </w:rPr>
              <w:t>券</w:t>
            </w:r>
            <w:proofErr w:type="gramEnd"/>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17,079,900.00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4.72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331,204,500.00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91.55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672,165,200.00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185.80</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92955" w:rsidRDefault="001A59F9" w:rsidP="00292955">
      <w:pPr>
        <w:pStyle w:val="20"/>
        <w:spacing w:before="29" w:after="0" w:line="288" w:lineRule="auto"/>
        <w:rPr>
          <w:rFonts w:ascii="Times New Roman" w:hAnsi="Times New Roman"/>
          <w:kern w:val="0"/>
          <w:szCs w:val="24"/>
        </w:rPr>
      </w:pPr>
      <w:bookmarkStart w:id="236" w:name="_Toc361324884"/>
      <w:bookmarkStart w:id="237" w:name="_Toc35966309"/>
      <w:r w:rsidRPr="00292955">
        <w:rPr>
          <w:rFonts w:ascii="Times New Roman" w:hAnsi="Times New Roman"/>
          <w:kern w:val="0"/>
          <w:szCs w:val="24"/>
        </w:rPr>
        <w:t>8.6</w:t>
      </w:r>
      <w:bookmarkStart w:id="238" w:name="_Toc234814105"/>
      <w:r w:rsidRPr="00292955">
        <w:rPr>
          <w:rFonts w:ascii="Times New Roman" w:hAnsi="Times New Roman" w:hint="eastAsia"/>
          <w:kern w:val="0"/>
          <w:szCs w:val="24"/>
        </w:rPr>
        <w:t>期末按公允价值占基金资产净值比例大小</w:t>
      </w:r>
      <w:r w:rsidR="0055511D" w:rsidRPr="00292955">
        <w:rPr>
          <w:rFonts w:ascii="Times New Roman" w:hAnsi="Times New Roman" w:hint="eastAsia"/>
          <w:kern w:val="0"/>
          <w:szCs w:val="24"/>
        </w:rPr>
        <w:t>排序</w:t>
      </w:r>
      <w:r w:rsidRPr="00292955">
        <w:rPr>
          <w:rFonts w:ascii="Times New Roman" w:hAnsi="Times New Roman" w:hint="eastAsia"/>
          <w:kern w:val="0"/>
          <w:szCs w:val="24"/>
        </w:rPr>
        <w:t>的前五名债券投资明细</w:t>
      </w:r>
      <w:bookmarkEnd w:id="236"/>
      <w:bookmarkEnd w:id="237"/>
      <w:bookmarkEnd w:id="238"/>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644057">
        <w:trPr>
          <w:jc w:val="center"/>
        </w:trPr>
        <w:tc>
          <w:tcPr>
            <w:tcW w:w="788" w:type="dxa"/>
            <w:vAlign w:val="center"/>
          </w:tcPr>
          <w:p w:rsidR="00644057" w:rsidRDefault="00A20092">
            <w:pPr>
              <w:jc w:val="center"/>
            </w:pPr>
            <w:r>
              <w:rPr>
                <w:color w:val="000000"/>
                <w:sz w:val="24"/>
              </w:rPr>
              <w:t>1</w:t>
            </w:r>
          </w:p>
        </w:tc>
        <w:tc>
          <w:tcPr>
            <w:tcW w:w="1774" w:type="dxa"/>
            <w:vAlign w:val="center"/>
          </w:tcPr>
          <w:p w:rsidR="00644057" w:rsidRDefault="00A20092">
            <w:pPr>
              <w:jc w:val="center"/>
            </w:pPr>
            <w:r>
              <w:rPr>
                <w:color w:val="000000"/>
                <w:sz w:val="24"/>
              </w:rPr>
              <w:t>101800692</w:t>
            </w:r>
          </w:p>
        </w:tc>
        <w:tc>
          <w:tcPr>
            <w:tcW w:w="1282" w:type="dxa"/>
            <w:vAlign w:val="center"/>
          </w:tcPr>
          <w:p w:rsidR="00644057" w:rsidRDefault="00A20092">
            <w:pPr>
              <w:jc w:val="center"/>
            </w:pPr>
            <w:r>
              <w:rPr>
                <w:color w:val="000000"/>
                <w:sz w:val="24"/>
              </w:rPr>
              <w:t>18</w:t>
            </w:r>
            <w:r>
              <w:rPr>
                <w:color w:val="000000"/>
                <w:sz w:val="24"/>
              </w:rPr>
              <w:t>拉萨城投</w:t>
            </w:r>
            <w:r>
              <w:rPr>
                <w:color w:val="000000"/>
                <w:sz w:val="24"/>
              </w:rPr>
              <w:t>MTN001</w:t>
            </w:r>
          </w:p>
        </w:tc>
        <w:tc>
          <w:tcPr>
            <w:tcW w:w="1763" w:type="dxa"/>
            <w:vAlign w:val="center"/>
          </w:tcPr>
          <w:p w:rsidR="00644057" w:rsidRDefault="00A20092">
            <w:pPr>
              <w:jc w:val="right"/>
            </w:pPr>
            <w:r>
              <w:rPr>
                <w:color w:val="000000"/>
                <w:sz w:val="24"/>
              </w:rPr>
              <w:t>300,000</w:t>
            </w:r>
          </w:p>
        </w:tc>
        <w:tc>
          <w:tcPr>
            <w:tcW w:w="1843" w:type="dxa"/>
            <w:vAlign w:val="center"/>
          </w:tcPr>
          <w:p w:rsidR="00644057" w:rsidRDefault="00A20092">
            <w:pPr>
              <w:jc w:val="right"/>
            </w:pPr>
            <w:r>
              <w:rPr>
                <w:color w:val="000000"/>
                <w:sz w:val="24"/>
              </w:rPr>
              <w:t>31,080,000.00</w:t>
            </w:r>
          </w:p>
        </w:tc>
        <w:tc>
          <w:tcPr>
            <w:tcW w:w="1493" w:type="dxa"/>
            <w:vAlign w:val="center"/>
          </w:tcPr>
          <w:p w:rsidR="00644057" w:rsidRDefault="00A20092">
            <w:pPr>
              <w:jc w:val="right"/>
            </w:pPr>
            <w:r>
              <w:rPr>
                <w:color w:val="000000"/>
                <w:sz w:val="24"/>
              </w:rPr>
              <w:t>8.59</w:t>
            </w:r>
          </w:p>
        </w:tc>
      </w:tr>
      <w:tr w:rsidR="00644057">
        <w:trPr>
          <w:jc w:val="center"/>
        </w:trPr>
        <w:tc>
          <w:tcPr>
            <w:tcW w:w="788" w:type="dxa"/>
            <w:vAlign w:val="center"/>
          </w:tcPr>
          <w:p w:rsidR="00644057" w:rsidRDefault="00A20092">
            <w:pPr>
              <w:jc w:val="center"/>
            </w:pPr>
            <w:r>
              <w:rPr>
                <w:color w:val="000000"/>
                <w:sz w:val="24"/>
              </w:rPr>
              <w:t>2</w:t>
            </w:r>
          </w:p>
        </w:tc>
        <w:tc>
          <w:tcPr>
            <w:tcW w:w="1774" w:type="dxa"/>
            <w:vAlign w:val="center"/>
          </w:tcPr>
          <w:p w:rsidR="00644057" w:rsidRDefault="00A20092">
            <w:pPr>
              <w:jc w:val="center"/>
            </w:pPr>
            <w:r>
              <w:rPr>
                <w:color w:val="000000"/>
                <w:sz w:val="24"/>
              </w:rPr>
              <w:t>122478</w:t>
            </w:r>
          </w:p>
        </w:tc>
        <w:tc>
          <w:tcPr>
            <w:tcW w:w="1282" w:type="dxa"/>
            <w:vAlign w:val="center"/>
          </w:tcPr>
          <w:p w:rsidR="00644057" w:rsidRDefault="00A20092">
            <w:pPr>
              <w:jc w:val="center"/>
            </w:pPr>
            <w:r>
              <w:rPr>
                <w:color w:val="000000"/>
                <w:sz w:val="24"/>
              </w:rPr>
              <w:t>14</w:t>
            </w:r>
            <w:proofErr w:type="gramStart"/>
            <w:r>
              <w:rPr>
                <w:color w:val="000000"/>
                <w:sz w:val="24"/>
              </w:rPr>
              <w:t>粤运</w:t>
            </w:r>
            <w:proofErr w:type="gramEnd"/>
            <w:r>
              <w:rPr>
                <w:color w:val="000000"/>
                <w:sz w:val="24"/>
              </w:rPr>
              <w:t>01</w:t>
            </w:r>
          </w:p>
        </w:tc>
        <w:tc>
          <w:tcPr>
            <w:tcW w:w="1763" w:type="dxa"/>
            <w:vAlign w:val="center"/>
          </w:tcPr>
          <w:p w:rsidR="00644057" w:rsidRDefault="00A20092">
            <w:pPr>
              <w:jc w:val="right"/>
            </w:pPr>
            <w:r>
              <w:rPr>
                <w:color w:val="000000"/>
                <w:sz w:val="24"/>
              </w:rPr>
              <w:t>300,000</w:t>
            </w:r>
          </w:p>
        </w:tc>
        <w:tc>
          <w:tcPr>
            <w:tcW w:w="1843" w:type="dxa"/>
            <w:vAlign w:val="center"/>
          </w:tcPr>
          <w:p w:rsidR="00644057" w:rsidRDefault="00A20092">
            <w:pPr>
              <w:jc w:val="right"/>
            </w:pPr>
            <w:r>
              <w:rPr>
                <w:color w:val="000000"/>
                <w:sz w:val="24"/>
              </w:rPr>
              <w:t>30,507,000.00</w:t>
            </w:r>
          </w:p>
        </w:tc>
        <w:tc>
          <w:tcPr>
            <w:tcW w:w="1493" w:type="dxa"/>
            <w:vAlign w:val="center"/>
          </w:tcPr>
          <w:p w:rsidR="00644057" w:rsidRDefault="00A20092">
            <w:pPr>
              <w:jc w:val="right"/>
            </w:pPr>
            <w:r>
              <w:rPr>
                <w:color w:val="000000"/>
                <w:sz w:val="24"/>
              </w:rPr>
              <w:t>8.43</w:t>
            </w:r>
          </w:p>
        </w:tc>
      </w:tr>
      <w:tr w:rsidR="00644057">
        <w:trPr>
          <w:jc w:val="center"/>
        </w:trPr>
        <w:tc>
          <w:tcPr>
            <w:tcW w:w="788" w:type="dxa"/>
            <w:vAlign w:val="center"/>
          </w:tcPr>
          <w:p w:rsidR="00644057" w:rsidRDefault="00A20092">
            <w:pPr>
              <w:jc w:val="center"/>
            </w:pPr>
            <w:r>
              <w:rPr>
                <w:color w:val="000000"/>
                <w:sz w:val="24"/>
              </w:rPr>
              <w:t>3</w:t>
            </w:r>
          </w:p>
        </w:tc>
        <w:tc>
          <w:tcPr>
            <w:tcW w:w="1774" w:type="dxa"/>
            <w:vAlign w:val="center"/>
          </w:tcPr>
          <w:p w:rsidR="00644057" w:rsidRDefault="00A20092">
            <w:pPr>
              <w:jc w:val="center"/>
            </w:pPr>
            <w:r>
              <w:rPr>
                <w:color w:val="000000"/>
                <w:sz w:val="24"/>
              </w:rPr>
              <w:t>143287</w:t>
            </w:r>
          </w:p>
        </w:tc>
        <w:tc>
          <w:tcPr>
            <w:tcW w:w="1282" w:type="dxa"/>
            <w:vAlign w:val="center"/>
          </w:tcPr>
          <w:p w:rsidR="00644057" w:rsidRDefault="00A20092">
            <w:pPr>
              <w:jc w:val="center"/>
            </w:pPr>
            <w:r>
              <w:rPr>
                <w:color w:val="000000"/>
                <w:sz w:val="24"/>
              </w:rPr>
              <w:t>17</w:t>
            </w:r>
            <w:proofErr w:type="gramStart"/>
            <w:r>
              <w:rPr>
                <w:color w:val="000000"/>
                <w:sz w:val="24"/>
              </w:rPr>
              <w:t>联投</w:t>
            </w:r>
            <w:proofErr w:type="gramEnd"/>
            <w:r>
              <w:rPr>
                <w:color w:val="000000"/>
                <w:sz w:val="24"/>
              </w:rPr>
              <w:t>01</w:t>
            </w:r>
          </w:p>
        </w:tc>
        <w:tc>
          <w:tcPr>
            <w:tcW w:w="1763" w:type="dxa"/>
            <w:vAlign w:val="center"/>
          </w:tcPr>
          <w:p w:rsidR="00644057" w:rsidRDefault="00A20092">
            <w:pPr>
              <w:jc w:val="right"/>
            </w:pPr>
            <w:r>
              <w:rPr>
                <w:color w:val="000000"/>
                <w:sz w:val="24"/>
              </w:rPr>
              <w:t>300,000</w:t>
            </w:r>
          </w:p>
        </w:tc>
        <w:tc>
          <w:tcPr>
            <w:tcW w:w="1843" w:type="dxa"/>
            <w:vAlign w:val="center"/>
          </w:tcPr>
          <w:p w:rsidR="00644057" w:rsidRDefault="00A20092">
            <w:pPr>
              <w:jc w:val="right"/>
            </w:pPr>
            <w:r>
              <w:rPr>
                <w:color w:val="000000"/>
                <w:sz w:val="24"/>
              </w:rPr>
              <w:t>30,315,000.00</w:t>
            </w:r>
          </w:p>
        </w:tc>
        <w:tc>
          <w:tcPr>
            <w:tcW w:w="1493" w:type="dxa"/>
            <w:vAlign w:val="center"/>
          </w:tcPr>
          <w:p w:rsidR="00644057" w:rsidRDefault="00A20092">
            <w:pPr>
              <w:jc w:val="right"/>
            </w:pPr>
            <w:r>
              <w:rPr>
                <w:color w:val="000000"/>
                <w:sz w:val="24"/>
              </w:rPr>
              <w:t>8.38</w:t>
            </w:r>
          </w:p>
        </w:tc>
      </w:tr>
      <w:tr w:rsidR="00644057">
        <w:trPr>
          <w:jc w:val="center"/>
        </w:trPr>
        <w:tc>
          <w:tcPr>
            <w:tcW w:w="788" w:type="dxa"/>
            <w:vAlign w:val="center"/>
          </w:tcPr>
          <w:p w:rsidR="00644057" w:rsidRDefault="00A20092">
            <w:pPr>
              <w:jc w:val="center"/>
            </w:pPr>
            <w:r>
              <w:rPr>
                <w:color w:val="000000"/>
                <w:sz w:val="24"/>
              </w:rPr>
              <w:t>4</w:t>
            </w:r>
          </w:p>
        </w:tc>
        <w:tc>
          <w:tcPr>
            <w:tcW w:w="1774" w:type="dxa"/>
            <w:vAlign w:val="center"/>
          </w:tcPr>
          <w:p w:rsidR="00644057" w:rsidRDefault="00A20092">
            <w:pPr>
              <w:jc w:val="center"/>
            </w:pPr>
            <w:r>
              <w:rPr>
                <w:color w:val="000000"/>
                <w:sz w:val="24"/>
              </w:rPr>
              <w:t>122358</w:t>
            </w:r>
          </w:p>
        </w:tc>
        <w:tc>
          <w:tcPr>
            <w:tcW w:w="1282" w:type="dxa"/>
            <w:vAlign w:val="center"/>
          </w:tcPr>
          <w:p w:rsidR="00644057" w:rsidRDefault="00A20092">
            <w:pPr>
              <w:jc w:val="center"/>
            </w:pPr>
            <w:r>
              <w:rPr>
                <w:color w:val="000000"/>
                <w:sz w:val="24"/>
              </w:rPr>
              <w:t>15</w:t>
            </w:r>
            <w:proofErr w:type="gramStart"/>
            <w:r>
              <w:rPr>
                <w:color w:val="000000"/>
                <w:sz w:val="24"/>
              </w:rPr>
              <w:t>际华</w:t>
            </w:r>
            <w:proofErr w:type="gramEnd"/>
            <w:r>
              <w:rPr>
                <w:color w:val="000000"/>
                <w:sz w:val="24"/>
              </w:rPr>
              <w:t>03</w:t>
            </w:r>
          </w:p>
        </w:tc>
        <w:tc>
          <w:tcPr>
            <w:tcW w:w="1763" w:type="dxa"/>
            <w:vAlign w:val="center"/>
          </w:tcPr>
          <w:p w:rsidR="00644057" w:rsidRDefault="00A20092">
            <w:pPr>
              <w:jc w:val="right"/>
            </w:pPr>
            <w:r>
              <w:rPr>
                <w:color w:val="000000"/>
                <w:sz w:val="24"/>
              </w:rPr>
              <w:t>300,000</w:t>
            </w:r>
          </w:p>
        </w:tc>
        <w:tc>
          <w:tcPr>
            <w:tcW w:w="1843" w:type="dxa"/>
            <w:vAlign w:val="center"/>
          </w:tcPr>
          <w:p w:rsidR="00644057" w:rsidRDefault="00A20092">
            <w:pPr>
              <w:jc w:val="right"/>
            </w:pPr>
            <w:r>
              <w:rPr>
                <w:color w:val="000000"/>
                <w:sz w:val="24"/>
              </w:rPr>
              <w:t>30,294,000.00</w:t>
            </w:r>
          </w:p>
        </w:tc>
        <w:tc>
          <w:tcPr>
            <w:tcW w:w="1493" w:type="dxa"/>
            <w:vAlign w:val="center"/>
          </w:tcPr>
          <w:p w:rsidR="00644057" w:rsidRDefault="00A20092">
            <w:pPr>
              <w:jc w:val="right"/>
            </w:pPr>
            <w:r>
              <w:rPr>
                <w:color w:val="000000"/>
                <w:sz w:val="24"/>
              </w:rPr>
              <w:t>8.37</w:t>
            </w:r>
          </w:p>
        </w:tc>
      </w:tr>
      <w:tr w:rsidR="00644057">
        <w:trPr>
          <w:jc w:val="center"/>
        </w:trPr>
        <w:tc>
          <w:tcPr>
            <w:tcW w:w="788" w:type="dxa"/>
            <w:vAlign w:val="center"/>
          </w:tcPr>
          <w:p w:rsidR="00644057" w:rsidRDefault="00A20092">
            <w:pPr>
              <w:jc w:val="center"/>
            </w:pPr>
            <w:r>
              <w:rPr>
                <w:color w:val="000000"/>
                <w:sz w:val="24"/>
              </w:rPr>
              <w:t>5</w:t>
            </w:r>
          </w:p>
        </w:tc>
        <w:tc>
          <w:tcPr>
            <w:tcW w:w="1774" w:type="dxa"/>
            <w:vAlign w:val="center"/>
          </w:tcPr>
          <w:p w:rsidR="00644057" w:rsidRDefault="00A20092">
            <w:pPr>
              <w:jc w:val="center"/>
            </w:pPr>
            <w:r>
              <w:rPr>
                <w:color w:val="000000"/>
                <w:sz w:val="24"/>
              </w:rPr>
              <w:t>101560059</w:t>
            </w:r>
          </w:p>
        </w:tc>
        <w:tc>
          <w:tcPr>
            <w:tcW w:w="1282" w:type="dxa"/>
            <w:vAlign w:val="center"/>
          </w:tcPr>
          <w:p w:rsidR="00644057" w:rsidRDefault="00A20092">
            <w:pPr>
              <w:jc w:val="center"/>
            </w:pPr>
            <w:r>
              <w:rPr>
                <w:color w:val="000000"/>
                <w:sz w:val="24"/>
              </w:rPr>
              <w:t>15</w:t>
            </w:r>
            <w:r>
              <w:rPr>
                <w:color w:val="000000"/>
                <w:sz w:val="24"/>
              </w:rPr>
              <w:t>盐城城南</w:t>
            </w:r>
            <w:r>
              <w:rPr>
                <w:color w:val="000000"/>
                <w:sz w:val="24"/>
              </w:rPr>
              <w:t>MTN001</w:t>
            </w:r>
          </w:p>
        </w:tc>
        <w:tc>
          <w:tcPr>
            <w:tcW w:w="1763" w:type="dxa"/>
            <w:vAlign w:val="center"/>
          </w:tcPr>
          <w:p w:rsidR="00644057" w:rsidRDefault="00A20092">
            <w:pPr>
              <w:jc w:val="right"/>
            </w:pPr>
            <w:r>
              <w:rPr>
                <w:color w:val="000000"/>
                <w:sz w:val="24"/>
              </w:rPr>
              <w:t>300,000</w:t>
            </w:r>
          </w:p>
        </w:tc>
        <w:tc>
          <w:tcPr>
            <w:tcW w:w="1843" w:type="dxa"/>
            <w:vAlign w:val="center"/>
          </w:tcPr>
          <w:p w:rsidR="00644057" w:rsidRDefault="00A20092">
            <w:pPr>
              <w:jc w:val="right"/>
            </w:pPr>
            <w:r>
              <w:rPr>
                <w:color w:val="000000"/>
                <w:sz w:val="24"/>
              </w:rPr>
              <w:t>30,291,000.00</w:t>
            </w:r>
          </w:p>
        </w:tc>
        <w:tc>
          <w:tcPr>
            <w:tcW w:w="1493" w:type="dxa"/>
            <w:vAlign w:val="center"/>
          </w:tcPr>
          <w:p w:rsidR="00644057" w:rsidRDefault="00A20092">
            <w:pPr>
              <w:jc w:val="right"/>
            </w:pPr>
            <w:r>
              <w:rPr>
                <w:color w:val="000000"/>
                <w:sz w:val="24"/>
              </w:rPr>
              <w:t>8.37</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92955" w:rsidRDefault="001A59F9" w:rsidP="00292955">
      <w:pPr>
        <w:pStyle w:val="20"/>
        <w:spacing w:before="29" w:after="0" w:line="288" w:lineRule="auto"/>
        <w:rPr>
          <w:rFonts w:ascii="Times New Roman" w:hAnsi="Times New Roman"/>
          <w:kern w:val="0"/>
          <w:szCs w:val="24"/>
        </w:rPr>
      </w:pPr>
      <w:bookmarkStart w:id="239" w:name="_Toc361324885"/>
      <w:bookmarkStart w:id="240" w:name="_Toc35966310"/>
      <w:r w:rsidRPr="00292955">
        <w:rPr>
          <w:rFonts w:ascii="Times New Roman" w:hAnsi="Times New Roman"/>
          <w:kern w:val="0"/>
          <w:szCs w:val="24"/>
        </w:rPr>
        <w:t>8.7</w:t>
      </w:r>
      <w:r w:rsidRPr="00292955">
        <w:rPr>
          <w:rFonts w:ascii="Times New Roman" w:hAnsi="Times New Roman" w:hint="eastAsia"/>
          <w:kern w:val="0"/>
          <w:szCs w:val="24"/>
        </w:rPr>
        <w:t>期末按公允价值占基金资产净值比例大小</w:t>
      </w:r>
      <w:r w:rsidR="009819C9" w:rsidRPr="00292955">
        <w:rPr>
          <w:rFonts w:ascii="Times New Roman" w:hAnsi="Times New Roman" w:hint="eastAsia"/>
          <w:kern w:val="0"/>
          <w:szCs w:val="24"/>
        </w:rPr>
        <w:t>排序</w:t>
      </w:r>
      <w:r w:rsidRPr="00292955">
        <w:rPr>
          <w:rFonts w:ascii="Times New Roman" w:hAnsi="Times New Roman" w:hint="eastAsia"/>
          <w:kern w:val="0"/>
          <w:szCs w:val="24"/>
        </w:rPr>
        <w:t>的所有资产支持证券投资明细</w:t>
      </w:r>
      <w:bookmarkEnd w:id="239"/>
      <w:bookmarkEnd w:id="240"/>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292955" w:rsidRDefault="001B3C1C" w:rsidP="00292955">
      <w:pPr>
        <w:pStyle w:val="20"/>
        <w:spacing w:before="29" w:after="0" w:line="288" w:lineRule="auto"/>
        <w:rPr>
          <w:rFonts w:ascii="Times New Roman" w:hAnsi="Times New Roman"/>
          <w:kern w:val="0"/>
          <w:szCs w:val="24"/>
        </w:rPr>
      </w:pPr>
      <w:bookmarkStart w:id="241" w:name="_Toc35966311"/>
      <w:r w:rsidRPr="00292955">
        <w:rPr>
          <w:rFonts w:ascii="Times New Roman" w:hAnsi="Times New Roman"/>
          <w:kern w:val="0"/>
          <w:szCs w:val="24"/>
        </w:rPr>
        <w:t>8.8</w:t>
      </w:r>
      <w:r w:rsidRPr="00292955">
        <w:rPr>
          <w:rFonts w:ascii="Times New Roman" w:hAnsi="Times New Roman" w:hint="eastAsia"/>
          <w:kern w:val="0"/>
          <w:szCs w:val="24"/>
        </w:rPr>
        <w:t>报告期末按公允价值占基金资产净值比例大小排序的前五名贵金属投资明细</w:t>
      </w:r>
      <w:bookmarkEnd w:id="241"/>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92955" w:rsidRDefault="001A59F9" w:rsidP="00292955">
      <w:pPr>
        <w:pStyle w:val="20"/>
        <w:spacing w:before="29" w:after="0" w:line="288" w:lineRule="auto"/>
        <w:rPr>
          <w:rFonts w:ascii="Times New Roman" w:hAnsi="Times New Roman"/>
          <w:kern w:val="0"/>
          <w:szCs w:val="24"/>
        </w:rPr>
      </w:pPr>
      <w:bookmarkStart w:id="242" w:name="_Toc361324886"/>
      <w:bookmarkStart w:id="243" w:name="_Toc35966312"/>
      <w:r w:rsidRPr="00292955">
        <w:rPr>
          <w:rFonts w:ascii="Times New Roman" w:hAnsi="Times New Roman"/>
          <w:kern w:val="0"/>
          <w:szCs w:val="24"/>
        </w:rPr>
        <w:t>8.9</w:t>
      </w:r>
      <w:r w:rsidRPr="00292955">
        <w:rPr>
          <w:rFonts w:ascii="Times New Roman" w:hAnsi="Times New Roman" w:hint="eastAsia"/>
          <w:kern w:val="0"/>
          <w:szCs w:val="24"/>
        </w:rPr>
        <w:t>期末按公允价值占基金资产净值比例大小排</w:t>
      </w:r>
      <w:r w:rsidR="00A63E24" w:rsidRPr="00292955">
        <w:rPr>
          <w:rFonts w:ascii="Times New Roman" w:hAnsi="Times New Roman" w:hint="eastAsia"/>
          <w:kern w:val="0"/>
          <w:szCs w:val="24"/>
        </w:rPr>
        <w:t>序</w:t>
      </w:r>
      <w:r w:rsidRPr="00292955">
        <w:rPr>
          <w:rFonts w:ascii="Times New Roman" w:hAnsi="Times New Roman" w:hint="eastAsia"/>
          <w:kern w:val="0"/>
          <w:szCs w:val="24"/>
        </w:rPr>
        <w:t>的前五名权证投资明细</w:t>
      </w:r>
      <w:bookmarkEnd w:id="242"/>
      <w:bookmarkEnd w:id="243"/>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292955" w:rsidRDefault="005D072B" w:rsidP="00292955">
      <w:pPr>
        <w:pStyle w:val="20"/>
        <w:spacing w:before="29" w:after="0" w:line="288" w:lineRule="auto"/>
        <w:rPr>
          <w:rFonts w:ascii="Times New Roman" w:hAnsi="Times New Roman"/>
          <w:kern w:val="0"/>
          <w:szCs w:val="24"/>
        </w:rPr>
      </w:pPr>
      <w:bookmarkStart w:id="244" w:name="_Toc35966313"/>
      <w:r w:rsidRPr="00292955">
        <w:rPr>
          <w:rFonts w:ascii="Times New Roman" w:hAnsi="Times New Roman" w:hint="eastAsia"/>
          <w:kern w:val="0"/>
          <w:szCs w:val="24"/>
        </w:rPr>
        <w:t xml:space="preserve">8.10 </w:t>
      </w:r>
      <w:r w:rsidRPr="00292955">
        <w:rPr>
          <w:rFonts w:ascii="Times New Roman" w:hAnsi="Times New Roman" w:hint="eastAsia"/>
          <w:kern w:val="0"/>
          <w:szCs w:val="24"/>
        </w:rPr>
        <w:t>报告期末本基金投资的股指期货交易情况说明</w:t>
      </w:r>
      <w:bookmarkEnd w:id="244"/>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292955" w:rsidRDefault="00FF26CE" w:rsidP="00292955">
      <w:pPr>
        <w:pStyle w:val="20"/>
        <w:spacing w:before="29" w:after="0" w:line="288" w:lineRule="auto"/>
        <w:rPr>
          <w:rFonts w:ascii="Times New Roman" w:hAnsi="Times New Roman"/>
          <w:kern w:val="0"/>
          <w:szCs w:val="24"/>
        </w:rPr>
      </w:pPr>
      <w:bookmarkStart w:id="245" w:name="_Toc35966314"/>
      <w:r w:rsidRPr="00292955">
        <w:rPr>
          <w:rFonts w:ascii="Times New Roman" w:hAnsi="Times New Roman" w:hint="eastAsia"/>
          <w:kern w:val="0"/>
          <w:szCs w:val="24"/>
        </w:rPr>
        <w:t>8.11</w:t>
      </w:r>
      <w:r w:rsidRPr="00292955">
        <w:rPr>
          <w:rFonts w:ascii="Times New Roman" w:hAnsi="Times New Roman" w:hint="eastAsia"/>
          <w:kern w:val="0"/>
          <w:szCs w:val="24"/>
        </w:rPr>
        <w:t>报告期末本基金投资的国债期货交易情况说明</w:t>
      </w:r>
      <w:bookmarkEnd w:id="245"/>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292955" w:rsidRDefault="001A59F9" w:rsidP="00292955">
      <w:pPr>
        <w:pStyle w:val="20"/>
        <w:spacing w:before="29" w:after="0" w:line="288" w:lineRule="auto"/>
        <w:rPr>
          <w:rFonts w:ascii="Times New Roman" w:hAnsi="Times New Roman"/>
          <w:kern w:val="0"/>
          <w:szCs w:val="24"/>
        </w:rPr>
      </w:pPr>
      <w:bookmarkStart w:id="246" w:name="_Toc361324887"/>
      <w:bookmarkStart w:id="247" w:name="_Toc35966315"/>
      <w:r w:rsidRPr="00292955">
        <w:rPr>
          <w:rFonts w:ascii="Times New Roman" w:hAnsi="Times New Roman"/>
          <w:kern w:val="0"/>
          <w:szCs w:val="24"/>
        </w:rPr>
        <w:t xml:space="preserve">8.12 </w:t>
      </w:r>
      <w:r w:rsidRPr="00292955">
        <w:rPr>
          <w:rFonts w:ascii="Times New Roman" w:hAnsi="Times New Roman" w:hint="eastAsia"/>
          <w:kern w:val="0"/>
          <w:szCs w:val="24"/>
        </w:rPr>
        <w:t>投资组合报告附注</w:t>
      </w:r>
      <w:bookmarkEnd w:id="246"/>
      <w:bookmarkEnd w:id="247"/>
    </w:p>
    <w:p w:rsidR="001A59F9"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292955" w:rsidRPr="003E532D" w:rsidRDefault="00292955" w:rsidP="003E532D">
      <w:pPr>
        <w:spacing w:before="29" w:line="288" w:lineRule="auto"/>
        <w:rPr>
          <w:kern w:val="0"/>
          <w:sz w:val="24"/>
        </w:rPr>
      </w:pPr>
    </w:p>
    <w:p w:rsid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292955" w:rsidRPr="003E532D" w:rsidRDefault="00292955" w:rsidP="003E532D">
      <w:pPr>
        <w:spacing w:before="29" w:line="288" w:lineRule="auto"/>
        <w:rPr>
          <w:kern w:val="0"/>
          <w:sz w:val="24"/>
        </w:rPr>
      </w:pPr>
    </w:p>
    <w:p w:rsidR="001A59F9" w:rsidRPr="00292955" w:rsidRDefault="001A59F9" w:rsidP="00292955">
      <w:pPr>
        <w:pStyle w:val="20"/>
        <w:spacing w:before="29" w:after="0" w:line="288" w:lineRule="auto"/>
        <w:rPr>
          <w:rFonts w:ascii="Times New Roman" w:hAnsi="Times New Roman"/>
          <w:kern w:val="0"/>
          <w:szCs w:val="24"/>
        </w:rPr>
      </w:pPr>
      <w:bookmarkStart w:id="248" w:name="_Toc35966316"/>
      <w:r w:rsidRPr="00292955">
        <w:rPr>
          <w:rFonts w:ascii="Times New Roman" w:hAnsi="Times New Roman"/>
          <w:kern w:val="0"/>
          <w:szCs w:val="24"/>
        </w:rPr>
        <w:t>8.12.3</w:t>
      </w:r>
      <w:r w:rsidRPr="00292955">
        <w:rPr>
          <w:rFonts w:ascii="Times New Roman" w:hAnsi="Times New Roman" w:hint="eastAsia"/>
          <w:kern w:val="0"/>
          <w:szCs w:val="24"/>
        </w:rPr>
        <w:t>期末其他各项资产构成</w:t>
      </w:r>
      <w:bookmarkEnd w:id="248"/>
    </w:p>
    <w:p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12,445,356.45</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12,445,356.45</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92955" w:rsidRDefault="001A59F9" w:rsidP="00292955">
      <w:pPr>
        <w:pStyle w:val="20"/>
        <w:spacing w:before="29" w:after="0" w:line="288" w:lineRule="auto"/>
        <w:rPr>
          <w:rFonts w:ascii="Times New Roman" w:hAnsi="Times New Roman"/>
          <w:kern w:val="0"/>
          <w:szCs w:val="24"/>
        </w:rPr>
      </w:pPr>
      <w:bookmarkStart w:id="249" w:name="_Toc35966317"/>
      <w:r w:rsidRPr="00292955">
        <w:rPr>
          <w:rFonts w:ascii="Times New Roman" w:hAnsi="Times New Roman"/>
          <w:kern w:val="0"/>
          <w:szCs w:val="24"/>
        </w:rPr>
        <w:t>8.12.4</w:t>
      </w:r>
      <w:r w:rsidRPr="00292955">
        <w:rPr>
          <w:rFonts w:ascii="Times New Roman" w:hAnsi="Times New Roman" w:hint="eastAsia"/>
          <w:kern w:val="0"/>
          <w:szCs w:val="24"/>
        </w:rPr>
        <w:t>期末持有的处于转股期的可转换债券明细</w:t>
      </w:r>
      <w:bookmarkEnd w:id="249"/>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92955" w:rsidRDefault="001A59F9" w:rsidP="00292955">
      <w:pPr>
        <w:pStyle w:val="20"/>
        <w:spacing w:before="29" w:after="0" w:line="288" w:lineRule="auto"/>
        <w:rPr>
          <w:rFonts w:ascii="Times New Roman" w:hAnsi="Times New Roman"/>
          <w:kern w:val="0"/>
          <w:szCs w:val="24"/>
        </w:rPr>
      </w:pPr>
      <w:bookmarkStart w:id="250" w:name="_Toc35966318"/>
      <w:r w:rsidRPr="00292955">
        <w:rPr>
          <w:rFonts w:ascii="Times New Roman" w:hAnsi="Times New Roman"/>
          <w:kern w:val="0"/>
          <w:szCs w:val="24"/>
        </w:rPr>
        <w:t>8.12.5</w:t>
      </w:r>
      <w:proofErr w:type="gramStart"/>
      <w:r w:rsidRPr="00292955">
        <w:rPr>
          <w:rFonts w:ascii="Times New Roman" w:hAnsi="Times New Roman" w:hint="eastAsia"/>
          <w:kern w:val="0"/>
          <w:szCs w:val="24"/>
        </w:rPr>
        <w:t>期末前</w:t>
      </w:r>
      <w:proofErr w:type="gramEnd"/>
      <w:r w:rsidRPr="00292955">
        <w:rPr>
          <w:rFonts w:ascii="Times New Roman" w:hAnsi="Times New Roman" w:hint="eastAsia"/>
          <w:kern w:val="0"/>
          <w:szCs w:val="24"/>
        </w:rPr>
        <w:t>十名股票中存在流通受限情况的说明</w:t>
      </w:r>
      <w:bookmarkEnd w:id="250"/>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92955" w:rsidRDefault="001A59F9" w:rsidP="00292955">
      <w:pPr>
        <w:pStyle w:val="20"/>
        <w:spacing w:before="29" w:after="0" w:line="288" w:lineRule="auto"/>
        <w:rPr>
          <w:rFonts w:ascii="Times New Roman" w:hAnsi="Times New Roman"/>
          <w:kern w:val="0"/>
          <w:szCs w:val="24"/>
        </w:rPr>
      </w:pPr>
      <w:bookmarkStart w:id="251" w:name="_Toc35966319"/>
      <w:r w:rsidRPr="00292955">
        <w:rPr>
          <w:rFonts w:ascii="Times New Roman" w:hAnsi="Times New Roman"/>
          <w:kern w:val="0"/>
          <w:szCs w:val="24"/>
        </w:rPr>
        <w:t>8.12.6</w:t>
      </w:r>
      <w:r w:rsidRPr="00292955">
        <w:rPr>
          <w:rFonts w:ascii="Times New Roman" w:hAnsi="Times New Roman" w:hint="eastAsia"/>
          <w:kern w:val="0"/>
          <w:szCs w:val="24"/>
        </w:rPr>
        <w:t>投资组合报告附注的其他文字描述部分</w:t>
      </w:r>
      <w:bookmarkEnd w:id="251"/>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52" w:name="_Toc225500050"/>
      <w:bookmarkStart w:id="253" w:name="_Toc361324888"/>
      <w:bookmarkStart w:id="254" w:name="_Toc35966320"/>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252"/>
      <w:bookmarkEnd w:id="253"/>
      <w:bookmarkEnd w:id="254"/>
    </w:p>
    <w:p w:rsidR="001A59F9" w:rsidRPr="00292955" w:rsidRDefault="001A59F9" w:rsidP="00292955">
      <w:pPr>
        <w:pStyle w:val="20"/>
        <w:spacing w:before="29" w:after="0" w:line="288" w:lineRule="auto"/>
        <w:rPr>
          <w:rFonts w:ascii="Times New Roman" w:hAnsi="Times New Roman"/>
          <w:kern w:val="0"/>
          <w:szCs w:val="24"/>
        </w:rPr>
      </w:pPr>
      <w:bookmarkStart w:id="255" w:name="_Toc225500051"/>
      <w:bookmarkStart w:id="256" w:name="_Toc361324889"/>
      <w:bookmarkStart w:id="257" w:name="_Toc35966321"/>
      <w:r w:rsidRPr="00292955">
        <w:rPr>
          <w:rFonts w:ascii="Times New Roman" w:hAnsi="Times New Roman"/>
          <w:kern w:val="0"/>
          <w:szCs w:val="24"/>
        </w:rPr>
        <w:t xml:space="preserve">9.1 </w:t>
      </w:r>
      <w:r w:rsidRPr="00292955">
        <w:rPr>
          <w:rFonts w:ascii="Times New Roman" w:hAnsi="Times New Roman" w:hint="eastAsia"/>
          <w:kern w:val="0"/>
          <w:szCs w:val="24"/>
        </w:rPr>
        <w:t>期末基金份额持有人户数及持有人结构</w:t>
      </w:r>
      <w:bookmarkEnd w:id="255"/>
      <w:bookmarkEnd w:id="256"/>
      <w:bookmarkEnd w:id="257"/>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w:t>
            </w:r>
            <w:proofErr w:type="gramStart"/>
            <w:r w:rsidRPr="00E90C3B">
              <w:rPr>
                <w:rFonts w:hint="eastAsia"/>
                <w:color w:val="000000"/>
                <w:szCs w:val="21"/>
              </w:rPr>
              <w:t>人结构</w:t>
            </w:r>
            <w:proofErr w:type="gramEnd"/>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交银丰晟收益债券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3,398</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97,355.28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330,813,244.80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交银丰晟收益债券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40</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19,416.59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776,663.43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3,438</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96,448.49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331,589,908.23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292955" w:rsidRDefault="001A59F9" w:rsidP="00292955">
      <w:pPr>
        <w:pStyle w:val="20"/>
        <w:spacing w:before="29" w:after="0" w:line="288" w:lineRule="auto"/>
        <w:rPr>
          <w:rFonts w:ascii="Times New Roman" w:hAnsi="Times New Roman"/>
          <w:kern w:val="0"/>
          <w:szCs w:val="24"/>
        </w:rPr>
      </w:pPr>
      <w:bookmarkStart w:id="258" w:name="_Toc361324891"/>
      <w:bookmarkStart w:id="259" w:name="_Toc35966322"/>
      <w:r w:rsidRPr="00292955">
        <w:rPr>
          <w:rFonts w:ascii="Times New Roman" w:hAnsi="Times New Roman"/>
          <w:kern w:val="0"/>
          <w:szCs w:val="24"/>
        </w:rPr>
        <w:t>9.2</w:t>
      </w:r>
      <w:r w:rsidRPr="00292955">
        <w:rPr>
          <w:rFonts w:ascii="Times New Roman" w:hAnsi="Times New Roman" w:hint="eastAsia"/>
          <w:kern w:val="0"/>
          <w:szCs w:val="24"/>
        </w:rPr>
        <w:t>期末基金管理人的从业人员持有本基金的情况</w:t>
      </w:r>
      <w:bookmarkEnd w:id="258"/>
      <w:bookmarkEnd w:id="25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交银丰晟收益债券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19.76</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交银丰晟收益债券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19.76</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292955" w:rsidRDefault="001C1C7F" w:rsidP="00292955">
      <w:pPr>
        <w:pStyle w:val="20"/>
        <w:spacing w:before="29" w:after="0" w:line="288" w:lineRule="auto"/>
        <w:rPr>
          <w:rFonts w:ascii="Times New Roman" w:hAnsi="Times New Roman"/>
          <w:kern w:val="0"/>
          <w:szCs w:val="24"/>
        </w:rPr>
      </w:pPr>
      <w:bookmarkStart w:id="260" w:name="_Toc35966323"/>
      <w:r w:rsidRPr="00292955">
        <w:rPr>
          <w:rFonts w:ascii="Times New Roman" w:hAnsi="Times New Roman"/>
          <w:kern w:val="0"/>
          <w:szCs w:val="24"/>
        </w:rPr>
        <w:t>9.3</w:t>
      </w:r>
      <w:r w:rsidRPr="00292955">
        <w:rPr>
          <w:rFonts w:ascii="Times New Roman" w:hAnsi="Times New Roman" w:hint="eastAsia"/>
          <w:kern w:val="0"/>
          <w:szCs w:val="24"/>
        </w:rPr>
        <w:t>期末基金管理人的从业人员持有本开放式基金份额总量区间的情况</w:t>
      </w:r>
      <w:bookmarkEnd w:id="260"/>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交银丰晟收益债券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交银丰晟收益债券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w:t>
            </w:r>
            <w:proofErr w:type="gramStart"/>
            <w:r w:rsidRPr="008D5FF3">
              <w:rPr>
                <w:rFonts w:hint="eastAsia"/>
                <w:color w:val="000000"/>
                <w:sz w:val="24"/>
              </w:rPr>
              <w:t>基金基金</w:t>
            </w:r>
            <w:proofErr w:type="gramEnd"/>
            <w:r w:rsidRPr="008D5FF3">
              <w:rPr>
                <w:rFonts w:hint="eastAsia"/>
                <w:color w:val="000000"/>
                <w:sz w:val="24"/>
              </w:rPr>
              <w:t>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交银丰晟收益债券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交银丰晟收益债券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61" w:name="_Toc225500053"/>
      <w:bookmarkStart w:id="262" w:name="_Toc361324892"/>
      <w:bookmarkStart w:id="263" w:name="_Toc35966324"/>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261"/>
      <w:bookmarkEnd w:id="262"/>
      <w:bookmarkEnd w:id="263"/>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交银丰晟收益债券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交银丰晟收益债券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2018</w:t>
            </w:r>
            <w:r w:rsidR="00146153" w:rsidRPr="00133414">
              <w:rPr>
                <w:sz w:val="24"/>
              </w:rPr>
              <w:t>年</w:t>
            </w:r>
            <w:r w:rsidR="00146153" w:rsidRPr="00133414">
              <w:rPr>
                <w:sz w:val="24"/>
              </w:rPr>
              <w:t>5</w:t>
            </w:r>
            <w:r w:rsidR="00146153" w:rsidRPr="00133414">
              <w:rPr>
                <w:sz w:val="24"/>
              </w:rPr>
              <w:t>月</w:t>
            </w:r>
            <w:r w:rsidR="00146153" w:rsidRPr="00133414">
              <w:rPr>
                <w:sz w:val="24"/>
              </w:rPr>
              <w:t>23</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330,813,244.80</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776,663.43</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w:t>
            </w:r>
            <w:proofErr w:type="gramStart"/>
            <w:r w:rsidRPr="00133414">
              <w:rPr>
                <w:rFonts w:hint="eastAsia"/>
                <w:sz w:val="24"/>
              </w:rPr>
              <w:t>初基金</w:t>
            </w:r>
            <w:proofErr w:type="gramEnd"/>
            <w:r w:rsidRPr="00133414">
              <w:rPr>
                <w:rFonts w:hint="eastAsia"/>
                <w:sz w:val="24"/>
              </w:rPr>
              <w:t>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330,813,244.80</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776,663.43</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w:t>
            </w:r>
            <w:proofErr w:type="gramStart"/>
            <w:r w:rsidRPr="00133414">
              <w:rPr>
                <w:sz w:val="24"/>
              </w:rPr>
              <w:t>期</w:t>
            </w:r>
            <w:r w:rsidRPr="00133414">
              <w:rPr>
                <w:rFonts w:hint="eastAsia"/>
                <w:sz w:val="24"/>
              </w:rPr>
              <w:t>基金</w:t>
            </w:r>
            <w:proofErr w:type="gramEnd"/>
            <w:r w:rsidRPr="00133414">
              <w:rPr>
                <w:rFonts w:hint="eastAsia"/>
                <w:sz w:val="24"/>
              </w:rPr>
              <w:t>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330,813,244.80</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776,663.43</w:t>
            </w:r>
          </w:p>
        </w:tc>
      </w:tr>
    </w:tbl>
    <w:p w:rsidR="00644057" w:rsidRDefault="00A2009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64" w:name="_Toc225500054"/>
      <w:bookmarkStart w:id="265" w:name="_Toc361324893"/>
      <w:bookmarkStart w:id="266" w:name="_Toc35966325"/>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264"/>
      <w:bookmarkEnd w:id="265"/>
      <w:bookmarkEnd w:id="266"/>
    </w:p>
    <w:p w:rsidR="00DB6EA0" w:rsidRPr="00DB6EA0" w:rsidRDefault="00DB6EA0" w:rsidP="00DB6EA0"/>
    <w:p w:rsidR="001A59F9" w:rsidRPr="00292955" w:rsidRDefault="001A59F9" w:rsidP="00292955">
      <w:pPr>
        <w:pStyle w:val="20"/>
        <w:spacing w:before="29" w:after="0" w:line="288" w:lineRule="auto"/>
        <w:rPr>
          <w:rFonts w:ascii="Times New Roman" w:hAnsi="Times New Roman"/>
          <w:kern w:val="0"/>
          <w:szCs w:val="24"/>
        </w:rPr>
      </w:pPr>
      <w:bookmarkStart w:id="267" w:name="_Toc361324894"/>
      <w:bookmarkStart w:id="268" w:name="_Toc35966326"/>
      <w:r w:rsidRPr="00292955">
        <w:rPr>
          <w:rFonts w:ascii="Times New Roman" w:hAnsi="Times New Roman"/>
          <w:kern w:val="0"/>
          <w:szCs w:val="24"/>
        </w:rPr>
        <w:t>11.1</w:t>
      </w:r>
      <w:r w:rsidRPr="00292955">
        <w:rPr>
          <w:rFonts w:ascii="Times New Roman" w:hAnsi="Times New Roman" w:hint="eastAsia"/>
          <w:kern w:val="0"/>
          <w:szCs w:val="24"/>
        </w:rPr>
        <w:t>基金份额持有人大会决议</w:t>
      </w:r>
      <w:bookmarkEnd w:id="267"/>
      <w:bookmarkEnd w:id="268"/>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292955" w:rsidRDefault="001A59F9" w:rsidP="00292955">
      <w:pPr>
        <w:pStyle w:val="20"/>
        <w:spacing w:before="29" w:after="0" w:line="288" w:lineRule="auto"/>
        <w:rPr>
          <w:rFonts w:ascii="Times New Roman" w:hAnsi="Times New Roman"/>
          <w:kern w:val="0"/>
          <w:szCs w:val="24"/>
        </w:rPr>
      </w:pPr>
      <w:bookmarkStart w:id="269" w:name="_Toc361324895"/>
      <w:bookmarkStart w:id="270" w:name="_Toc35966327"/>
      <w:r w:rsidRPr="00292955">
        <w:rPr>
          <w:rFonts w:ascii="Times New Roman" w:hAnsi="Times New Roman"/>
          <w:kern w:val="0"/>
          <w:szCs w:val="24"/>
        </w:rPr>
        <w:t xml:space="preserve">11.2 </w:t>
      </w:r>
      <w:r w:rsidRPr="00292955">
        <w:rPr>
          <w:rFonts w:ascii="Times New Roman" w:hAnsi="Times New Roman" w:hint="eastAsia"/>
          <w:kern w:val="0"/>
          <w:szCs w:val="24"/>
        </w:rPr>
        <w:t>基金管理人、基金托管人的专门基金托管部门的重大人事变动</w:t>
      </w:r>
      <w:bookmarkEnd w:id="269"/>
      <w:bookmarkEnd w:id="270"/>
    </w:p>
    <w:p w:rsidR="00644057" w:rsidRDefault="00A20092">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、基金托管人的基金托管部门的重大人事变动：自</w:t>
      </w:r>
      <w:r w:rsidRPr="00E87573">
        <w:rPr>
          <w:kern w:val="0"/>
          <w:sz w:val="24"/>
        </w:rPr>
        <w:t>2019</w:t>
      </w:r>
      <w:r w:rsidRPr="00E87573">
        <w:rPr>
          <w:kern w:val="0"/>
          <w:sz w:val="24"/>
        </w:rPr>
        <w:t>年</w:t>
      </w:r>
      <w:r w:rsidRPr="00E87573">
        <w:rPr>
          <w:kern w:val="0"/>
          <w:sz w:val="24"/>
        </w:rPr>
        <w:t>12</w:t>
      </w:r>
      <w:r w:rsidRPr="00E87573">
        <w:rPr>
          <w:kern w:val="0"/>
          <w:sz w:val="24"/>
        </w:rPr>
        <w:t>月</w:t>
      </w:r>
      <w:r w:rsidRPr="00E87573">
        <w:rPr>
          <w:kern w:val="0"/>
          <w:sz w:val="24"/>
        </w:rPr>
        <w:t>18</w:t>
      </w:r>
      <w:r w:rsidRPr="00E87573">
        <w:rPr>
          <w:kern w:val="0"/>
          <w:sz w:val="24"/>
        </w:rPr>
        <w:t>日起，姜然女士不再担任招商银行股份有限公司总行资产托管部总经理职务。</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292955" w:rsidRDefault="001A59F9" w:rsidP="00292955">
      <w:pPr>
        <w:pStyle w:val="20"/>
        <w:spacing w:before="29" w:after="0" w:line="288" w:lineRule="auto"/>
        <w:rPr>
          <w:rFonts w:ascii="Times New Roman" w:hAnsi="Times New Roman"/>
          <w:kern w:val="0"/>
          <w:szCs w:val="24"/>
        </w:rPr>
      </w:pPr>
      <w:bookmarkStart w:id="271" w:name="_Toc361324896"/>
      <w:bookmarkStart w:id="272" w:name="_Toc35966328"/>
      <w:r w:rsidRPr="00292955">
        <w:rPr>
          <w:rFonts w:ascii="Times New Roman" w:hAnsi="Times New Roman"/>
          <w:kern w:val="0"/>
          <w:szCs w:val="24"/>
        </w:rPr>
        <w:t xml:space="preserve">11.3 </w:t>
      </w:r>
      <w:r w:rsidRPr="00292955">
        <w:rPr>
          <w:rFonts w:ascii="Times New Roman" w:hAnsi="Times New Roman" w:hint="eastAsia"/>
          <w:kern w:val="0"/>
          <w:szCs w:val="24"/>
        </w:rPr>
        <w:t>涉及基金管理人、基金财产、基金托管业务的诉讼</w:t>
      </w:r>
      <w:bookmarkEnd w:id="271"/>
      <w:bookmarkEnd w:id="272"/>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292955" w:rsidRDefault="001A59F9" w:rsidP="00292955">
      <w:pPr>
        <w:pStyle w:val="20"/>
        <w:spacing w:before="29" w:after="0" w:line="288" w:lineRule="auto"/>
        <w:rPr>
          <w:rFonts w:ascii="Times New Roman" w:hAnsi="Times New Roman"/>
          <w:kern w:val="0"/>
          <w:szCs w:val="24"/>
        </w:rPr>
      </w:pPr>
      <w:bookmarkStart w:id="273" w:name="_Toc361324897"/>
      <w:bookmarkStart w:id="274" w:name="_Toc35966329"/>
      <w:r w:rsidRPr="00292955">
        <w:rPr>
          <w:rFonts w:ascii="Times New Roman" w:hAnsi="Times New Roman"/>
          <w:kern w:val="0"/>
          <w:szCs w:val="24"/>
        </w:rPr>
        <w:t xml:space="preserve">11.4 </w:t>
      </w:r>
      <w:r w:rsidRPr="00292955">
        <w:rPr>
          <w:rFonts w:ascii="Times New Roman" w:hAnsi="Times New Roman" w:hint="eastAsia"/>
          <w:kern w:val="0"/>
          <w:szCs w:val="24"/>
        </w:rPr>
        <w:t>基金投资策略的改变</w:t>
      </w:r>
      <w:bookmarkEnd w:id="273"/>
      <w:bookmarkEnd w:id="274"/>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92955" w:rsidRDefault="00C0329C" w:rsidP="00292955">
      <w:pPr>
        <w:pStyle w:val="20"/>
        <w:spacing w:before="29" w:after="0" w:line="288" w:lineRule="auto"/>
        <w:rPr>
          <w:rFonts w:ascii="Times New Roman" w:hAnsi="Times New Roman"/>
          <w:kern w:val="0"/>
          <w:szCs w:val="24"/>
        </w:rPr>
      </w:pPr>
      <w:bookmarkStart w:id="275" w:name="_Toc361324898"/>
      <w:bookmarkStart w:id="276" w:name="_Toc409100466"/>
      <w:bookmarkStart w:id="277" w:name="_Toc409100103"/>
      <w:bookmarkStart w:id="278" w:name="_Toc35966330"/>
      <w:r w:rsidRPr="00292955">
        <w:rPr>
          <w:rFonts w:ascii="Times New Roman" w:hAnsi="Times New Roman"/>
          <w:kern w:val="0"/>
          <w:szCs w:val="24"/>
        </w:rPr>
        <w:t>11.</w:t>
      </w:r>
      <w:bookmarkEnd w:id="275"/>
      <w:r w:rsidR="008825BF" w:rsidRPr="00292955">
        <w:rPr>
          <w:rFonts w:ascii="Times New Roman" w:hAnsi="Times New Roman"/>
          <w:kern w:val="0"/>
          <w:szCs w:val="24"/>
        </w:rPr>
        <w:t>5</w:t>
      </w:r>
      <w:r w:rsidRPr="00292955">
        <w:rPr>
          <w:rFonts w:ascii="Times New Roman" w:hAnsi="Times New Roman"/>
          <w:kern w:val="0"/>
          <w:szCs w:val="24"/>
        </w:rPr>
        <w:t>为基金进行审计的会计师事务所情况</w:t>
      </w:r>
      <w:bookmarkEnd w:id="276"/>
      <w:bookmarkEnd w:id="277"/>
      <w:bookmarkEnd w:id="278"/>
    </w:p>
    <w:p w:rsidR="00C0329C" w:rsidRDefault="00C0329C" w:rsidP="00256071">
      <w:pPr>
        <w:spacing w:line="360" w:lineRule="auto"/>
        <w:ind w:firstLineChars="200" w:firstLine="480"/>
        <w:rPr>
          <w:rFonts w:eastAsiaTheme="minorEastAsia"/>
          <w:color w:val="000000" w:themeColor="text1"/>
          <w:sz w:val="24"/>
        </w:rPr>
      </w:pPr>
      <w:bookmarkStart w:id="279"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，本期审计费用为</w:t>
      </w:r>
      <w:r w:rsidRPr="00256071">
        <w:rPr>
          <w:rFonts w:eastAsiaTheme="minorEastAsia"/>
          <w:color w:val="000000" w:themeColor="text1"/>
          <w:sz w:val="24"/>
        </w:rPr>
        <w:t>60,000.00</w:t>
      </w:r>
      <w:r w:rsidRPr="00256071">
        <w:rPr>
          <w:rFonts w:eastAsiaTheme="minorEastAsia"/>
          <w:color w:val="000000" w:themeColor="text1"/>
          <w:sz w:val="24"/>
        </w:rPr>
        <w:t>元。自本</w:t>
      </w:r>
      <w:proofErr w:type="gramStart"/>
      <w:r w:rsidRPr="00256071">
        <w:rPr>
          <w:rFonts w:eastAsiaTheme="minorEastAsia"/>
          <w:color w:val="000000" w:themeColor="text1"/>
          <w:sz w:val="24"/>
        </w:rPr>
        <w:t>基金基金</w:t>
      </w:r>
      <w:proofErr w:type="gramEnd"/>
      <w:r w:rsidRPr="00256071">
        <w:rPr>
          <w:rFonts w:eastAsiaTheme="minorEastAsia"/>
          <w:color w:val="000000" w:themeColor="text1"/>
          <w:sz w:val="24"/>
        </w:rPr>
        <w:t>合同生效以来，本基金未改聘为其审计的会计师事务所。</w:t>
      </w:r>
    </w:p>
    <w:p w:rsidR="00A34D99" w:rsidRPr="00256071" w:rsidRDefault="00A34D99" w:rsidP="00256071">
      <w:pPr>
        <w:spacing w:line="360" w:lineRule="auto"/>
        <w:ind w:firstLineChars="200" w:firstLine="480"/>
        <w:rPr>
          <w:rFonts w:eastAsiaTheme="minorEastAsia"/>
          <w:color w:val="000000" w:themeColor="text1"/>
          <w:sz w:val="24"/>
        </w:rPr>
      </w:pPr>
    </w:p>
    <w:p w:rsidR="00C0329C" w:rsidRPr="00292955" w:rsidRDefault="00C0329C" w:rsidP="00292955">
      <w:pPr>
        <w:pStyle w:val="20"/>
        <w:spacing w:before="29" w:after="0" w:line="288" w:lineRule="auto"/>
        <w:rPr>
          <w:rFonts w:ascii="Times New Roman" w:hAnsi="Times New Roman"/>
          <w:kern w:val="0"/>
          <w:szCs w:val="24"/>
        </w:rPr>
      </w:pPr>
      <w:bookmarkStart w:id="280" w:name="_Toc409100104"/>
      <w:bookmarkStart w:id="281" w:name="_Toc409100467"/>
      <w:bookmarkStart w:id="282" w:name="_Toc361324899"/>
      <w:bookmarkStart w:id="283" w:name="_Toc35966331"/>
      <w:bookmarkEnd w:id="279"/>
      <w:r w:rsidRPr="00292955">
        <w:rPr>
          <w:rFonts w:ascii="Times New Roman" w:hAnsi="Times New Roman"/>
          <w:kern w:val="0"/>
          <w:szCs w:val="24"/>
        </w:rPr>
        <w:t>11.</w:t>
      </w:r>
      <w:r w:rsidR="008825BF" w:rsidRPr="00292955">
        <w:rPr>
          <w:rFonts w:ascii="Times New Roman" w:hAnsi="Times New Roman"/>
          <w:kern w:val="0"/>
          <w:szCs w:val="24"/>
        </w:rPr>
        <w:t>6</w:t>
      </w:r>
      <w:r w:rsidRPr="00292955">
        <w:rPr>
          <w:rFonts w:ascii="Times New Roman" w:hAnsi="Times New Roman"/>
          <w:kern w:val="0"/>
          <w:szCs w:val="24"/>
        </w:rPr>
        <w:t xml:space="preserve"> </w:t>
      </w:r>
      <w:r w:rsidRPr="00292955">
        <w:rPr>
          <w:rFonts w:ascii="Times New Roman" w:hAnsi="Times New Roman"/>
          <w:kern w:val="0"/>
          <w:szCs w:val="24"/>
        </w:rPr>
        <w:t>管理人、托管人及其高级管理人员受稽查或处罚等情况</w:t>
      </w:r>
      <w:bookmarkEnd w:id="280"/>
      <w:bookmarkEnd w:id="281"/>
      <w:bookmarkEnd w:id="282"/>
      <w:bookmarkEnd w:id="283"/>
    </w:p>
    <w:p w:rsidR="00644057" w:rsidRDefault="00A20092">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644057" w:rsidRDefault="00A20092">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644057" w:rsidRDefault="00A20092">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644057" w:rsidRDefault="00A20092">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A34D99" w:rsidRPr="00256071" w:rsidRDefault="00A34D99" w:rsidP="00256071">
      <w:pPr>
        <w:spacing w:line="360" w:lineRule="auto"/>
        <w:ind w:firstLineChars="200" w:firstLine="480"/>
        <w:rPr>
          <w:rFonts w:eastAsiaTheme="minorEastAsia"/>
          <w:color w:val="000000" w:themeColor="text1"/>
          <w:sz w:val="24"/>
        </w:rPr>
      </w:pPr>
    </w:p>
    <w:p w:rsidR="00C0329C" w:rsidRPr="00292955" w:rsidRDefault="00C0329C" w:rsidP="00292955">
      <w:pPr>
        <w:pStyle w:val="20"/>
        <w:spacing w:before="29" w:after="0" w:line="288" w:lineRule="auto"/>
        <w:rPr>
          <w:rFonts w:ascii="Times New Roman" w:hAnsi="Times New Roman"/>
          <w:kern w:val="0"/>
          <w:szCs w:val="24"/>
        </w:rPr>
      </w:pPr>
      <w:bookmarkStart w:id="284" w:name="_Toc361324900"/>
      <w:bookmarkStart w:id="285" w:name="_Toc409100468"/>
      <w:bookmarkStart w:id="286" w:name="_Toc409100105"/>
      <w:bookmarkStart w:id="287" w:name="_Toc35966332"/>
      <w:r w:rsidRPr="00292955">
        <w:rPr>
          <w:rFonts w:ascii="Times New Roman" w:hAnsi="Times New Roman"/>
          <w:kern w:val="0"/>
          <w:szCs w:val="24"/>
        </w:rPr>
        <w:t>11.</w:t>
      </w:r>
      <w:r w:rsidR="008825BF" w:rsidRPr="00292955">
        <w:rPr>
          <w:rFonts w:ascii="Times New Roman" w:hAnsi="Times New Roman"/>
          <w:kern w:val="0"/>
          <w:szCs w:val="24"/>
        </w:rPr>
        <w:t>7</w:t>
      </w:r>
      <w:r w:rsidRPr="00292955">
        <w:rPr>
          <w:rFonts w:ascii="Times New Roman" w:hAnsi="Times New Roman"/>
          <w:kern w:val="0"/>
          <w:szCs w:val="24"/>
        </w:rPr>
        <w:t xml:space="preserve"> </w:t>
      </w:r>
      <w:r w:rsidRPr="00292955">
        <w:rPr>
          <w:rFonts w:ascii="Times New Roman" w:hAnsi="Times New Roman"/>
          <w:kern w:val="0"/>
          <w:szCs w:val="24"/>
        </w:rPr>
        <w:t>基金租用证券公司交易单元的有关情况</w:t>
      </w:r>
      <w:bookmarkEnd w:id="284"/>
      <w:bookmarkEnd w:id="285"/>
      <w:bookmarkEnd w:id="286"/>
      <w:bookmarkEnd w:id="287"/>
    </w:p>
    <w:p w:rsidR="00C0329C" w:rsidRPr="00292955" w:rsidRDefault="00C0329C" w:rsidP="00292955">
      <w:pPr>
        <w:pStyle w:val="20"/>
        <w:spacing w:before="29" w:after="0" w:line="288" w:lineRule="auto"/>
        <w:rPr>
          <w:rFonts w:ascii="Times New Roman" w:hAnsi="Times New Roman"/>
          <w:kern w:val="0"/>
          <w:szCs w:val="24"/>
        </w:rPr>
      </w:pPr>
      <w:bookmarkStart w:id="288" w:name="_Toc249760070"/>
      <w:bookmarkStart w:id="289" w:name="_Toc35966333"/>
      <w:r w:rsidRPr="00292955">
        <w:rPr>
          <w:rFonts w:ascii="Times New Roman" w:hAnsi="Times New Roman"/>
          <w:kern w:val="0"/>
          <w:szCs w:val="24"/>
        </w:rPr>
        <w:t>11.</w:t>
      </w:r>
      <w:r w:rsidR="008825BF" w:rsidRPr="00292955">
        <w:rPr>
          <w:rFonts w:ascii="Times New Roman" w:hAnsi="Times New Roman"/>
          <w:kern w:val="0"/>
          <w:szCs w:val="24"/>
        </w:rPr>
        <w:t>7</w:t>
      </w:r>
      <w:r w:rsidRPr="00292955">
        <w:rPr>
          <w:rFonts w:ascii="Times New Roman" w:hAnsi="Times New Roman"/>
          <w:kern w:val="0"/>
          <w:szCs w:val="24"/>
        </w:rPr>
        <w:t>.1</w:t>
      </w:r>
      <w:r w:rsidRPr="00292955">
        <w:rPr>
          <w:rFonts w:ascii="Times New Roman" w:hAnsi="Times New Roman"/>
          <w:kern w:val="0"/>
          <w:szCs w:val="24"/>
        </w:rPr>
        <w:t>基金租用证券公司交易单元进行股票投资及佣金支付情况</w:t>
      </w:r>
      <w:bookmarkEnd w:id="288"/>
      <w:bookmarkEnd w:id="289"/>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290"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644057">
        <w:tc>
          <w:tcPr>
            <w:tcW w:w="1560" w:type="dxa"/>
            <w:vAlign w:val="center"/>
          </w:tcPr>
          <w:p w:rsidR="00644057" w:rsidRDefault="00A20092">
            <w:pPr>
              <w:jc w:val="left"/>
            </w:pPr>
            <w:r>
              <w:rPr>
                <w:rFonts w:eastAsiaTheme="minorEastAsia"/>
                <w:color w:val="000000" w:themeColor="text1"/>
                <w:sz w:val="24"/>
              </w:rPr>
              <w:t>中信证券股份有限公司</w:t>
            </w:r>
          </w:p>
        </w:tc>
        <w:tc>
          <w:tcPr>
            <w:tcW w:w="780" w:type="dxa"/>
            <w:vAlign w:val="center"/>
          </w:tcPr>
          <w:p w:rsidR="00644057" w:rsidRDefault="00A20092">
            <w:pPr>
              <w:jc w:val="right"/>
            </w:pPr>
            <w:r>
              <w:rPr>
                <w:rFonts w:eastAsiaTheme="minorEastAsia"/>
                <w:color w:val="000000" w:themeColor="text1"/>
                <w:sz w:val="24"/>
              </w:rPr>
              <w:t>1</w:t>
            </w:r>
          </w:p>
        </w:tc>
        <w:tc>
          <w:tcPr>
            <w:tcW w:w="1800" w:type="dxa"/>
            <w:vAlign w:val="center"/>
          </w:tcPr>
          <w:p w:rsidR="00644057" w:rsidRDefault="00A20092">
            <w:pPr>
              <w:jc w:val="right"/>
            </w:pPr>
            <w:r>
              <w:rPr>
                <w:rFonts w:eastAsiaTheme="minorEastAsia"/>
                <w:color w:val="000000" w:themeColor="text1"/>
                <w:sz w:val="24"/>
              </w:rPr>
              <w:t>-</w:t>
            </w:r>
          </w:p>
        </w:tc>
        <w:tc>
          <w:tcPr>
            <w:tcW w:w="1080" w:type="dxa"/>
            <w:vAlign w:val="center"/>
          </w:tcPr>
          <w:p w:rsidR="00644057" w:rsidRDefault="00A20092">
            <w:pPr>
              <w:jc w:val="right"/>
            </w:pPr>
            <w:r>
              <w:rPr>
                <w:rFonts w:eastAsiaTheme="minorEastAsia"/>
                <w:color w:val="000000" w:themeColor="text1"/>
                <w:sz w:val="24"/>
              </w:rPr>
              <w:t>-</w:t>
            </w:r>
          </w:p>
        </w:tc>
        <w:tc>
          <w:tcPr>
            <w:tcW w:w="1620" w:type="dxa"/>
            <w:vAlign w:val="center"/>
          </w:tcPr>
          <w:p w:rsidR="00644057" w:rsidRDefault="00A20092">
            <w:pPr>
              <w:jc w:val="right"/>
            </w:pPr>
            <w:r>
              <w:rPr>
                <w:rFonts w:eastAsiaTheme="minorEastAsia"/>
                <w:color w:val="000000" w:themeColor="text1"/>
                <w:sz w:val="24"/>
              </w:rPr>
              <w:t>-</w:t>
            </w:r>
          </w:p>
        </w:tc>
        <w:tc>
          <w:tcPr>
            <w:tcW w:w="1080" w:type="dxa"/>
            <w:vAlign w:val="center"/>
          </w:tcPr>
          <w:p w:rsidR="00644057" w:rsidRDefault="00A20092">
            <w:pPr>
              <w:jc w:val="right"/>
            </w:pPr>
            <w:r>
              <w:rPr>
                <w:rFonts w:eastAsiaTheme="minorEastAsia"/>
                <w:color w:val="000000" w:themeColor="text1"/>
                <w:sz w:val="24"/>
              </w:rPr>
              <w:t>-</w:t>
            </w:r>
          </w:p>
        </w:tc>
        <w:tc>
          <w:tcPr>
            <w:tcW w:w="1080" w:type="dxa"/>
            <w:vAlign w:val="center"/>
          </w:tcPr>
          <w:p w:rsidR="00644057" w:rsidRDefault="00A20092">
            <w:pPr>
              <w:jc w:val="left"/>
            </w:pPr>
            <w:r>
              <w:rPr>
                <w:rFonts w:eastAsiaTheme="minorEastAsia"/>
                <w:color w:val="000000" w:themeColor="text1"/>
                <w:sz w:val="24"/>
              </w:rPr>
              <w:t>-</w:t>
            </w:r>
          </w:p>
        </w:tc>
      </w:tr>
      <w:tr w:rsidR="00644057">
        <w:tc>
          <w:tcPr>
            <w:tcW w:w="1560" w:type="dxa"/>
            <w:vAlign w:val="center"/>
          </w:tcPr>
          <w:p w:rsidR="00644057" w:rsidRDefault="00A20092">
            <w:pPr>
              <w:jc w:val="left"/>
            </w:pPr>
            <w:r>
              <w:rPr>
                <w:rFonts w:eastAsiaTheme="minorEastAsia"/>
                <w:color w:val="000000" w:themeColor="text1"/>
                <w:sz w:val="24"/>
              </w:rPr>
              <w:t>国盛证券有限责任公司</w:t>
            </w:r>
          </w:p>
        </w:tc>
        <w:tc>
          <w:tcPr>
            <w:tcW w:w="780" w:type="dxa"/>
            <w:vAlign w:val="center"/>
          </w:tcPr>
          <w:p w:rsidR="00644057" w:rsidRDefault="00A20092">
            <w:pPr>
              <w:jc w:val="right"/>
            </w:pPr>
            <w:r>
              <w:rPr>
                <w:rFonts w:eastAsiaTheme="minorEastAsia"/>
                <w:color w:val="000000" w:themeColor="text1"/>
                <w:sz w:val="24"/>
              </w:rPr>
              <w:t>1</w:t>
            </w:r>
          </w:p>
        </w:tc>
        <w:tc>
          <w:tcPr>
            <w:tcW w:w="1800" w:type="dxa"/>
            <w:vAlign w:val="center"/>
          </w:tcPr>
          <w:p w:rsidR="00644057" w:rsidRDefault="00A20092">
            <w:pPr>
              <w:jc w:val="right"/>
            </w:pPr>
            <w:r>
              <w:rPr>
                <w:rFonts w:eastAsiaTheme="minorEastAsia"/>
                <w:color w:val="000000" w:themeColor="text1"/>
                <w:sz w:val="24"/>
              </w:rPr>
              <w:t>-</w:t>
            </w:r>
          </w:p>
        </w:tc>
        <w:tc>
          <w:tcPr>
            <w:tcW w:w="1080" w:type="dxa"/>
            <w:vAlign w:val="center"/>
          </w:tcPr>
          <w:p w:rsidR="00644057" w:rsidRDefault="00A20092">
            <w:pPr>
              <w:jc w:val="right"/>
            </w:pPr>
            <w:r>
              <w:rPr>
                <w:rFonts w:eastAsiaTheme="minorEastAsia"/>
                <w:color w:val="000000" w:themeColor="text1"/>
                <w:sz w:val="24"/>
              </w:rPr>
              <w:t>-</w:t>
            </w:r>
          </w:p>
        </w:tc>
        <w:tc>
          <w:tcPr>
            <w:tcW w:w="1620" w:type="dxa"/>
            <w:vAlign w:val="center"/>
          </w:tcPr>
          <w:p w:rsidR="00644057" w:rsidRDefault="00A20092">
            <w:pPr>
              <w:jc w:val="right"/>
            </w:pPr>
            <w:r>
              <w:rPr>
                <w:rFonts w:eastAsiaTheme="minorEastAsia"/>
                <w:color w:val="000000" w:themeColor="text1"/>
                <w:sz w:val="24"/>
              </w:rPr>
              <w:t>-</w:t>
            </w:r>
          </w:p>
        </w:tc>
        <w:tc>
          <w:tcPr>
            <w:tcW w:w="1080" w:type="dxa"/>
            <w:vAlign w:val="center"/>
          </w:tcPr>
          <w:p w:rsidR="00644057" w:rsidRDefault="00A20092">
            <w:pPr>
              <w:jc w:val="right"/>
            </w:pPr>
            <w:r>
              <w:rPr>
                <w:rFonts w:eastAsiaTheme="minorEastAsia"/>
                <w:color w:val="000000" w:themeColor="text1"/>
                <w:sz w:val="24"/>
              </w:rPr>
              <w:t>-</w:t>
            </w:r>
          </w:p>
        </w:tc>
        <w:tc>
          <w:tcPr>
            <w:tcW w:w="1080" w:type="dxa"/>
            <w:vAlign w:val="center"/>
          </w:tcPr>
          <w:p w:rsidR="00644057" w:rsidRDefault="00A20092">
            <w:pPr>
              <w:jc w:val="left"/>
            </w:pPr>
            <w:r>
              <w:rPr>
                <w:rFonts w:eastAsiaTheme="minorEastAsia"/>
                <w:color w:val="000000" w:themeColor="text1"/>
                <w:sz w:val="24"/>
              </w:rPr>
              <w:t>-</w:t>
            </w:r>
          </w:p>
        </w:tc>
      </w:tr>
      <w:tr w:rsidR="00644057">
        <w:tc>
          <w:tcPr>
            <w:tcW w:w="1560" w:type="dxa"/>
            <w:vAlign w:val="center"/>
          </w:tcPr>
          <w:p w:rsidR="00644057" w:rsidRDefault="00A20092">
            <w:pPr>
              <w:jc w:val="left"/>
            </w:pPr>
            <w:r>
              <w:rPr>
                <w:rFonts w:eastAsiaTheme="minorEastAsia"/>
                <w:color w:val="000000" w:themeColor="text1"/>
                <w:sz w:val="24"/>
              </w:rPr>
              <w:t>中泰证券股份有限公司</w:t>
            </w:r>
          </w:p>
        </w:tc>
        <w:tc>
          <w:tcPr>
            <w:tcW w:w="780" w:type="dxa"/>
            <w:vAlign w:val="center"/>
          </w:tcPr>
          <w:p w:rsidR="00644057" w:rsidRDefault="00A20092">
            <w:pPr>
              <w:jc w:val="right"/>
            </w:pPr>
            <w:r>
              <w:rPr>
                <w:rFonts w:eastAsiaTheme="minorEastAsia"/>
                <w:color w:val="000000" w:themeColor="text1"/>
                <w:sz w:val="24"/>
              </w:rPr>
              <w:t>1</w:t>
            </w:r>
          </w:p>
        </w:tc>
        <w:tc>
          <w:tcPr>
            <w:tcW w:w="1800" w:type="dxa"/>
            <w:vAlign w:val="center"/>
          </w:tcPr>
          <w:p w:rsidR="00644057" w:rsidRDefault="00A20092">
            <w:pPr>
              <w:jc w:val="right"/>
            </w:pPr>
            <w:r>
              <w:rPr>
                <w:rFonts w:eastAsiaTheme="minorEastAsia"/>
                <w:color w:val="000000" w:themeColor="text1"/>
                <w:sz w:val="24"/>
              </w:rPr>
              <w:t>-</w:t>
            </w:r>
          </w:p>
        </w:tc>
        <w:tc>
          <w:tcPr>
            <w:tcW w:w="1080" w:type="dxa"/>
            <w:vAlign w:val="center"/>
          </w:tcPr>
          <w:p w:rsidR="00644057" w:rsidRDefault="00A20092">
            <w:pPr>
              <w:jc w:val="right"/>
            </w:pPr>
            <w:r>
              <w:rPr>
                <w:rFonts w:eastAsiaTheme="minorEastAsia"/>
                <w:color w:val="000000" w:themeColor="text1"/>
                <w:sz w:val="24"/>
              </w:rPr>
              <w:t>-</w:t>
            </w:r>
          </w:p>
        </w:tc>
        <w:tc>
          <w:tcPr>
            <w:tcW w:w="1620" w:type="dxa"/>
            <w:vAlign w:val="center"/>
          </w:tcPr>
          <w:p w:rsidR="00644057" w:rsidRDefault="00A20092">
            <w:pPr>
              <w:jc w:val="right"/>
            </w:pPr>
            <w:r>
              <w:rPr>
                <w:rFonts w:eastAsiaTheme="minorEastAsia"/>
                <w:color w:val="000000" w:themeColor="text1"/>
                <w:sz w:val="24"/>
              </w:rPr>
              <w:t>-</w:t>
            </w:r>
          </w:p>
        </w:tc>
        <w:tc>
          <w:tcPr>
            <w:tcW w:w="1080" w:type="dxa"/>
            <w:vAlign w:val="center"/>
          </w:tcPr>
          <w:p w:rsidR="00644057" w:rsidRDefault="00A20092">
            <w:pPr>
              <w:jc w:val="right"/>
            </w:pPr>
            <w:r>
              <w:rPr>
                <w:rFonts w:eastAsiaTheme="minorEastAsia"/>
                <w:color w:val="000000" w:themeColor="text1"/>
                <w:sz w:val="24"/>
              </w:rPr>
              <w:t>-</w:t>
            </w:r>
          </w:p>
        </w:tc>
        <w:tc>
          <w:tcPr>
            <w:tcW w:w="1080" w:type="dxa"/>
            <w:vAlign w:val="center"/>
          </w:tcPr>
          <w:p w:rsidR="00644057" w:rsidRDefault="00A20092">
            <w:pPr>
              <w:jc w:val="left"/>
            </w:pPr>
            <w:r>
              <w:rPr>
                <w:rFonts w:eastAsiaTheme="minorEastAsia"/>
                <w:color w:val="000000" w:themeColor="text1"/>
                <w:sz w:val="24"/>
              </w:rPr>
              <w:t>-</w:t>
            </w:r>
          </w:p>
        </w:tc>
      </w:tr>
      <w:tr w:rsidR="00644057">
        <w:tc>
          <w:tcPr>
            <w:tcW w:w="1560" w:type="dxa"/>
            <w:vAlign w:val="center"/>
          </w:tcPr>
          <w:p w:rsidR="00644057" w:rsidRDefault="00A20092">
            <w:pPr>
              <w:jc w:val="left"/>
            </w:pPr>
            <w:r>
              <w:rPr>
                <w:rFonts w:eastAsiaTheme="minorEastAsia"/>
                <w:color w:val="000000" w:themeColor="text1"/>
                <w:sz w:val="24"/>
              </w:rPr>
              <w:t>海通证券股份有限公司</w:t>
            </w:r>
          </w:p>
        </w:tc>
        <w:tc>
          <w:tcPr>
            <w:tcW w:w="780" w:type="dxa"/>
            <w:vAlign w:val="center"/>
          </w:tcPr>
          <w:p w:rsidR="00644057" w:rsidRDefault="00A20092">
            <w:pPr>
              <w:jc w:val="right"/>
            </w:pPr>
            <w:r>
              <w:rPr>
                <w:rFonts w:eastAsiaTheme="minorEastAsia"/>
                <w:color w:val="000000" w:themeColor="text1"/>
                <w:sz w:val="24"/>
              </w:rPr>
              <w:t>1</w:t>
            </w:r>
          </w:p>
        </w:tc>
        <w:tc>
          <w:tcPr>
            <w:tcW w:w="1800" w:type="dxa"/>
            <w:vAlign w:val="center"/>
          </w:tcPr>
          <w:p w:rsidR="00644057" w:rsidRDefault="00A20092">
            <w:pPr>
              <w:jc w:val="right"/>
            </w:pPr>
            <w:r>
              <w:rPr>
                <w:rFonts w:eastAsiaTheme="minorEastAsia"/>
                <w:color w:val="000000" w:themeColor="text1"/>
                <w:sz w:val="24"/>
              </w:rPr>
              <w:t>-</w:t>
            </w:r>
          </w:p>
        </w:tc>
        <w:tc>
          <w:tcPr>
            <w:tcW w:w="1080" w:type="dxa"/>
            <w:vAlign w:val="center"/>
          </w:tcPr>
          <w:p w:rsidR="00644057" w:rsidRDefault="00A20092">
            <w:pPr>
              <w:jc w:val="right"/>
            </w:pPr>
            <w:r>
              <w:rPr>
                <w:rFonts w:eastAsiaTheme="minorEastAsia"/>
                <w:color w:val="000000" w:themeColor="text1"/>
                <w:sz w:val="24"/>
              </w:rPr>
              <w:t>-</w:t>
            </w:r>
          </w:p>
        </w:tc>
        <w:tc>
          <w:tcPr>
            <w:tcW w:w="1620" w:type="dxa"/>
            <w:vAlign w:val="center"/>
          </w:tcPr>
          <w:p w:rsidR="00644057" w:rsidRDefault="00A20092">
            <w:pPr>
              <w:jc w:val="right"/>
            </w:pPr>
            <w:r>
              <w:rPr>
                <w:rFonts w:eastAsiaTheme="minorEastAsia"/>
                <w:color w:val="000000" w:themeColor="text1"/>
                <w:sz w:val="24"/>
              </w:rPr>
              <w:t>-</w:t>
            </w:r>
          </w:p>
        </w:tc>
        <w:tc>
          <w:tcPr>
            <w:tcW w:w="1080" w:type="dxa"/>
            <w:vAlign w:val="center"/>
          </w:tcPr>
          <w:p w:rsidR="00644057" w:rsidRDefault="00A20092">
            <w:pPr>
              <w:jc w:val="right"/>
            </w:pPr>
            <w:r>
              <w:rPr>
                <w:rFonts w:eastAsiaTheme="minorEastAsia"/>
                <w:color w:val="000000" w:themeColor="text1"/>
                <w:sz w:val="24"/>
              </w:rPr>
              <w:t>-</w:t>
            </w:r>
          </w:p>
        </w:tc>
        <w:tc>
          <w:tcPr>
            <w:tcW w:w="1080" w:type="dxa"/>
            <w:vAlign w:val="center"/>
          </w:tcPr>
          <w:p w:rsidR="00644057" w:rsidRDefault="00A20092">
            <w:pPr>
              <w:jc w:val="left"/>
            </w:pPr>
            <w:r>
              <w:rPr>
                <w:rFonts w:eastAsiaTheme="minorEastAsia"/>
                <w:color w:val="000000" w:themeColor="text1"/>
                <w:sz w:val="24"/>
              </w:rPr>
              <w:t>-</w:t>
            </w:r>
          </w:p>
        </w:tc>
      </w:tr>
      <w:tr w:rsidR="00644057">
        <w:tc>
          <w:tcPr>
            <w:tcW w:w="1560" w:type="dxa"/>
            <w:vAlign w:val="center"/>
          </w:tcPr>
          <w:p w:rsidR="00644057" w:rsidRDefault="00A20092">
            <w:pPr>
              <w:jc w:val="left"/>
            </w:pPr>
            <w:r>
              <w:rPr>
                <w:rFonts w:eastAsiaTheme="minorEastAsia"/>
                <w:color w:val="000000" w:themeColor="text1"/>
                <w:sz w:val="24"/>
              </w:rPr>
              <w:t>太平洋证券股份有限公司</w:t>
            </w:r>
          </w:p>
        </w:tc>
        <w:tc>
          <w:tcPr>
            <w:tcW w:w="780" w:type="dxa"/>
            <w:vAlign w:val="center"/>
          </w:tcPr>
          <w:p w:rsidR="00644057" w:rsidRDefault="00A20092">
            <w:pPr>
              <w:jc w:val="right"/>
            </w:pPr>
            <w:r>
              <w:rPr>
                <w:rFonts w:eastAsiaTheme="minorEastAsia"/>
                <w:color w:val="000000" w:themeColor="text1"/>
                <w:sz w:val="24"/>
              </w:rPr>
              <w:t>1</w:t>
            </w:r>
          </w:p>
        </w:tc>
        <w:tc>
          <w:tcPr>
            <w:tcW w:w="1800" w:type="dxa"/>
            <w:vAlign w:val="center"/>
          </w:tcPr>
          <w:p w:rsidR="00644057" w:rsidRDefault="00A20092">
            <w:pPr>
              <w:jc w:val="right"/>
            </w:pPr>
            <w:r>
              <w:rPr>
                <w:rFonts w:eastAsiaTheme="minorEastAsia"/>
                <w:color w:val="000000" w:themeColor="text1"/>
                <w:sz w:val="24"/>
              </w:rPr>
              <w:t>-</w:t>
            </w:r>
          </w:p>
        </w:tc>
        <w:tc>
          <w:tcPr>
            <w:tcW w:w="1080" w:type="dxa"/>
            <w:vAlign w:val="center"/>
          </w:tcPr>
          <w:p w:rsidR="00644057" w:rsidRDefault="00A20092">
            <w:pPr>
              <w:jc w:val="right"/>
            </w:pPr>
            <w:r>
              <w:rPr>
                <w:rFonts w:eastAsiaTheme="minorEastAsia"/>
                <w:color w:val="000000" w:themeColor="text1"/>
                <w:sz w:val="24"/>
              </w:rPr>
              <w:t>-</w:t>
            </w:r>
          </w:p>
        </w:tc>
        <w:tc>
          <w:tcPr>
            <w:tcW w:w="1620" w:type="dxa"/>
            <w:vAlign w:val="center"/>
          </w:tcPr>
          <w:p w:rsidR="00644057" w:rsidRDefault="00A20092">
            <w:pPr>
              <w:jc w:val="right"/>
            </w:pPr>
            <w:r>
              <w:rPr>
                <w:rFonts w:eastAsiaTheme="minorEastAsia"/>
                <w:color w:val="000000" w:themeColor="text1"/>
                <w:sz w:val="24"/>
              </w:rPr>
              <w:t>-</w:t>
            </w:r>
          </w:p>
        </w:tc>
        <w:tc>
          <w:tcPr>
            <w:tcW w:w="1080" w:type="dxa"/>
            <w:vAlign w:val="center"/>
          </w:tcPr>
          <w:p w:rsidR="00644057" w:rsidRDefault="00A20092">
            <w:pPr>
              <w:jc w:val="right"/>
            </w:pPr>
            <w:r>
              <w:rPr>
                <w:rFonts w:eastAsiaTheme="minorEastAsia"/>
                <w:color w:val="000000" w:themeColor="text1"/>
                <w:sz w:val="24"/>
              </w:rPr>
              <w:t>-</w:t>
            </w:r>
          </w:p>
        </w:tc>
        <w:tc>
          <w:tcPr>
            <w:tcW w:w="1080" w:type="dxa"/>
            <w:vAlign w:val="center"/>
          </w:tcPr>
          <w:p w:rsidR="00644057" w:rsidRDefault="00A20092">
            <w:pPr>
              <w:jc w:val="left"/>
            </w:pPr>
            <w:r>
              <w:rPr>
                <w:rFonts w:eastAsiaTheme="minorEastAsia"/>
                <w:color w:val="000000" w:themeColor="text1"/>
                <w:sz w:val="24"/>
              </w:rPr>
              <w:t>-</w:t>
            </w:r>
          </w:p>
        </w:tc>
      </w:tr>
    </w:tbl>
    <w:p w:rsidR="00292955" w:rsidRPr="00292955" w:rsidRDefault="00292955" w:rsidP="00292955">
      <w:pPr>
        <w:autoSpaceDE w:val="0"/>
        <w:autoSpaceDN w:val="0"/>
        <w:adjustRightInd w:val="0"/>
        <w:spacing w:line="360" w:lineRule="auto"/>
        <w:jc w:val="left"/>
        <w:rPr>
          <w:rFonts w:eastAsiaTheme="minorEastAsia"/>
          <w:color w:val="000000" w:themeColor="text1"/>
          <w:sz w:val="24"/>
        </w:rPr>
      </w:pPr>
    </w:p>
    <w:p w:rsidR="00C0329C" w:rsidRPr="00292955" w:rsidRDefault="00C0329C" w:rsidP="00292955">
      <w:pPr>
        <w:pStyle w:val="20"/>
        <w:spacing w:before="29" w:after="0" w:line="288" w:lineRule="auto"/>
        <w:rPr>
          <w:rFonts w:ascii="Times New Roman" w:hAnsi="Times New Roman"/>
          <w:kern w:val="0"/>
          <w:szCs w:val="24"/>
        </w:rPr>
      </w:pPr>
      <w:bookmarkStart w:id="291" w:name="_Toc35966334"/>
      <w:r w:rsidRPr="00292955">
        <w:rPr>
          <w:rFonts w:ascii="Times New Roman" w:hAnsi="Times New Roman"/>
          <w:kern w:val="0"/>
          <w:szCs w:val="24"/>
        </w:rPr>
        <w:t xml:space="preserve">11.7.2 </w:t>
      </w:r>
      <w:r w:rsidRPr="00292955">
        <w:rPr>
          <w:rFonts w:ascii="Times New Roman" w:hAnsi="Times New Roman"/>
          <w:kern w:val="0"/>
          <w:szCs w:val="24"/>
        </w:rPr>
        <w:t>基金租用证券公司交易单元进行其他证券投资的情况</w:t>
      </w:r>
      <w:bookmarkEnd w:id="290"/>
      <w:bookmarkEnd w:id="291"/>
    </w:p>
    <w:p w:rsidR="00C0329C" w:rsidRPr="00256071" w:rsidRDefault="00C0329C" w:rsidP="00C0329C">
      <w:pPr>
        <w:spacing w:line="360" w:lineRule="auto"/>
        <w:ind w:firstLine="420"/>
        <w:jc w:val="right"/>
        <w:rPr>
          <w:rFonts w:eastAsiaTheme="minorEastAsia"/>
          <w:color w:val="000000" w:themeColor="text1"/>
          <w:sz w:val="24"/>
        </w:rPr>
      </w:pPr>
      <w:bookmarkStart w:id="292"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29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w:t>
            </w:r>
            <w:proofErr w:type="gramStart"/>
            <w:r w:rsidRPr="00256071">
              <w:rPr>
                <w:rFonts w:eastAsiaTheme="minorEastAsia"/>
                <w:color w:val="000000" w:themeColor="text1"/>
                <w:sz w:val="24"/>
              </w:rPr>
              <w:t>证成交</w:t>
            </w:r>
            <w:proofErr w:type="gramEnd"/>
            <w:r w:rsidRPr="00256071">
              <w:rPr>
                <w:rFonts w:eastAsiaTheme="minorEastAsia"/>
                <w:color w:val="000000" w:themeColor="text1"/>
                <w:sz w:val="24"/>
              </w:rPr>
              <w:t>总额的比例</w:t>
            </w:r>
          </w:p>
        </w:tc>
      </w:tr>
      <w:tr w:rsidR="00644057">
        <w:tc>
          <w:tcPr>
            <w:tcW w:w="1560" w:type="dxa"/>
            <w:vAlign w:val="center"/>
          </w:tcPr>
          <w:p w:rsidR="00644057" w:rsidRDefault="00A20092">
            <w:pPr>
              <w:jc w:val="center"/>
            </w:pPr>
            <w:r>
              <w:rPr>
                <w:rFonts w:eastAsiaTheme="minorEastAsia"/>
                <w:color w:val="000000" w:themeColor="text1"/>
                <w:sz w:val="24"/>
              </w:rPr>
              <w:t>中信证券股份有限公司</w:t>
            </w:r>
          </w:p>
        </w:tc>
        <w:tc>
          <w:tcPr>
            <w:tcW w:w="1320" w:type="dxa"/>
            <w:vAlign w:val="center"/>
          </w:tcPr>
          <w:p w:rsidR="00644057" w:rsidRDefault="00A20092">
            <w:pPr>
              <w:jc w:val="right"/>
            </w:pPr>
            <w:r>
              <w:rPr>
                <w:rFonts w:eastAsiaTheme="minorEastAsia"/>
                <w:color w:val="000000" w:themeColor="text1"/>
                <w:sz w:val="24"/>
              </w:rPr>
              <w:t>3,057,172.05</w:t>
            </w:r>
          </w:p>
        </w:tc>
        <w:tc>
          <w:tcPr>
            <w:tcW w:w="1080" w:type="dxa"/>
            <w:vAlign w:val="center"/>
          </w:tcPr>
          <w:p w:rsidR="00644057" w:rsidRDefault="00A20092">
            <w:pPr>
              <w:jc w:val="right"/>
            </w:pPr>
            <w:r>
              <w:rPr>
                <w:rFonts w:eastAsiaTheme="minorEastAsia"/>
                <w:color w:val="000000" w:themeColor="text1"/>
                <w:sz w:val="24"/>
              </w:rPr>
              <w:t>100.00%</w:t>
            </w:r>
          </w:p>
        </w:tc>
        <w:tc>
          <w:tcPr>
            <w:tcW w:w="1143" w:type="dxa"/>
            <w:vAlign w:val="center"/>
          </w:tcPr>
          <w:p w:rsidR="00644057" w:rsidRDefault="00A20092">
            <w:pPr>
              <w:jc w:val="right"/>
            </w:pPr>
            <w:r>
              <w:rPr>
                <w:rFonts w:eastAsiaTheme="minorEastAsia"/>
                <w:color w:val="000000" w:themeColor="text1"/>
                <w:sz w:val="24"/>
              </w:rPr>
              <w:t>46,515,700,000.00</w:t>
            </w:r>
          </w:p>
        </w:tc>
        <w:tc>
          <w:tcPr>
            <w:tcW w:w="1197" w:type="dxa"/>
            <w:vAlign w:val="center"/>
          </w:tcPr>
          <w:p w:rsidR="00644057" w:rsidRDefault="00A20092">
            <w:pPr>
              <w:jc w:val="right"/>
            </w:pPr>
            <w:r>
              <w:rPr>
                <w:rFonts w:eastAsiaTheme="minorEastAsia"/>
                <w:color w:val="000000" w:themeColor="text1"/>
                <w:sz w:val="24"/>
              </w:rPr>
              <w:t>100.00%</w:t>
            </w:r>
          </w:p>
        </w:tc>
        <w:tc>
          <w:tcPr>
            <w:tcW w:w="1497" w:type="dxa"/>
            <w:vAlign w:val="center"/>
          </w:tcPr>
          <w:p w:rsidR="00644057" w:rsidRDefault="00A20092">
            <w:pPr>
              <w:jc w:val="right"/>
            </w:pPr>
            <w:r>
              <w:rPr>
                <w:rFonts w:eastAsiaTheme="minorEastAsia"/>
                <w:color w:val="000000" w:themeColor="text1"/>
                <w:sz w:val="24"/>
              </w:rPr>
              <w:t>-</w:t>
            </w:r>
          </w:p>
        </w:tc>
        <w:tc>
          <w:tcPr>
            <w:tcW w:w="1203" w:type="dxa"/>
            <w:vAlign w:val="center"/>
          </w:tcPr>
          <w:p w:rsidR="00644057" w:rsidRDefault="00A20092">
            <w:pPr>
              <w:jc w:val="right"/>
            </w:pPr>
            <w:r>
              <w:rPr>
                <w:rFonts w:eastAsiaTheme="minorEastAsia"/>
                <w:color w:val="000000" w:themeColor="text1"/>
                <w:sz w:val="24"/>
              </w:rPr>
              <w:t>-</w:t>
            </w:r>
          </w:p>
        </w:tc>
      </w:tr>
    </w:tbl>
    <w:p w:rsidR="00644057" w:rsidRDefault="00A20092" w:rsidP="00A20092">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、报告期内，本基金新增加交易单元为太平洋证券股份有限公司</w:t>
      </w:r>
      <w:r>
        <w:rPr>
          <w:rFonts w:eastAsiaTheme="minorEastAsia" w:hint="eastAsia"/>
          <w:color w:val="000000" w:themeColor="text1"/>
          <w:sz w:val="24"/>
        </w:rPr>
        <w:t>和</w:t>
      </w:r>
      <w:r>
        <w:rPr>
          <w:rFonts w:eastAsiaTheme="minorEastAsia"/>
          <w:color w:val="000000" w:themeColor="text1"/>
          <w:sz w:val="24"/>
        </w:rPr>
        <w:t>中泰证券股份有限公司，其它交易单元未发生变化；</w:t>
      </w:r>
    </w:p>
    <w:p w:rsidR="00644057" w:rsidRDefault="00A20092">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292955" w:rsidRDefault="001A59F9" w:rsidP="00292955">
      <w:pPr>
        <w:pStyle w:val="20"/>
        <w:spacing w:before="29" w:after="0" w:line="288" w:lineRule="auto"/>
        <w:rPr>
          <w:rFonts w:ascii="Times New Roman" w:hAnsi="Times New Roman"/>
          <w:kern w:val="0"/>
          <w:szCs w:val="24"/>
        </w:rPr>
      </w:pPr>
      <w:bookmarkStart w:id="293" w:name="_Toc361324901"/>
      <w:bookmarkStart w:id="294" w:name="_Toc35966335"/>
      <w:r w:rsidRPr="00292955">
        <w:rPr>
          <w:rFonts w:ascii="Times New Roman" w:hAnsi="Times New Roman"/>
          <w:kern w:val="0"/>
          <w:szCs w:val="24"/>
        </w:rPr>
        <w:t>11.8</w:t>
      </w:r>
      <w:r w:rsidRPr="00292955">
        <w:rPr>
          <w:rFonts w:ascii="Times New Roman" w:hAnsi="Times New Roman" w:hint="eastAsia"/>
          <w:kern w:val="0"/>
          <w:szCs w:val="24"/>
        </w:rPr>
        <w:t>其他重大事件</w:t>
      </w:r>
      <w:bookmarkEnd w:id="293"/>
      <w:bookmarkEnd w:id="2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644057">
        <w:tc>
          <w:tcPr>
            <w:tcW w:w="720" w:type="dxa"/>
            <w:vAlign w:val="center"/>
          </w:tcPr>
          <w:p w:rsidR="00644057" w:rsidRDefault="00A20092">
            <w:pPr>
              <w:jc w:val="center"/>
            </w:pPr>
            <w:r>
              <w:rPr>
                <w:color w:val="000000"/>
                <w:sz w:val="24"/>
              </w:rPr>
              <w:t>1</w:t>
            </w:r>
          </w:p>
        </w:tc>
        <w:tc>
          <w:tcPr>
            <w:tcW w:w="4320" w:type="dxa"/>
            <w:vAlign w:val="center"/>
          </w:tcPr>
          <w:p w:rsidR="00644057" w:rsidRDefault="00A20092">
            <w:pPr>
              <w:jc w:val="left"/>
            </w:pPr>
            <w:r>
              <w:rPr>
                <w:color w:val="000000"/>
                <w:sz w:val="24"/>
              </w:rPr>
              <w:t>交银施罗德丰</w:t>
            </w:r>
            <w:proofErr w:type="gramStart"/>
            <w:r>
              <w:rPr>
                <w:color w:val="000000"/>
                <w:sz w:val="24"/>
              </w:rPr>
              <w:t>晟</w:t>
            </w:r>
            <w:proofErr w:type="gramEnd"/>
            <w:r>
              <w:rPr>
                <w:color w:val="000000"/>
                <w:sz w:val="24"/>
              </w:rPr>
              <w:t>收益债券型证券投资基金（更新）招募说明书摘要（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644057" w:rsidRDefault="00A20092">
            <w:pPr>
              <w:jc w:val="center"/>
            </w:pPr>
            <w:r>
              <w:rPr>
                <w:color w:val="000000"/>
                <w:sz w:val="24"/>
              </w:rPr>
              <w:t>中国证券报、上海证券报、证券时报</w:t>
            </w:r>
          </w:p>
        </w:tc>
        <w:tc>
          <w:tcPr>
            <w:tcW w:w="1629" w:type="dxa"/>
            <w:vAlign w:val="center"/>
          </w:tcPr>
          <w:p w:rsidR="00644057" w:rsidRDefault="00A20092">
            <w:pPr>
              <w:jc w:val="center"/>
            </w:pPr>
            <w:r>
              <w:rPr>
                <w:color w:val="000000"/>
                <w:sz w:val="24"/>
              </w:rPr>
              <w:t>2019-01-07</w:t>
            </w:r>
          </w:p>
        </w:tc>
      </w:tr>
      <w:tr w:rsidR="00644057">
        <w:tc>
          <w:tcPr>
            <w:tcW w:w="720" w:type="dxa"/>
            <w:vAlign w:val="center"/>
          </w:tcPr>
          <w:p w:rsidR="00644057" w:rsidRDefault="00A20092">
            <w:pPr>
              <w:jc w:val="center"/>
            </w:pPr>
            <w:r>
              <w:rPr>
                <w:color w:val="000000"/>
                <w:sz w:val="24"/>
              </w:rPr>
              <w:t>2</w:t>
            </w:r>
          </w:p>
        </w:tc>
        <w:tc>
          <w:tcPr>
            <w:tcW w:w="4320" w:type="dxa"/>
            <w:vAlign w:val="center"/>
          </w:tcPr>
          <w:p w:rsidR="00644057" w:rsidRDefault="00A20092">
            <w:pPr>
              <w:jc w:val="left"/>
            </w:pPr>
            <w:r>
              <w:rPr>
                <w:color w:val="000000"/>
                <w:sz w:val="24"/>
              </w:rPr>
              <w:t>交银施罗德基金管理有限公司关于交银施罗德丰晟收益债券型证券投资基金分红的公告</w:t>
            </w:r>
          </w:p>
        </w:tc>
        <w:tc>
          <w:tcPr>
            <w:tcW w:w="2331" w:type="dxa"/>
            <w:vAlign w:val="center"/>
          </w:tcPr>
          <w:p w:rsidR="00644057" w:rsidRDefault="00A20092">
            <w:pPr>
              <w:jc w:val="center"/>
            </w:pPr>
            <w:r>
              <w:rPr>
                <w:color w:val="000000"/>
                <w:sz w:val="24"/>
              </w:rPr>
              <w:t>中国证券报、上海证券报、证券时报</w:t>
            </w:r>
          </w:p>
        </w:tc>
        <w:tc>
          <w:tcPr>
            <w:tcW w:w="1629" w:type="dxa"/>
            <w:vAlign w:val="center"/>
          </w:tcPr>
          <w:p w:rsidR="00644057" w:rsidRDefault="00A20092">
            <w:pPr>
              <w:jc w:val="center"/>
            </w:pPr>
            <w:r>
              <w:rPr>
                <w:color w:val="000000"/>
                <w:sz w:val="24"/>
              </w:rPr>
              <w:t>2019-01-10</w:t>
            </w:r>
          </w:p>
        </w:tc>
      </w:tr>
      <w:tr w:rsidR="00644057">
        <w:tc>
          <w:tcPr>
            <w:tcW w:w="720" w:type="dxa"/>
            <w:vAlign w:val="center"/>
          </w:tcPr>
          <w:p w:rsidR="00644057" w:rsidRDefault="00A20092">
            <w:pPr>
              <w:jc w:val="center"/>
            </w:pPr>
            <w:r>
              <w:rPr>
                <w:color w:val="000000"/>
                <w:sz w:val="24"/>
              </w:rPr>
              <w:t>3</w:t>
            </w:r>
          </w:p>
        </w:tc>
        <w:tc>
          <w:tcPr>
            <w:tcW w:w="4320" w:type="dxa"/>
            <w:vAlign w:val="center"/>
          </w:tcPr>
          <w:p w:rsidR="00644057" w:rsidRDefault="00A20092">
            <w:pPr>
              <w:jc w:val="left"/>
            </w:pPr>
            <w:r>
              <w:rPr>
                <w:color w:val="000000"/>
                <w:sz w:val="24"/>
              </w:rPr>
              <w:t>交银施罗德基金管理有限公司关于调整投资者</w:t>
            </w:r>
            <w:proofErr w:type="gramStart"/>
            <w:r>
              <w:rPr>
                <w:color w:val="000000"/>
                <w:sz w:val="24"/>
              </w:rPr>
              <w:t>场外投资</w:t>
            </w:r>
            <w:proofErr w:type="gramEnd"/>
            <w:r>
              <w:rPr>
                <w:color w:val="000000"/>
                <w:sz w:val="24"/>
              </w:rPr>
              <w:t>旗下部分基金单笔最低申购金额、最低赎回份额和最低保留余额限制的公告</w:t>
            </w:r>
          </w:p>
        </w:tc>
        <w:tc>
          <w:tcPr>
            <w:tcW w:w="2331" w:type="dxa"/>
            <w:vAlign w:val="center"/>
          </w:tcPr>
          <w:p w:rsidR="00644057" w:rsidRDefault="00A20092">
            <w:pPr>
              <w:jc w:val="center"/>
            </w:pPr>
            <w:r>
              <w:rPr>
                <w:color w:val="000000"/>
                <w:sz w:val="24"/>
              </w:rPr>
              <w:t>中国证券报、上海证券报、证券时报</w:t>
            </w:r>
          </w:p>
        </w:tc>
        <w:tc>
          <w:tcPr>
            <w:tcW w:w="1629" w:type="dxa"/>
            <w:vAlign w:val="center"/>
          </w:tcPr>
          <w:p w:rsidR="00644057" w:rsidRDefault="00A20092">
            <w:pPr>
              <w:jc w:val="center"/>
            </w:pPr>
            <w:r>
              <w:rPr>
                <w:color w:val="000000"/>
                <w:sz w:val="24"/>
              </w:rPr>
              <w:t>2019-01-15</w:t>
            </w:r>
          </w:p>
        </w:tc>
      </w:tr>
      <w:tr w:rsidR="00644057">
        <w:tc>
          <w:tcPr>
            <w:tcW w:w="720" w:type="dxa"/>
            <w:vAlign w:val="center"/>
          </w:tcPr>
          <w:p w:rsidR="00644057" w:rsidRDefault="00A20092">
            <w:pPr>
              <w:jc w:val="center"/>
            </w:pPr>
            <w:r>
              <w:rPr>
                <w:color w:val="000000"/>
                <w:sz w:val="24"/>
              </w:rPr>
              <w:t>4</w:t>
            </w:r>
          </w:p>
        </w:tc>
        <w:tc>
          <w:tcPr>
            <w:tcW w:w="4320" w:type="dxa"/>
            <w:vAlign w:val="center"/>
          </w:tcPr>
          <w:p w:rsidR="00644057" w:rsidRDefault="00A20092">
            <w:pPr>
              <w:jc w:val="left"/>
            </w:pPr>
            <w:r>
              <w:rPr>
                <w:color w:val="000000"/>
                <w:sz w:val="24"/>
              </w:rPr>
              <w:t>交银施罗德丰晟收益债券型证券投资基金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644057" w:rsidRDefault="00A20092">
            <w:pPr>
              <w:jc w:val="center"/>
            </w:pPr>
            <w:r>
              <w:rPr>
                <w:color w:val="000000"/>
                <w:sz w:val="24"/>
              </w:rPr>
              <w:t>中国证券报</w:t>
            </w:r>
          </w:p>
        </w:tc>
        <w:tc>
          <w:tcPr>
            <w:tcW w:w="1629" w:type="dxa"/>
            <w:vAlign w:val="center"/>
          </w:tcPr>
          <w:p w:rsidR="00644057" w:rsidRDefault="00A20092">
            <w:pPr>
              <w:jc w:val="center"/>
            </w:pPr>
            <w:r>
              <w:rPr>
                <w:color w:val="000000"/>
                <w:sz w:val="24"/>
              </w:rPr>
              <w:t>2019-01-21</w:t>
            </w:r>
          </w:p>
        </w:tc>
      </w:tr>
      <w:tr w:rsidR="00644057">
        <w:tc>
          <w:tcPr>
            <w:tcW w:w="720" w:type="dxa"/>
            <w:vAlign w:val="center"/>
          </w:tcPr>
          <w:p w:rsidR="00644057" w:rsidRDefault="00A20092">
            <w:pPr>
              <w:jc w:val="center"/>
            </w:pPr>
            <w:r>
              <w:rPr>
                <w:color w:val="000000"/>
                <w:sz w:val="24"/>
              </w:rPr>
              <w:t>5</w:t>
            </w:r>
          </w:p>
        </w:tc>
        <w:tc>
          <w:tcPr>
            <w:tcW w:w="4320" w:type="dxa"/>
            <w:vAlign w:val="center"/>
          </w:tcPr>
          <w:p w:rsidR="00644057" w:rsidRDefault="00A20092">
            <w:pPr>
              <w:jc w:val="left"/>
            </w:pPr>
            <w:r>
              <w:rPr>
                <w:color w:val="000000"/>
                <w:sz w:val="24"/>
              </w:rPr>
              <w:t>交银施罗德基金管理有限公司关于开展网上直销交易平台交易费率优惠活动的公告</w:t>
            </w:r>
          </w:p>
        </w:tc>
        <w:tc>
          <w:tcPr>
            <w:tcW w:w="2331" w:type="dxa"/>
            <w:vAlign w:val="center"/>
          </w:tcPr>
          <w:p w:rsidR="00644057" w:rsidRDefault="00A20092">
            <w:pPr>
              <w:jc w:val="center"/>
            </w:pPr>
            <w:r>
              <w:rPr>
                <w:color w:val="000000"/>
                <w:sz w:val="24"/>
              </w:rPr>
              <w:t>中国证券报、上海证券报、证券时报</w:t>
            </w:r>
          </w:p>
        </w:tc>
        <w:tc>
          <w:tcPr>
            <w:tcW w:w="1629" w:type="dxa"/>
            <w:vAlign w:val="center"/>
          </w:tcPr>
          <w:p w:rsidR="00644057" w:rsidRDefault="00A20092">
            <w:pPr>
              <w:jc w:val="center"/>
            </w:pPr>
            <w:r>
              <w:rPr>
                <w:color w:val="000000"/>
                <w:sz w:val="24"/>
              </w:rPr>
              <w:t>2019-01-28</w:t>
            </w:r>
          </w:p>
        </w:tc>
      </w:tr>
      <w:tr w:rsidR="00644057">
        <w:tc>
          <w:tcPr>
            <w:tcW w:w="720" w:type="dxa"/>
            <w:vAlign w:val="center"/>
          </w:tcPr>
          <w:p w:rsidR="00644057" w:rsidRDefault="00A20092">
            <w:pPr>
              <w:jc w:val="center"/>
            </w:pPr>
            <w:r>
              <w:rPr>
                <w:color w:val="000000"/>
                <w:sz w:val="24"/>
              </w:rPr>
              <w:t>6</w:t>
            </w:r>
          </w:p>
        </w:tc>
        <w:tc>
          <w:tcPr>
            <w:tcW w:w="4320" w:type="dxa"/>
            <w:vAlign w:val="center"/>
          </w:tcPr>
          <w:p w:rsidR="00644057" w:rsidRDefault="00A20092">
            <w:pPr>
              <w:jc w:val="left"/>
            </w:pPr>
            <w:r>
              <w:rPr>
                <w:color w:val="000000"/>
                <w:sz w:val="24"/>
              </w:rPr>
              <w:t>交银施罗德基金管理有限公司关于</w:t>
            </w:r>
            <w:proofErr w:type="gramStart"/>
            <w:r>
              <w:rPr>
                <w:color w:val="000000"/>
                <w:sz w:val="24"/>
              </w:rPr>
              <w:t>暂停大泰金石</w:t>
            </w:r>
            <w:proofErr w:type="gramEnd"/>
            <w:r>
              <w:rPr>
                <w:color w:val="000000"/>
                <w:sz w:val="24"/>
              </w:rPr>
              <w:t>基金销售有限公司办理相关销售业务的公告</w:t>
            </w:r>
          </w:p>
        </w:tc>
        <w:tc>
          <w:tcPr>
            <w:tcW w:w="2331" w:type="dxa"/>
            <w:vAlign w:val="center"/>
          </w:tcPr>
          <w:p w:rsidR="00644057" w:rsidRDefault="00A20092">
            <w:pPr>
              <w:jc w:val="center"/>
            </w:pPr>
            <w:r>
              <w:rPr>
                <w:color w:val="000000"/>
                <w:sz w:val="24"/>
              </w:rPr>
              <w:t>中国证券报、上海证券报、证券时报</w:t>
            </w:r>
          </w:p>
        </w:tc>
        <w:tc>
          <w:tcPr>
            <w:tcW w:w="1629" w:type="dxa"/>
            <w:vAlign w:val="center"/>
          </w:tcPr>
          <w:p w:rsidR="00644057" w:rsidRDefault="00A20092">
            <w:pPr>
              <w:jc w:val="center"/>
            </w:pPr>
            <w:r>
              <w:rPr>
                <w:color w:val="000000"/>
                <w:sz w:val="24"/>
              </w:rPr>
              <w:t>2019-01-29</w:t>
            </w:r>
          </w:p>
        </w:tc>
      </w:tr>
      <w:tr w:rsidR="00644057">
        <w:tc>
          <w:tcPr>
            <w:tcW w:w="720" w:type="dxa"/>
            <w:vAlign w:val="center"/>
          </w:tcPr>
          <w:p w:rsidR="00644057" w:rsidRDefault="00A20092">
            <w:pPr>
              <w:jc w:val="center"/>
            </w:pPr>
            <w:r>
              <w:rPr>
                <w:color w:val="000000"/>
                <w:sz w:val="24"/>
              </w:rPr>
              <w:t>7</w:t>
            </w:r>
          </w:p>
        </w:tc>
        <w:tc>
          <w:tcPr>
            <w:tcW w:w="4320" w:type="dxa"/>
            <w:vAlign w:val="center"/>
          </w:tcPr>
          <w:p w:rsidR="00644057" w:rsidRDefault="00A20092">
            <w:pPr>
              <w:jc w:val="left"/>
            </w:pPr>
            <w:r>
              <w:rPr>
                <w:color w:val="000000"/>
                <w:sz w:val="24"/>
              </w:rPr>
              <w:t>交银施罗德基金管理有限公司关于总经理变更的公告</w:t>
            </w:r>
          </w:p>
        </w:tc>
        <w:tc>
          <w:tcPr>
            <w:tcW w:w="2331" w:type="dxa"/>
            <w:vAlign w:val="center"/>
          </w:tcPr>
          <w:p w:rsidR="00644057" w:rsidRDefault="00A20092">
            <w:pPr>
              <w:jc w:val="center"/>
            </w:pPr>
            <w:r>
              <w:rPr>
                <w:color w:val="000000"/>
                <w:sz w:val="24"/>
              </w:rPr>
              <w:t>中国证券报、上海证券报、证券时报</w:t>
            </w:r>
          </w:p>
        </w:tc>
        <w:tc>
          <w:tcPr>
            <w:tcW w:w="1629" w:type="dxa"/>
            <w:vAlign w:val="center"/>
          </w:tcPr>
          <w:p w:rsidR="00644057" w:rsidRDefault="00A20092">
            <w:pPr>
              <w:jc w:val="center"/>
            </w:pPr>
            <w:r>
              <w:rPr>
                <w:color w:val="000000"/>
                <w:sz w:val="24"/>
              </w:rPr>
              <w:t>2019-02-28</w:t>
            </w:r>
          </w:p>
        </w:tc>
      </w:tr>
      <w:tr w:rsidR="00644057">
        <w:tc>
          <w:tcPr>
            <w:tcW w:w="720" w:type="dxa"/>
            <w:vAlign w:val="center"/>
          </w:tcPr>
          <w:p w:rsidR="00644057" w:rsidRDefault="00A20092">
            <w:pPr>
              <w:jc w:val="center"/>
            </w:pPr>
            <w:r>
              <w:rPr>
                <w:color w:val="000000"/>
                <w:sz w:val="24"/>
              </w:rPr>
              <w:t>8</w:t>
            </w:r>
          </w:p>
        </w:tc>
        <w:tc>
          <w:tcPr>
            <w:tcW w:w="4320" w:type="dxa"/>
            <w:vAlign w:val="center"/>
          </w:tcPr>
          <w:p w:rsidR="00644057" w:rsidRDefault="00A20092">
            <w:pPr>
              <w:jc w:val="left"/>
            </w:pPr>
            <w:r>
              <w:rPr>
                <w:color w:val="000000"/>
                <w:sz w:val="24"/>
              </w:rPr>
              <w:t>交银施罗德基金管理有限公司关于暂停苏州财路基金销售有限公司办理相关销售业务的公告</w:t>
            </w:r>
          </w:p>
        </w:tc>
        <w:tc>
          <w:tcPr>
            <w:tcW w:w="2331" w:type="dxa"/>
            <w:vAlign w:val="center"/>
          </w:tcPr>
          <w:p w:rsidR="00644057" w:rsidRDefault="00A20092">
            <w:pPr>
              <w:jc w:val="center"/>
            </w:pPr>
            <w:r>
              <w:rPr>
                <w:color w:val="000000"/>
                <w:sz w:val="24"/>
              </w:rPr>
              <w:t>中国证券报、上海证券报、证券时报</w:t>
            </w:r>
          </w:p>
        </w:tc>
        <w:tc>
          <w:tcPr>
            <w:tcW w:w="1629" w:type="dxa"/>
            <w:vAlign w:val="center"/>
          </w:tcPr>
          <w:p w:rsidR="00644057" w:rsidRDefault="00A20092">
            <w:pPr>
              <w:jc w:val="center"/>
            </w:pPr>
            <w:r>
              <w:rPr>
                <w:color w:val="000000"/>
                <w:sz w:val="24"/>
              </w:rPr>
              <w:t>2019-03-07</w:t>
            </w:r>
          </w:p>
        </w:tc>
      </w:tr>
      <w:tr w:rsidR="00644057">
        <w:tc>
          <w:tcPr>
            <w:tcW w:w="720" w:type="dxa"/>
            <w:vAlign w:val="center"/>
          </w:tcPr>
          <w:p w:rsidR="00644057" w:rsidRDefault="00A20092">
            <w:pPr>
              <w:jc w:val="center"/>
            </w:pPr>
            <w:r>
              <w:rPr>
                <w:color w:val="000000"/>
                <w:sz w:val="24"/>
              </w:rPr>
              <w:t>9</w:t>
            </w:r>
          </w:p>
        </w:tc>
        <w:tc>
          <w:tcPr>
            <w:tcW w:w="4320" w:type="dxa"/>
            <w:vAlign w:val="center"/>
          </w:tcPr>
          <w:p w:rsidR="00644057" w:rsidRDefault="00A20092">
            <w:pPr>
              <w:jc w:val="left"/>
            </w:pPr>
            <w:r>
              <w:rPr>
                <w:color w:val="000000"/>
                <w:sz w:val="24"/>
              </w:rPr>
              <w:t>交银施罗德丰晟收益债券型证券投资基金</w:t>
            </w:r>
            <w:r>
              <w:rPr>
                <w:color w:val="000000"/>
                <w:sz w:val="24"/>
              </w:rPr>
              <w:t>2018</w:t>
            </w:r>
            <w:r>
              <w:rPr>
                <w:color w:val="000000"/>
                <w:sz w:val="24"/>
              </w:rPr>
              <w:t>年年度报告摘要</w:t>
            </w:r>
          </w:p>
        </w:tc>
        <w:tc>
          <w:tcPr>
            <w:tcW w:w="2331" w:type="dxa"/>
            <w:vAlign w:val="center"/>
          </w:tcPr>
          <w:p w:rsidR="00644057" w:rsidRDefault="00A20092">
            <w:pPr>
              <w:jc w:val="center"/>
            </w:pPr>
            <w:r>
              <w:rPr>
                <w:color w:val="000000"/>
                <w:sz w:val="24"/>
              </w:rPr>
              <w:t>中国证券报</w:t>
            </w:r>
          </w:p>
        </w:tc>
        <w:tc>
          <w:tcPr>
            <w:tcW w:w="1629" w:type="dxa"/>
            <w:vAlign w:val="center"/>
          </w:tcPr>
          <w:p w:rsidR="00644057" w:rsidRDefault="00A20092">
            <w:pPr>
              <w:jc w:val="center"/>
            </w:pPr>
            <w:r>
              <w:rPr>
                <w:color w:val="000000"/>
                <w:sz w:val="24"/>
              </w:rPr>
              <w:t>2019-03-27</w:t>
            </w:r>
          </w:p>
        </w:tc>
      </w:tr>
      <w:tr w:rsidR="00644057">
        <w:tc>
          <w:tcPr>
            <w:tcW w:w="720" w:type="dxa"/>
            <w:vAlign w:val="center"/>
          </w:tcPr>
          <w:p w:rsidR="00644057" w:rsidRDefault="00A20092">
            <w:pPr>
              <w:jc w:val="center"/>
            </w:pPr>
            <w:r>
              <w:rPr>
                <w:color w:val="000000"/>
                <w:sz w:val="24"/>
              </w:rPr>
              <w:t>10</w:t>
            </w:r>
          </w:p>
        </w:tc>
        <w:tc>
          <w:tcPr>
            <w:tcW w:w="4320" w:type="dxa"/>
            <w:vAlign w:val="center"/>
          </w:tcPr>
          <w:p w:rsidR="00644057" w:rsidRDefault="00A20092">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644057" w:rsidRDefault="00A20092">
            <w:pPr>
              <w:jc w:val="center"/>
            </w:pPr>
            <w:r>
              <w:rPr>
                <w:color w:val="000000"/>
                <w:sz w:val="24"/>
              </w:rPr>
              <w:t>中国证券报、上海证券报、证券时报</w:t>
            </w:r>
          </w:p>
        </w:tc>
        <w:tc>
          <w:tcPr>
            <w:tcW w:w="1629" w:type="dxa"/>
            <w:vAlign w:val="center"/>
          </w:tcPr>
          <w:p w:rsidR="00644057" w:rsidRDefault="00A20092">
            <w:pPr>
              <w:jc w:val="center"/>
            </w:pPr>
            <w:r>
              <w:rPr>
                <w:color w:val="000000"/>
                <w:sz w:val="24"/>
              </w:rPr>
              <w:t>2019-04-12</w:t>
            </w:r>
          </w:p>
        </w:tc>
      </w:tr>
      <w:tr w:rsidR="00644057">
        <w:tc>
          <w:tcPr>
            <w:tcW w:w="720" w:type="dxa"/>
            <w:vAlign w:val="center"/>
          </w:tcPr>
          <w:p w:rsidR="00644057" w:rsidRDefault="00A20092">
            <w:pPr>
              <w:jc w:val="center"/>
            </w:pPr>
            <w:r>
              <w:rPr>
                <w:color w:val="000000"/>
                <w:sz w:val="24"/>
              </w:rPr>
              <w:t>11</w:t>
            </w:r>
          </w:p>
        </w:tc>
        <w:tc>
          <w:tcPr>
            <w:tcW w:w="4320" w:type="dxa"/>
            <w:vAlign w:val="center"/>
          </w:tcPr>
          <w:p w:rsidR="00644057" w:rsidRDefault="00A20092">
            <w:pPr>
              <w:jc w:val="left"/>
            </w:pPr>
            <w:r>
              <w:rPr>
                <w:color w:val="000000"/>
                <w:sz w:val="24"/>
              </w:rPr>
              <w:t>交银施罗德基金管理有限公司关于取消纸质对账单寄送的公告</w:t>
            </w:r>
          </w:p>
        </w:tc>
        <w:tc>
          <w:tcPr>
            <w:tcW w:w="2331" w:type="dxa"/>
            <w:vAlign w:val="center"/>
          </w:tcPr>
          <w:p w:rsidR="00644057" w:rsidRDefault="00A20092">
            <w:pPr>
              <w:jc w:val="center"/>
            </w:pPr>
            <w:r>
              <w:rPr>
                <w:color w:val="000000"/>
                <w:sz w:val="24"/>
              </w:rPr>
              <w:t>中国证券报、上海证券报、证券时报</w:t>
            </w:r>
          </w:p>
        </w:tc>
        <w:tc>
          <w:tcPr>
            <w:tcW w:w="1629" w:type="dxa"/>
            <w:vAlign w:val="center"/>
          </w:tcPr>
          <w:p w:rsidR="00644057" w:rsidRDefault="00A20092">
            <w:pPr>
              <w:jc w:val="center"/>
            </w:pPr>
            <w:r>
              <w:rPr>
                <w:color w:val="000000"/>
                <w:sz w:val="24"/>
              </w:rPr>
              <w:t>2019-04-12</w:t>
            </w:r>
          </w:p>
        </w:tc>
      </w:tr>
      <w:tr w:rsidR="00644057">
        <w:tc>
          <w:tcPr>
            <w:tcW w:w="720" w:type="dxa"/>
            <w:vAlign w:val="center"/>
          </w:tcPr>
          <w:p w:rsidR="00644057" w:rsidRDefault="00A20092">
            <w:pPr>
              <w:jc w:val="center"/>
            </w:pPr>
            <w:r>
              <w:rPr>
                <w:color w:val="000000"/>
                <w:sz w:val="24"/>
              </w:rPr>
              <w:t>12</w:t>
            </w:r>
          </w:p>
        </w:tc>
        <w:tc>
          <w:tcPr>
            <w:tcW w:w="4320" w:type="dxa"/>
            <w:vAlign w:val="center"/>
          </w:tcPr>
          <w:p w:rsidR="00644057" w:rsidRDefault="00A20092">
            <w:pPr>
              <w:jc w:val="left"/>
            </w:pPr>
            <w:r>
              <w:rPr>
                <w:color w:val="000000"/>
                <w:sz w:val="24"/>
              </w:rPr>
              <w:t>交银施罗德丰晟收益债券型证券投资基金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644057" w:rsidRDefault="00A20092">
            <w:pPr>
              <w:jc w:val="center"/>
            </w:pPr>
            <w:r>
              <w:rPr>
                <w:color w:val="000000"/>
                <w:sz w:val="24"/>
              </w:rPr>
              <w:t>中国证券报</w:t>
            </w:r>
          </w:p>
        </w:tc>
        <w:tc>
          <w:tcPr>
            <w:tcW w:w="1629" w:type="dxa"/>
            <w:vAlign w:val="center"/>
          </w:tcPr>
          <w:p w:rsidR="00644057" w:rsidRDefault="00A20092">
            <w:pPr>
              <w:jc w:val="center"/>
            </w:pPr>
            <w:r>
              <w:rPr>
                <w:color w:val="000000"/>
                <w:sz w:val="24"/>
              </w:rPr>
              <w:t>2019-04-20</w:t>
            </w:r>
          </w:p>
        </w:tc>
      </w:tr>
      <w:tr w:rsidR="00644057">
        <w:tc>
          <w:tcPr>
            <w:tcW w:w="720" w:type="dxa"/>
            <w:vAlign w:val="center"/>
          </w:tcPr>
          <w:p w:rsidR="00644057" w:rsidRDefault="00A20092">
            <w:pPr>
              <w:jc w:val="center"/>
            </w:pPr>
            <w:r>
              <w:rPr>
                <w:color w:val="000000"/>
                <w:sz w:val="24"/>
              </w:rPr>
              <w:t>13</w:t>
            </w:r>
          </w:p>
        </w:tc>
        <w:tc>
          <w:tcPr>
            <w:tcW w:w="4320" w:type="dxa"/>
            <w:vAlign w:val="center"/>
          </w:tcPr>
          <w:p w:rsidR="00644057" w:rsidRDefault="00A20092">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644057" w:rsidRDefault="00A20092">
            <w:pPr>
              <w:jc w:val="center"/>
            </w:pPr>
            <w:r>
              <w:rPr>
                <w:color w:val="000000"/>
                <w:sz w:val="24"/>
              </w:rPr>
              <w:t>中国证券报、上海证券报、证券时报</w:t>
            </w:r>
          </w:p>
        </w:tc>
        <w:tc>
          <w:tcPr>
            <w:tcW w:w="1629" w:type="dxa"/>
            <w:vAlign w:val="center"/>
          </w:tcPr>
          <w:p w:rsidR="00644057" w:rsidRDefault="00A20092">
            <w:pPr>
              <w:jc w:val="center"/>
            </w:pPr>
            <w:r>
              <w:rPr>
                <w:color w:val="000000"/>
                <w:sz w:val="24"/>
              </w:rPr>
              <w:t>2019-04-23</w:t>
            </w:r>
          </w:p>
        </w:tc>
      </w:tr>
      <w:tr w:rsidR="00644057">
        <w:tc>
          <w:tcPr>
            <w:tcW w:w="720" w:type="dxa"/>
            <w:vAlign w:val="center"/>
          </w:tcPr>
          <w:p w:rsidR="00644057" w:rsidRDefault="00A20092">
            <w:pPr>
              <w:jc w:val="center"/>
            </w:pPr>
            <w:r>
              <w:rPr>
                <w:color w:val="000000"/>
                <w:sz w:val="24"/>
              </w:rPr>
              <w:t>14</w:t>
            </w:r>
          </w:p>
        </w:tc>
        <w:tc>
          <w:tcPr>
            <w:tcW w:w="4320" w:type="dxa"/>
            <w:vAlign w:val="center"/>
          </w:tcPr>
          <w:p w:rsidR="00644057" w:rsidRDefault="00A20092">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644057" w:rsidRDefault="00A20092">
            <w:pPr>
              <w:jc w:val="center"/>
            </w:pPr>
            <w:r>
              <w:rPr>
                <w:color w:val="000000"/>
                <w:sz w:val="24"/>
              </w:rPr>
              <w:t>中国证券报、上海证券报、证券时报</w:t>
            </w:r>
          </w:p>
        </w:tc>
        <w:tc>
          <w:tcPr>
            <w:tcW w:w="1629" w:type="dxa"/>
            <w:vAlign w:val="center"/>
          </w:tcPr>
          <w:p w:rsidR="00644057" w:rsidRDefault="00A20092">
            <w:pPr>
              <w:jc w:val="center"/>
            </w:pPr>
            <w:r>
              <w:rPr>
                <w:color w:val="000000"/>
                <w:sz w:val="24"/>
              </w:rPr>
              <w:t>2019-05-23</w:t>
            </w:r>
          </w:p>
        </w:tc>
      </w:tr>
      <w:tr w:rsidR="00644057">
        <w:tc>
          <w:tcPr>
            <w:tcW w:w="720" w:type="dxa"/>
            <w:vAlign w:val="center"/>
          </w:tcPr>
          <w:p w:rsidR="00644057" w:rsidRDefault="00A20092">
            <w:pPr>
              <w:jc w:val="center"/>
            </w:pPr>
            <w:r>
              <w:rPr>
                <w:color w:val="000000"/>
                <w:sz w:val="24"/>
              </w:rPr>
              <w:t>15</w:t>
            </w:r>
          </w:p>
        </w:tc>
        <w:tc>
          <w:tcPr>
            <w:tcW w:w="4320" w:type="dxa"/>
            <w:vAlign w:val="center"/>
          </w:tcPr>
          <w:p w:rsidR="00644057" w:rsidRDefault="00A20092">
            <w:pPr>
              <w:jc w:val="left"/>
            </w:pPr>
            <w:r>
              <w:rPr>
                <w:color w:val="000000"/>
                <w:sz w:val="24"/>
              </w:rPr>
              <w:t>交银施罗德丰晟收益债券型证券投资基金（更新）招募说明书摘要（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644057" w:rsidRDefault="00A20092">
            <w:pPr>
              <w:jc w:val="center"/>
            </w:pPr>
            <w:r>
              <w:rPr>
                <w:color w:val="000000"/>
                <w:sz w:val="24"/>
              </w:rPr>
              <w:t>中国证券报</w:t>
            </w:r>
          </w:p>
        </w:tc>
        <w:tc>
          <w:tcPr>
            <w:tcW w:w="1629" w:type="dxa"/>
            <w:vAlign w:val="center"/>
          </w:tcPr>
          <w:p w:rsidR="00644057" w:rsidRDefault="00A20092">
            <w:pPr>
              <w:jc w:val="center"/>
            </w:pPr>
            <w:r>
              <w:rPr>
                <w:color w:val="000000"/>
                <w:sz w:val="24"/>
              </w:rPr>
              <w:t>2019-07-06</w:t>
            </w:r>
          </w:p>
        </w:tc>
      </w:tr>
      <w:tr w:rsidR="00644057">
        <w:tc>
          <w:tcPr>
            <w:tcW w:w="720" w:type="dxa"/>
            <w:vAlign w:val="center"/>
          </w:tcPr>
          <w:p w:rsidR="00644057" w:rsidRDefault="00A20092">
            <w:pPr>
              <w:jc w:val="center"/>
            </w:pPr>
            <w:r>
              <w:rPr>
                <w:color w:val="000000"/>
                <w:sz w:val="24"/>
              </w:rPr>
              <w:t>16</w:t>
            </w:r>
          </w:p>
        </w:tc>
        <w:tc>
          <w:tcPr>
            <w:tcW w:w="4320" w:type="dxa"/>
            <w:vAlign w:val="center"/>
          </w:tcPr>
          <w:p w:rsidR="00644057" w:rsidRDefault="00A20092">
            <w:pPr>
              <w:jc w:val="left"/>
            </w:pPr>
            <w:r>
              <w:rPr>
                <w:color w:val="000000"/>
                <w:sz w:val="24"/>
              </w:rPr>
              <w:t>交银施罗德丰晟收益债券型证券投资基金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644057" w:rsidRDefault="00A20092">
            <w:pPr>
              <w:jc w:val="center"/>
            </w:pPr>
            <w:r>
              <w:rPr>
                <w:color w:val="000000"/>
                <w:sz w:val="24"/>
              </w:rPr>
              <w:t>中国证券报</w:t>
            </w:r>
          </w:p>
        </w:tc>
        <w:tc>
          <w:tcPr>
            <w:tcW w:w="1629" w:type="dxa"/>
            <w:vAlign w:val="center"/>
          </w:tcPr>
          <w:p w:rsidR="00644057" w:rsidRDefault="00A20092">
            <w:pPr>
              <w:jc w:val="center"/>
            </w:pPr>
            <w:r>
              <w:rPr>
                <w:color w:val="000000"/>
                <w:sz w:val="24"/>
              </w:rPr>
              <w:t>2019-07-17</w:t>
            </w:r>
          </w:p>
        </w:tc>
      </w:tr>
      <w:tr w:rsidR="00644057">
        <w:tc>
          <w:tcPr>
            <w:tcW w:w="720" w:type="dxa"/>
            <w:vAlign w:val="center"/>
          </w:tcPr>
          <w:p w:rsidR="00644057" w:rsidRDefault="00A20092">
            <w:pPr>
              <w:jc w:val="center"/>
            </w:pPr>
            <w:r>
              <w:rPr>
                <w:color w:val="000000"/>
                <w:sz w:val="24"/>
              </w:rPr>
              <w:t>17</w:t>
            </w:r>
          </w:p>
        </w:tc>
        <w:tc>
          <w:tcPr>
            <w:tcW w:w="4320" w:type="dxa"/>
            <w:vAlign w:val="center"/>
          </w:tcPr>
          <w:p w:rsidR="00644057" w:rsidRDefault="00A20092">
            <w:pPr>
              <w:jc w:val="left"/>
            </w:pPr>
            <w:r>
              <w:rPr>
                <w:color w:val="000000"/>
                <w:sz w:val="24"/>
              </w:rPr>
              <w:t>交银施罗德基金管理有限公司关于基金经理休假由他人代为履职的公告</w:t>
            </w:r>
          </w:p>
        </w:tc>
        <w:tc>
          <w:tcPr>
            <w:tcW w:w="2331" w:type="dxa"/>
            <w:vAlign w:val="center"/>
          </w:tcPr>
          <w:p w:rsidR="00644057" w:rsidRDefault="00A20092">
            <w:pPr>
              <w:jc w:val="center"/>
            </w:pPr>
            <w:r>
              <w:rPr>
                <w:color w:val="000000"/>
                <w:sz w:val="24"/>
              </w:rPr>
              <w:t>中国证券报、上海证券报、证券时报</w:t>
            </w:r>
          </w:p>
        </w:tc>
        <w:tc>
          <w:tcPr>
            <w:tcW w:w="1629" w:type="dxa"/>
            <w:vAlign w:val="center"/>
          </w:tcPr>
          <w:p w:rsidR="00644057" w:rsidRDefault="00A20092">
            <w:pPr>
              <w:jc w:val="center"/>
            </w:pPr>
            <w:r>
              <w:rPr>
                <w:color w:val="000000"/>
                <w:sz w:val="24"/>
              </w:rPr>
              <w:t>2019-08-10</w:t>
            </w:r>
          </w:p>
        </w:tc>
      </w:tr>
      <w:tr w:rsidR="00644057">
        <w:tc>
          <w:tcPr>
            <w:tcW w:w="720" w:type="dxa"/>
            <w:vAlign w:val="center"/>
          </w:tcPr>
          <w:p w:rsidR="00644057" w:rsidRDefault="00A20092">
            <w:pPr>
              <w:jc w:val="center"/>
            </w:pPr>
            <w:r>
              <w:rPr>
                <w:color w:val="000000"/>
                <w:sz w:val="24"/>
              </w:rPr>
              <w:t>18</w:t>
            </w:r>
          </w:p>
        </w:tc>
        <w:tc>
          <w:tcPr>
            <w:tcW w:w="4320" w:type="dxa"/>
            <w:vAlign w:val="center"/>
          </w:tcPr>
          <w:p w:rsidR="00644057" w:rsidRDefault="00A20092">
            <w:pPr>
              <w:jc w:val="left"/>
            </w:pPr>
            <w:r>
              <w:rPr>
                <w:color w:val="000000"/>
                <w:sz w:val="24"/>
              </w:rPr>
              <w:t>交银施罗德丰晟收益债券型证券投资基金</w:t>
            </w:r>
            <w:r>
              <w:rPr>
                <w:color w:val="000000"/>
                <w:sz w:val="24"/>
              </w:rPr>
              <w:t>2019</w:t>
            </w:r>
            <w:r>
              <w:rPr>
                <w:color w:val="000000"/>
                <w:sz w:val="24"/>
              </w:rPr>
              <w:t>年半年度报告摘要</w:t>
            </w:r>
          </w:p>
        </w:tc>
        <w:tc>
          <w:tcPr>
            <w:tcW w:w="2331" w:type="dxa"/>
            <w:vAlign w:val="center"/>
          </w:tcPr>
          <w:p w:rsidR="00644057" w:rsidRDefault="00A20092">
            <w:pPr>
              <w:jc w:val="center"/>
            </w:pPr>
            <w:r>
              <w:rPr>
                <w:color w:val="000000"/>
                <w:sz w:val="24"/>
              </w:rPr>
              <w:t>中国证券报</w:t>
            </w:r>
          </w:p>
        </w:tc>
        <w:tc>
          <w:tcPr>
            <w:tcW w:w="1629" w:type="dxa"/>
            <w:vAlign w:val="center"/>
          </w:tcPr>
          <w:p w:rsidR="00644057" w:rsidRDefault="00A20092">
            <w:pPr>
              <w:jc w:val="center"/>
            </w:pPr>
            <w:r>
              <w:rPr>
                <w:color w:val="000000"/>
                <w:sz w:val="24"/>
              </w:rPr>
              <w:t>2019-08-29</w:t>
            </w:r>
          </w:p>
        </w:tc>
      </w:tr>
      <w:tr w:rsidR="00644057">
        <w:tc>
          <w:tcPr>
            <w:tcW w:w="720" w:type="dxa"/>
            <w:vAlign w:val="center"/>
          </w:tcPr>
          <w:p w:rsidR="00644057" w:rsidRDefault="00A20092">
            <w:pPr>
              <w:jc w:val="center"/>
            </w:pPr>
            <w:r>
              <w:rPr>
                <w:color w:val="000000"/>
                <w:sz w:val="24"/>
              </w:rPr>
              <w:t>19</w:t>
            </w:r>
          </w:p>
        </w:tc>
        <w:tc>
          <w:tcPr>
            <w:tcW w:w="4320" w:type="dxa"/>
            <w:vAlign w:val="center"/>
          </w:tcPr>
          <w:p w:rsidR="00644057" w:rsidRDefault="00A20092">
            <w:pPr>
              <w:jc w:val="left"/>
            </w:pPr>
            <w:r>
              <w:rPr>
                <w:color w:val="000000"/>
                <w:sz w:val="24"/>
              </w:rPr>
              <w:t>交银施罗德基金管理有限公司关于首席信息官任职的公告</w:t>
            </w:r>
          </w:p>
        </w:tc>
        <w:tc>
          <w:tcPr>
            <w:tcW w:w="2331" w:type="dxa"/>
            <w:vAlign w:val="center"/>
          </w:tcPr>
          <w:p w:rsidR="00644057" w:rsidRDefault="00A20092">
            <w:pPr>
              <w:jc w:val="center"/>
            </w:pPr>
            <w:r>
              <w:rPr>
                <w:color w:val="000000"/>
                <w:sz w:val="24"/>
              </w:rPr>
              <w:t>中国证券报、上海证券报、证券时报</w:t>
            </w:r>
          </w:p>
        </w:tc>
        <w:tc>
          <w:tcPr>
            <w:tcW w:w="1629" w:type="dxa"/>
            <w:vAlign w:val="center"/>
          </w:tcPr>
          <w:p w:rsidR="00644057" w:rsidRDefault="00A20092">
            <w:pPr>
              <w:jc w:val="center"/>
            </w:pPr>
            <w:r>
              <w:rPr>
                <w:color w:val="000000"/>
                <w:sz w:val="24"/>
              </w:rPr>
              <w:t>2019-09-21</w:t>
            </w:r>
          </w:p>
        </w:tc>
      </w:tr>
      <w:tr w:rsidR="00644057">
        <w:tc>
          <w:tcPr>
            <w:tcW w:w="720" w:type="dxa"/>
            <w:vAlign w:val="center"/>
          </w:tcPr>
          <w:p w:rsidR="00644057" w:rsidRDefault="00A20092">
            <w:pPr>
              <w:jc w:val="center"/>
            </w:pPr>
            <w:r>
              <w:rPr>
                <w:color w:val="000000"/>
                <w:sz w:val="24"/>
              </w:rPr>
              <w:t>20</w:t>
            </w:r>
          </w:p>
        </w:tc>
        <w:tc>
          <w:tcPr>
            <w:tcW w:w="4320" w:type="dxa"/>
            <w:vAlign w:val="center"/>
          </w:tcPr>
          <w:p w:rsidR="00644057" w:rsidRDefault="00A20092">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644057" w:rsidRDefault="00A20092">
            <w:pPr>
              <w:jc w:val="center"/>
            </w:pPr>
            <w:r>
              <w:rPr>
                <w:color w:val="000000"/>
                <w:sz w:val="24"/>
              </w:rPr>
              <w:t>中国证券报、上海证券报、证券时报</w:t>
            </w:r>
          </w:p>
        </w:tc>
        <w:tc>
          <w:tcPr>
            <w:tcW w:w="1629" w:type="dxa"/>
            <w:vAlign w:val="center"/>
          </w:tcPr>
          <w:p w:rsidR="00644057" w:rsidRDefault="00A20092">
            <w:pPr>
              <w:jc w:val="center"/>
            </w:pPr>
            <w:r>
              <w:rPr>
                <w:color w:val="000000"/>
                <w:sz w:val="24"/>
              </w:rPr>
              <w:t>2019-10-22</w:t>
            </w:r>
          </w:p>
        </w:tc>
      </w:tr>
      <w:tr w:rsidR="00644057">
        <w:tc>
          <w:tcPr>
            <w:tcW w:w="720" w:type="dxa"/>
            <w:vAlign w:val="center"/>
          </w:tcPr>
          <w:p w:rsidR="00644057" w:rsidRDefault="00A20092">
            <w:pPr>
              <w:jc w:val="center"/>
            </w:pPr>
            <w:r>
              <w:rPr>
                <w:color w:val="000000"/>
                <w:sz w:val="24"/>
              </w:rPr>
              <w:t>21</w:t>
            </w:r>
          </w:p>
        </w:tc>
        <w:tc>
          <w:tcPr>
            <w:tcW w:w="4320" w:type="dxa"/>
            <w:vAlign w:val="center"/>
          </w:tcPr>
          <w:p w:rsidR="00644057" w:rsidRDefault="00A20092">
            <w:pPr>
              <w:jc w:val="left"/>
            </w:pPr>
            <w:r>
              <w:rPr>
                <w:color w:val="000000"/>
                <w:sz w:val="24"/>
              </w:rPr>
              <w:t>交银施罗德丰晟收益债券型证券投资基金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644057" w:rsidRDefault="00A20092">
            <w:pPr>
              <w:jc w:val="center"/>
            </w:pPr>
            <w:r>
              <w:rPr>
                <w:color w:val="000000"/>
                <w:sz w:val="24"/>
              </w:rPr>
              <w:t>公司网站</w:t>
            </w:r>
          </w:p>
        </w:tc>
        <w:tc>
          <w:tcPr>
            <w:tcW w:w="1629" w:type="dxa"/>
            <w:vAlign w:val="center"/>
          </w:tcPr>
          <w:p w:rsidR="00644057" w:rsidRDefault="00A20092">
            <w:pPr>
              <w:jc w:val="center"/>
            </w:pPr>
            <w:r>
              <w:rPr>
                <w:color w:val="000000"/>
                <w:sz w:val="24"/>
              </w:rPr>
              <w:t>2019-10-22</w:t>
            </w:r>
          </w:p>
        </w:tc>
      </w:tr>
      <w:tr w:rsidR="00644057">
        <w:tc>
          <w:tcPr>
            <w:tcW w:w="720" w:type="dxa"/>
            <w:vAlign w:val="center"/>
          </w:tcPr>
          <w:p w:rsidR="00644057" w:rsidRDefault="00A20092">
            <w:pPr>
              <w:jc w:val="center"/>
            </w:pPr>
            <w:r>
              <w:rPr>
                <w:color w:val="000000"/>
                <w:sz w:val="24"/>
              </w:rPr>
              <w:t>22</w:t>
            </w:r>
          </w:p>
        </w:tc>
        <w:tc>
          <w:tcPr>
            <w:tcW w:w="4320" w:type="dxa"/>
            <w:vAlign w:val="center"/>
          </w:tcPr>
          <w:p w:rsidR="00644057" w:rsidRDefault="00A20092">
            <w:pPr>
              <w:jc w:val="left"/>
            </w:pPr>
            <w:r>
              <w:rPr>
                <w:color w:val="000000"/>
                <w:sz w:val="24"/>
              </w:rPr>
              <w:t>交银施罗德基金管理有限公司关于提醒投资者及时提供或更新身份信息资料的公告</w:t>
            </w:r>
          </w:p>
        </w:tc>
        <w:tc>
          <w:tcPr>
            <w:tcW w:w="2331" w:type="dxa"/>
            <w:vAlign w:val="center"/>
          </w:tcPr>
          <w:p w:rsidR="00644057" w:rsidRDefault="00A20092">
            <w:pPr>
              <w:jc w:val="center"/>
            </w:pPr>
            <w:r>
              <w:rPr>
                <w:color w:val="000000"/>
                <w:sz w:val="24"/>
              </w:rPr>
              <w:t>中国证券报、上海证券报、证券时报</w:t>
            </w:r>
          </w:p>
        </w:tc>
        <w:tc>
          <w:tcPr>
            <w:tcW w:w="1629" w:type="dxa"/>
            <w:vAlign w:val="center"/>
          </w:tcPr>
          <w:p w:rsidR="00644057" w:rsidRDefault="00A20092">
            <w:pPr>
              <w:jc w:val="center"/>
            </w:pPr>
            <w:r>
              <w:rPr>
                <w:color w:val="000000"/>
                <w:sz w:val="24"/>
              </w:rPr>
              <w:t>2019-10-28</w:t>
            </w:r>
          </w:p>
        </w:tc>
      </w:tr>
      <w:tr w:rsidR="00644057">
        <w:tc>
          <w:tcPr>
            <w:tcW w:w="720" w:type="dxa"/>
            <w:vAlign w:val="center"/>
          </w:tcPr>
          <w:p w:rsidR="00644057" w:rsidRDefault="00A20092">
            <w:pPr>
              <w:jc w:val="center"/>
            </w:pPr>
            <w:r>
              <w:rPr>
                <w:color w:val="000000"/>
                <w:sz w:val="24"/>
              </w:rPr>
              <w:t>23</w:t>
            </w:r>
          </w:p>
        </w:tc>
        <w:tc>
          <w:tcPr>
            <w:tcW w:w="4320" w:type="dxa"/>
            <w:vAlign w:val="center"/>
          </w:tcPr>
          <w:p w:rsidR="00644057" w:rsidRDefault="00A20092">
            <w:pPr>
              <w:jc w:val="left"/>
            </w:pPr>
            <w:r>
              <w:rPr>
                <w:color w:val="000000"/>
                <w:sz w:val="24"/>
              </w:rPr>
              <w:t>交银施罗德基金管理有限公司根据《公开募集证券投资基金信息披露管理办法》修改旗下</w:t>
            </w:r>
            <w:r>
              <w:rPr>
                <w:color w:val="000000"/>
                <w:sz w:val="24"/>
              </w:rPr>
              <w:t>31</w:t>
            </w:r>
            <w:r>
              <w:rPr>
                <w:color w:val="000000"/>
                <w:sz w:val="24"/>
              </w:rPr>
              <w:t>只公募</w:t>
            </w:r>
            <w:proofErr w:type="gramStart"/>
            <w:r>
              <w:rPr>
                <w:color w:val="000000"/>
                <w:sz w:val="24"/>
              </w:rPr>
              <w:t>基金基金</w:t>
            </w:r>
            <w:proofErr w:type="gramEnd"/>
            <w:r>
              <w:rPr>
                <w:color w:val="000000"/>
                <w:sz w:val="24"/>
              </w:rPr>
              <w:t>合同、托管协议及招募说明书的公告</w:t>
            </w:r>
          </w:p>
        </w:tc>
        <w:tc>
          <w:tcPr>
            <w:tcW w:w="2331" w:type="dxa"/>
            <w:vAlign w:val="center"/>
          </w:tcPr>
          <w:p w:rsidR="00644057" w:rsidRDefault="00A20092">
            <w:pPr>
              <w:jc w:val="center"/>
            </w:pPr>
            <w:r>
              <w:rPr>
                <w:color w:val="000000"/>
                <w:sz w:val="24"/>
              </w:rPr>
              <w:t>中国证券报、上海证券报、证券时报</w:t>
            </w:r>
          </w:p>
        </w:tc>
        <w:tc>
          <w:tcPr>
            <w:tcW w:w="1629" w:type="dxa"/>
            <w:vAlign w:val="center"/>
          </w:tcPr>
          <w:p w:rsidR="00644057" w:rsidRDefault="00A20092">
            <w:pPr>
              <w:jc w:val="center"/>
            </w:pPr>
            <w:r>
              <w:rPr>
                <w:color w:val="000000"/>
                <w:sz w:val="24"/>
              </w:rPr>
              <w:t>2019-11-06</w:t>
            </w:r>
          </w:p>
        </w:tc>
      </w:tr>
      <w:tr w:rsidR="00644057">
        <w:tc>
          <w:tcPr>
            <w:tcW w:w="720" w:type="dxa"/>
            <w:vAlign w:val="center"/>
          </w:tcPr>
          <w:p w:rsidR="00644057" w:rsidRDefault="00A20092">
            <w:pPr>
              <w:jc w:val="center"/>
            </w:pPr>
            <w:r>
              <w:rPr>
                <w:color w:val="000000"/>
                <w:sz w:val="24"/>
              </w:rPr>
              <w:t>24</w:t>
            </w:r>
          </w:p>
        </w:tc>
        <w:tc>
          <w:tcPr>
            <w:tcW w:w="4320" w:type="dxa"/>
            <w:vAlign w:val="center"/>
          </w:tcPr>
          <w:p w:rsidR="00644057" w:rsidRDefault="00A20092">
            <w:pPr>
              <w:jc w:val="left"/>
            </w:pPr>
            <w:r>
              <w:rPr>
                <w:color w:val="000000"/>
                <w:sz w:val="24"/>
              </w:rPr>
              <w:t>交银施罗德丰晟收益债券型证券投资</w:t>
            </w:r>
            <w:proofErr w:type="gramStart"/>
            <w:r>
              <w:rPr>
                <w:color w:val="000000"/>
                <w:sz w:val="24"/>
              </w:rPr>
              <w:t>基金基金</w:t>
            </w:r>
            <w:proofErr w:type="gramEnd"/>
            <w:r>
              <w:rPr>
                <w:color w:val="000000"/>
                <w:sz w:val="24"/>
              </w:rPr>
              <w:t>合同</w:t>
            </w:r>
          </w:p>
        </w:tc>
        <w:tc>
          <w:tcPr>
            <w:tcW w:w="2331" w:type="dxa"/>
            <w:vAlign w:val="center"/>
          </w:tcPr>
          <w:p w:rsidR="00644057" w:rsidRDefault="00A20092">
            <w:pPr>
              <w:jc w:val="center"/>
            </w:pPr>
            <w:r>
              <w:rPr>
                <w:color w:val="000000"/>
                <w:sz w:val="24"/>
              </w:rPr>
              <w:t>公司网站</w:t>
            </w:r>
          </w:p>
        </w:tc>
        <w:tc>
          <w:tcPr>
            <w:tcW w:w="1629" w:type="dxa"/>
            <w:vAlign w:val="center"/>
          </w:tcPr>
          <w:p w:rsidR="00644057" w:rsidRDefault="00A20092">
            <w:pPr>
              <w:jc w:val="center"/>
            </w:pPr>
            <w:r>
              <w:rPr>
                <w:color w:val="000000"/>
                <w:sz w:val="24"/>
              </w:rPr>
              <w:t>2019-11-06</w:t>
            </w:r>
          </w:p>
        </w:tc>
      </w:tr>
      <w:tr w:rsidR="00644057">
        <w:tc>
          <w:tcPr>
            <w:tcW w:w="720" w:type="dxa"/>
            <w:vAlign w:val="center"/>
          </w:tcPr>
          <w:p w:rsidR="00644057" w:rsidRDefault="00A20092">
            <w:pPr>
              <w:jc w:val="center"/>
            </w:pPr>
            <w:r>
              <w:rPr>
                <w:color w:val="000000"/>
                <w:sz w:val="24"/>
              </w:rPr>
              <w:t>25</w:t>
            </w:r>
          </w:p>
        </w:tc>
        <w:tc>
          <w:tcPr>
            <w:tcW w:w="4320" w:type="dxa"/>
            <w:vAlign w:val="center"/>
          </w:tcPr>
          <w:p w:rsidR="00644057" w:rsidRDefault="00A20092">
            <w:pPr>
              <w:jc w:val="left"/>
            </w:pPr>
            <w:r>
              <w:rPr>
                <w:color w:val="000000"/>
                <w:sz w:val="24"/>
              </w:rPr>
              <w:t>交银施罗德丰晟收益债券型证券投资基金托管协议</w:t>
            </w:r>
          </w:p>
        </w:tc>
        <w:tc>
          <w:tcPr>
            <w:tcW w:w="2331" w:type="dxa"/>
            <w:vAlign w:val="center"/>
          </w:tcPr>
          <w:p w:rsidR="00644057" w:rsidRDefault="00A20092">
            <w:pPr>
              <w:jc w:val="center"/>
            </w:pPr>
            <w:r>
              <w:rPr>
                <w:color w:val="000000"/>
                <w:sz w:val="24"/>
              </w:rPr>
              <w:t>公司网站</w:t>
            </w:r>
          </w:p>
        </w:tc>
        <w:tc>
          <w:tcPr>
            <w:tcW w:w="1629" w:type="dxa"/>
            <w:vAlign w:val="center"/>
          </w:tcPr>
          <w:p w:rsidR="00644057" w:rsidRDefault="00A20092">
            <w:pPr>
              <w:jc w:val="center"/>
            </w:pPr>
            <w:r>
              <w:rPr>
                <w:color w:val="000000"/>
                <w:sz w:val="24"/>
              </w:rPr>
              <w:t>2019-11-06</w:t>
            </w:r>
          </w:p>
        </w:tc>
      </w:tr>
      <w:tr w:rsidR="00644057">
        <w:tc>
          <w:tcPr>
            <w:tcW w:w="720" w:type="dxa"/>
            <w:vAlign w:val="center"/>
          </w:tcPr>
          <w:p w:rsidR="00644057" w:rsidRDefault="00A20092">
            <w:pPr>
              <w:jc w:val="center"/>
            </w:pPr>
            <w:r>
              <w:rPr>
                <w:color w:val="000000"/>
                <w:sz w:val="24"/>
              </w:rPr>
              <w:t>26</w:t>
            </w:r>
          </w:p>
        </w:tc>
        <w:tc>
          <w:tcPr>
            <w:tcW w:w="4320" w:type="dxa"/>
            <w:vAlign w:val="center"/>
          </w:tcPr>
          <w:p w:rsidR="00644057" w:rsidRDefault="00A20092">
            <w:pPr>
              <w:jc w:val="left"/>
            </w:pPr>
            <w:r>
              <w:rPr>
                <w:color w:val="000000"/>
                <w:sz w:val="24"/>
              </w:rPr>
              <w:t>交银施罗德丰晟收益债券型证券投资基金招募说明书</w:t>
            </w:r>
          </w:p>
        </w:tc>
        <w:tc>
          <w:tcPr>
            <w:tcW w:w="2331" w:type="dxa"/>
            <w:vAlign w:val="center"/>
          </w:tcPr>
          <w:p w:rsidR="00644057" w:rsidRDefault="00A20092">
            <w:pPr>
              <w:jc w:val="center"/>
            </w:pPr>
            <w:r>
              <w:rPr>
                <w:color w:val="000000"/>
                <w:sz w:val="24"/>
              </w:rPr>
              <w:t>公司网站</w:t>
            </w:r>
          </w:p>
        </w:tc>
        <w:tc>
          <w:tcPr>
            <w:tcW w:w="1629" w:type="dxa"/>
            <w:vAlign w:val="center"/>
          </w:tcPr>
          <w:p w:rsidR="00644057" w:rsidRDefault="00A20092">
            <w:pPr>
              <w:jc w:val="center"/>
            </w:pPr>
            <w:r>
              <w:rPr>
                <w:color w:val="000000"/>
                <w:sz w:val="24"/>
              </w:rPr>
              <w:t>2019-11-06</w:t>
            </w:r>
          </w:p>
        </w:tc>
      </w:tr>
      <w:tr w:rsidR="00644057">
        <w:tc>
          <w:tcPr>
            <w:tcW w:w="720" w:type="dxa"/>
            <w:vAlign w:val="center"/>
          </w:tcPr>
          <w:p w:rsidR="00644057" w:rsidRDefault="00A20092">
            <w:pPr>
              <w:jc w:val="center"/>
            </w:pPr>
            <w:r>
              <w:rPr>
                <w:color w:val="000000"/>
                <w:sz w:val="24"/>
              </w:rPr>
              <w:t>27</w:t>
            </w:r>
          </w:p>
        </w:tc>
        <w:tc>
          <w:tcPr>
            <w:tcW w:w="4320" w:type="dxa"/>
            <w:vAlign w:val="center"/>
          </w:tcPr>
          <w:p w:rsidR="00644057" w:rsidRDefault="00A20092">
            <w:pPr>
              <w:jc w:val="left"/>
            </w:pPr>
            <w:r>
              <w:rPr>
                <w:color w:val="000000"/>
                <w:sz w:val="24"/>
              </w:rPr>
              <w:t>交银施罗德丰晟收益债券型证券投资基金招募说明书摘要</w:t>
            </w:r>
          </w:p>
        </w:tc>
        <w:tc>
          <w:tcPr>
            <w:tcW w:w="2331" w:type="dxa"/>
            <w:vAlign w:val="center"/>
          </w:tcPr>
          <w:p w:rsidR="00644057" w:rsidRDefault="00A20092">
            <w:pPr>
              <w:jc w:val="center"/>
            </w:pPr>
            <w:r>
              <w:rPr>
                <w:color w:val="000000"/>
                <w:sz w:val="24"/>
              </w:rPr>
              <w:t>公司网站</w:t>
            </w:r>
          </w:p>
        </w:tc>
        <w:tc>
          <w:tcPr>
            <w:tcW w:w="1629" w:type="dxa"/>
            <w:vAlign w:val="center"/>
          </w:tcPr>
          <w:p w:rsidR="00644057" w:rsidRDefault="00A20092">
            <w:pPr>
              <w:jc w:val="center"/>
            </w:pPr>
            <w:r>
              <w:rPr>
                <w:color w:val="000000"/>
                <w:sz w:val="24"/>
              </w:rPr>
              <w:t>2019-11-06</w:t>
            </w:r>
          </w:p>
        </w:tc>
      </w:tr>
      <w:tr w:rsidR="00644057">
        <w:tc>
          <w:tcPr>
            <w:tcW w:w="720" w:type="dxa"/>
            <w:vAlign w:val="center"/>
          </w:tcPr>
          <w:p w:rsidR="00644057" w:rsidRDefault="00A20092">
            <w:pPr>
              <w:jc w:val="center"/>
            </w:pPr>
            <w:r>
              <w:rPr>
                <w:color w:val="000000"/>
                <w:sz w:val="24"/>
              </w:rPr>
              <w:t>28</w:t>
            </w:r>
          </w:p>
        </w:tc>
        <w:tc>
          <w:tcPr>
            <w:tcW w:w="4320" w:type="dxa"/>
            <w:vAlign w:val="center"/>
          </w:tcPr>
          <w:p w:rsidR="00644057" w:rsidRDefault="00A20092">
            <w:pPr>
              <w:jc w:val="left"/>
            </w:pPr>
            <w:r>
              <w:rPr>
                <w:color w:val="000000"/>
                <w:sz w:val="24"/>
              </w:rPr>
              <w:t>交银施罗德基金管理有限公司关于增加上海大智慧基金销售有限公司为旗下基金销售机构的公告</w:t>
            </w:r>
          </w:p>
        </w:tc>
        <w:tc>
          <w:tcPr>
            <w:tcW w:w="2331" w:type="dxa"/>
            <w:vAlign w:val="center"/>
          </w:tcPr>
          <w:p w:rsidR="00644057" w:rsidRDefault="00A20092">
            <w:pPr>
              <w:jc w:val="center"/>
            </w:pPr>
            <w:r>
              <w:rPr>
                <w:color w:val="000000"/>
                <w:sz w:val="24"/>
              </w:rPr>
              <w:t>中国证券报、上海证券报、证券时报</w:t>
            </w:r>
          </w:p>
        </w:tc>
        <w:tc>
          <w:tcPr>
            <w:tcW w:w="1629" w:type="dxa"/>
            <w:vAlign w:val="center"/>
          </w:tcPr>
          <w:p w:rsidR="00644057" w:rsidRDefault="00A20092">
            <w:pPr>
              <w:jc w:val="center"/>
            </w:pPr>
            <w:r>
              <w:rPr>
                <w:color w:val="000000"/>
                <w:sz w:val="24"/>
              </w:rPr>
              <w:t>2019-12-13</w:t>
            </w:r>
          </w:p>
        </w:tc>
      </w:tr>
    </w:tbl>
    <w:p w:rsidR="00A77EF9" w:rsidRPr="000A766F" w:rsidRDefault="00A77EF9" w:rsidP="000A766F">
      <w:pPr>
        <w:tabs>
          <w:tab w:val="left" w:pos="426"/>
        </w:tabs>
        <w:spacing w:before="29" w:line="288" w:lineRule="auto"/>
        <w:jc w:val="left"/>
        <w:rPr>
          <w:kern w:val="0"/>
          <w:sz w:val="24"/>
        </w:rPr>
      </w:pPr>
    </w:p>
    <w:p w:rsidR="00BC645C" w:rsidRPr="00A32C79" w:rsidRDefault="00754346" w:rsidP="00A32C79">
      <w:pPr>
        <w:pStyle w:val="1"/>
        <w:keepNext/>
        <w:keepLines/>
        <w:widowControl w:val="0"/>
        <w:spacing w:beforeLines="100" w:before="312" w:afterLines="100" w:after="312" w:line="288" w:lineRule="auto"/>
        <w:jc w:val="center"/>
        <w:rPr>
          <w:b/>
          <w:bCs/>
          <w:szCs w:val="24"/>
          <w:lang w:val="en-US"/>
        </w:rPr>
      </w:pPr>
      <w:bookmarkStart w:id="295" w:name="_Toc374532345"/>
      <w:bookmarkStart w:id="296" w:name="_Toc35966336"/>
      <w:r w:rsidRPr="00A32C79">
        <w:rPr>
          <w:b/>
          <w:bCs/>
          <w:szCs w:val="24"/>
          <w:lang w:val="en-US"/>
        </w:rPr>
        <w:t>§</w:t>
      </w:r>
      <w:r w:rsidR="00BC645C" w:rsidRPr="00A32C79">
        <w:rPr>
          <w:b/>
          <w:bCs/>
          <w:szCs w:val="24"/>
          <w:lang w:val="en-US"/>
        </w:rPr>
        <w:t xml:space="preserve">12  </w:t>
      </w:r>
      <w:r w:rsidR="00BC645C" w:rsidRPr="00A32C79">
        <w:rPr>
          <w:b/>
          <w:bCs/>
          <w:szCs w:val="24"/>
          <w:lang w:val="en-US"/>
        </w:rPr>
        <w:t>影响投资者决策的其他重要信息</w:t>
      </w:r>
      <w:bookmarkEnd w:id="295"/>
      <w:bookmarkEnd w:id="296"/>
    </w:p>
    <w:p w:rsidR="00BC645C" w:rsidRPr="00292955" w:rsidRDefault="00BC645C" w:rsidP="00292955">
      <w:pPr>
        <w:pStyle w:val="20"/>
        <w:spacing w:before="29" w:after="0" w:line="288" w:lineRule="auto"/>
        <w:rPr>
          <w:rFonts w:ascii="Times New Roman" w:hAnsi="Times New Roman"/>
          <w:kern w:val="0"/>
          <w:szCs w:val="24"/>
        </w:rPr>
      </w:pPr>
      <w:bookmarkStart w:id="297" w:name="_Toc35966337"/>
      <w:r w:rsidRPr="00292955">
        <w:rPr>
          <w:rFonts w:ascii="Times New Roman" w:hAnsi="Times New Roman" w:hint="eastAsia"/>
          <w:kern w:val="0"/>
          <w:szCs w:val="24"/>
        </w:rPr>
        <w:t xml:space="preserve">12.1 </w:t>
      </w:r>
      <w:r w:rsidRPr="00292955">
        <w:rPr>
          <w:rFonts w:ascii="Times New Roman" w:hAnsi="Times New Roman" w:hint="eastAsia"/>
          <w:kern w:val="0"/>
          <w:szCs w:val="24"/>
        </w:rPr>
        <w:t>影响投资者决策的其他重要信息</w:t>
      </w:r>
      <w:bookmarkEnd w:id="297"/>
    </w:p>
    <w:p w:rsidR="00BC645C" w:rsidRPr="00292955" w:rsidRDefault="00BC645C" w:rsidP="00292955">
      <w:pPr>
        <w:spacing w:before="29" w:line="288" w:lineRule="auto"/>
        <w:ind w:firstLineChars="200" w:firstLine="480"/>
        <w:rPr>
          <w:kern w:val="0"/>
          <w:sz w:val="24"/>
        </w:rPr>
      </w:pPr>
      <w:r w:rsidRPr="00292955">
        <w:rPr>
          <w:kern w:val="0"/>
          <w:sz w:val="24"/>
        </w:rPr>
        <w:t>根据《公开募集证券投资基金信息披露管理办法》的有关规定及相关监管要求，经与基金托管人协商一致并报监管机构备案，基金管理人对本</w:t>
      </w:r>
      <w:proofErr w:type="gramStart"/>
      <w:r w:rsidRPr="00292955">
        <w:rPr>
          <w:kern w:val="0"/>
          <w:sz w:val="24"/>
        </w:rPr>
        <w:t>基金基金</w:t>
      </w:r>
      <w:proofErr w:type="gramEnd"/>
      <w:r w:rsidRPr="00292955">
        <w:rPr>
          <w:kern w:val="0"/>
          <w:sz w:val="24"/>
        </w:rPr>
        <w:t>合同等法律文件中信息披露相关规定作相应修改，欲知详情请查阅本基金管理人发布的最新法律文件。</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98" w:name="_Toc225500055"/>
      <w:bookmarkStart w:id="299" w:name="_Toc361324903"/>
      <w:bookmarkStart w:id="300" w:name="_Toc35966338"/>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298"/>
      <w:bookmarkEnd w:id="299"/>
      <w:bookmarkEnd w:id="300"/>
    </w:p>
    <w:p w:rsidR="00DB6EA0" w:rsidRPr="00DB6EA0" w:rsidRDefault="00DB6EA0" w:rsidP="00DB6EA0"/>
    <w:p w:rsidR="001A59F9" w:rsidRPr="00292955" w:rsidRDefault="001A59F9" w:rsidP="00292955">
      <w:pPr>
        <w:pStyle w:val="20"/>
        <w:spacing w:before="29" w:after="0" w:line="288" w:lineRule="auto"/>
        <w:rPr>
          <w:rFonts w:ascii="Times New Roman" w:hAnsi="Times New Roman"/>
          <w:kern w:val="0"/>
          <w:szCs w:val="24"/>
        </w:rPr>
      </w:pPr>
      <w:bookmarkStart w:id="301" w:name="_Toc361324904"/>
      <w:bookmarkStart w:id="302" w:name="_Toc35966339"/>
      <w:r w:rsidRPr="00292955">
        <w:rPr>
          <w:rFonts w:ascii="Times New Roman" w:hAnsi="Times New Roman"/>
          <w:kern w:val="0"/>
          <w:szCs w:val="24"/>
        </w:rPr>
        <w:t xml:space="preserve">13.1 </w:t>
      </w:r>
      <w:r w:rsidRPr="00292955">
        <w:rPr>
          <w:rFonts w:ascii="Times New Roman" w:hAnsi="Times New Roman" w:hint="eastAsia"/>
          <w:kern w:val="0"/>
          <w:szCs w:val="24"/>
        </w:rPr>
        <w:t>备查文件目录</w:t>
      </w:r>
      <w:bookmarkEnd w:id="301"/>
      <w:bookmarkEnd w:id="302"/>
    </w:p>
    <w:p w:rsidR="00644057" w:rsidRDefault="00A20092">
      <w:pPr>
        <w:spacing w:before="29" w:line="288" w:lineRule="auto"/>
        <w:rPr>
          <w:kern w:val="0"/>
          <w:sz w:val="24"/>
        </w:rPr>
      </w:pPr>
      <w:r>
        <w:rPr>
          <w:kern w:val="0"/>
          <w:sz w:val="24"/>
        </w:rPr>
        <w:t>1</w:t>
      </w:r>
      <w:r>
        <w:rPr>
          <w:kern w:val="0"/>
          <w:sz w:val="24"/>
        </w:rPr>
        <w:t>、中国证监会准予交银施罗德丰晟收益债券型证券投资基金募集注册的文件；</w:t>
      </w:r>
      <w:r>
        <w:rPr>
          <w:kern w:val="0"/>
          <w:sz w:val="24"/>
        </w:rPr>
        <w:t xml:space="preserve"> </w:t>
      </w:r>
    </w:p>
    <w:p w:rsidR="00644057" w:rsidRDefault="00A20092">
      <w:pPr>
        <w:spacing w:before="29" w:line="288" w:lineRule="auto"/>
        <w:rPr>
          <w:kern w:val="0"/>
          <w:sz w:val="24"/>
        </w:rPr>
      </w:pPr>
      <w:r>
        <w:rPr>
          <w:kern w:val="0"/>
          <w:sz w:val="24"/>
        </w:rPr>
        <w:t>2</w:t>
      </w:r>
      <w:r>
        <w:rPr>
          <w:kern w:val="0"/>
          <w:sz w:val="24"/>
        </w:rPr>
        <w:t>、《交银施罗德丰晟收益债券型证券投资基金基金合同》；</w:t>
      </w:r>
      <w:r>
        <w:rPr>
          <w:kern w:val="0"/>
          <w:sz w:val="24"/>
        </w:rPr>
        <w:t xml:space="preserve"> </w:t>
      </w:r>
    </w:p>
    <w:p w:rsidR="00644057" w:rsidRDefault="00A20092">
      <w:pPr>
        <w:spacing w:before="29" w:line="288" w:lineRule="auto"/>
        <w:rPr>
          <w:kern w:val="0"/>
          <w:sz w:val="24"/>
        </w:rPr>
      </w:pPr>
      <w:r>
        <w:rPr>
          <w:kern w:val="0"/>
          <w:sz w:val="24"/>
        </w:rPr>
        <w:t>3</w:t>
      </w:r>
      <w:r>
        <w:rPr>
          <w:kern w:val="0"/>
          <w:sz w:val="24"/>
        </w:rPr>
        <w:t>、《交银施罗德丰晟收益债券型证券投资基金招募说明书》；</w:t>
      </w:r>
      <w:r>
        <w:rPr>
          <w:kern w:val="0"/>
          <w:sz w:val="24"/>
        </w:rPr>
        <w:t xml:space="preserve"> </w:t>
      </w:r>
    </w:p>
    <w:p w:rsidR="00644057" w:rsidRDefault="00A20092">
      <w:pPr>
        <w:spacing w:before="29" w:line="288" w:lineRule="auto"/>
        <w:rPr>
          <w:kern w:val="0"/>
          <w:sz w:val="24"/>
        </w:rPr>
      </w:pPr>
      <w:r>
        <w:rPr>
          <w:kern w:val="0"/>
          <w:sz w:val="24"/>
        </w:rPr>
        <w:t>4</w:t>
      </w:r>
      <w:r>
        <w:rPr>
          <w:kern w:val="0"/>
          <w:sz w:val="24"/>
        </w:rPr>
        <w:t>、《交银施罗德丰晟收益债券型证券投资基金托管协议》；</w:t>
      </w:r>
      <w:r>
        <w:rPr>
          <w:kern w:val="0"/>
          <w:sz w:val="24"/>
        </w:rPr>
        <w:t xml:space="preserve"> </w:t>
      </w:r>
    </w:p>
    <w:p w:rsidR="00644057" w:rsidRDefault="00A20092">
      <w:pPr>
        <w:spacing w:before="29" w:line="288" w:lineRule="auto"/>
        <w:rPr>
          <w:kern w:val="0"/>
          <w:sz w:val="24"/>
        </w:rPr>
      </w:pPr>
      <w:r>
        <w:rPr>
          <w:kern w:val="0"/>
          <w:sz w:val="24"/>
        </w:rPr>
        <w:t>5</w:t>
      </w:r>
      <w:r>
        <w:rPr>
          <w:kern w:val="0"/>
          <w:sz w:val="24"/>
        </w:rPr>
        <w:t>、关于申请募集注册交银施罗德丰晟收益债券型证券投资基金的法律意见书；</w:t>
      </w:r>
      <w:r>
        <w:rPr>
          <w:kern w:val="0"/>
          <w:sz w:val="24"/>
        </w:rPr>
        <w:t xml:space="preserve"> </w:t>
      </w:r>
    </w:p>
    <w:p w:rsidR="00644057" w:rsidRDefault="00A20092">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644057" w:rsidRDefault="00A20092">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、报告期内交银施罗德丰晟收益债券型证券投资基金在指定报刊上各项公告的原稿。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292955" w:rsidRDefault="001A59F9" w:rsidP="00292955">
      <w:pPr>
        <w:pStyle w:val="20"/>
        <w:spacing w:before="29" w:after="0" w:line="288" w:lineRule="auto"/>
        <w:rPr>
          <w:rFonts w:ascii="Times New Roman" w:hAnsi="Times New Roman"/>
          <w:kern w:val="0"/>
          <w:szCs w:val="24"/>
        </w:rPr>
      </w:pPr>
      <w:bookmarkStart w:id="303" w:name="_Toc361324905"/>
      <w:bookmarkStart w:id="304" w:name="_Toc35966340"/>
      <w:r w:rsidRPr="00292955">
        <w:rPr>
          <w:rFonts w:ascii="Times New Roman" w:hAnsi="Times New Roman"/>
          <w:kern w:val="0"/>
          <w:szCs w:val="24"/>
        </w:rPr>
        <w:t>13.2</w:t>
      </w:r>
      <w:r w:rsidRPr="00292955">
        <w:rPr>
          <w:rFonts w:ascii="Times New Roman" w:hAnsi="Times New Roman" w:hint="eastAsia"/>
          <w:kern w:val="0"/>
          <w:szCs w:val="24"/>
        </w:rPr>
        <w:t>存放地点</w:t>
      </w:r>
      <w:bookmarkEnd w:id="303"/>
      <w:bookmarkEnd w:id="304"/>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292955" w:rsidRDefault="001A59F9" w:rsidP="00292955">
      <w:pPr>
        <w:pStyle w:val="20"/>
        <w:spacing w:before="29" w:after="0" w:line="288" w:lineRule="auto"/>
        <w:rPr>
          <w:rFonts w:ascii="Times New Roman" w:hAnsi="Times New Roman"/>
          <w:kern w:val="0"/>
          <w:szCs w:val="24"/>
        </w:rPr>
      </w:pPr>
      <w:bookmarkStart w:id="305" w:name="_Toc361324906"/>
      <w:bookmarkStart w:id="306" w:name="_Toc35966341"/>
      <w:r w:rsidRPr="00292955">
        <w:rPr>
          <w:rFonts w:ascii="Times New Roman" w:hAnsi="Times New Roman"/>
          <w:kern w:val="0"/>
          <w:szCs w:val="24"/>
        </w:rPr>
        <w:t>13.3</w:t>
      </w:r>
      <w:r w:rsidRPr="00292955">
        <w:rPr>
          <w:rFonts w:ascii="Times New Roman" w:hAnsi="Times New Roman" w:hint="eastAsia"/>
          <w:kern w:val="0"/>
          <w:szCs w:val="24"/>
        </w:rPr>
        <w:t>查阅方式</w:t>
      </w:r>
      <w:bookmarkEnd w:id="305"/>
      <w:bookmarkEnd w:id="306"/>
    </w:p>
    <w:p w:rsidR="00644057" w:rsidRDefault="00A20092">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二〇二〇年三月三十日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BC4" w:rsidRDefault="00623BC4">
      <w:r>
        <w:separator/>
      </w:r>
    </w:p>
  </w:endnote>
  <w:endnote w:type="continuationSeparator" w:id="0">
    <w:p w:rsidR="00623BC4" w:rsidRDefault="0062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BB29CC"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AC171A">
      <w:rPr>
        <w:noProof/>
        <w:kern w:val="0"/>
        <w:szCs w:val="21"/>
      </w:rPr>
      <w:t>57</w:t>
    </w:r>
    <w:r w:rsidR="00BB29CC">
      <w:rPr>
        <w:kern w:val="0"/>
        <w:szCs w:val="21"/>
      </w:rPr>
      <w:fldChar w:fldCharType="end"/>
    </w:r>
    <w:proofErr w:type="gramStart"/>
    <w:r>
      <w:rPr>
        <w:rFonts w:hint="eastAsia"/>
        <w:kern w:val="0"/>
        <w:szCs w:val="21"/>
      </w:rPr>
      <w:t>页共</w:t>
    </w:r>
    <w:proofErr w:type="gramEnd"/>
    <w:r w:rsidR="00BB29CC">
      <w:rPr>
        <w:kern w:val="0"/>
        <w:szCs w:val="21"/>
      </w:rPr>
      <w:fldChar w:fldCharType="begin"/>
    </w:r>
    <w:r>
      <w:rPr>
        <w:kern w:val="0"/>
        <w:szCs w:val="21"/>
      </w:rPr>
      <w:instrText xml:space="preserve"> NUMPAGES </w:instrText>
    </w:r>
    <w:r w:rsidR="00BB29CC">
      <w:rPr>
        <w:kern w:val="0"/>
        <w:szCs w:val="21"/>
      </w:rPr>
      <w:fldChar w:fldCharType="separate"/>
    </w:r>
    <w:r w:rsidR="00AC171A">
      <w:rPr>
        <w:noProof/>
        <w:kern w:val="0"/>
        <w:szCs w:val="21"/>
      </w:rPr>
      <w:t>57</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BC4" w:rsidRDefault="00623BC4">
      <w:r>
        <w:separator/>
      </w:r>
    </w:p>
  </w:footnote>
  <w:footnote w:type="continuationSeparator" w:id="0">
    <w:p w:rsidR="00623BC4" w:rsidRDefault="00623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交银施罗德丰晟收益债券型证券投资基金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4982"/>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637A"/>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6E5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2955"/>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1ED"/>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4D59"/>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3FDB"/>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934"/>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BC4"/>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57"/>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1BCF"/>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27EE0"/>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15A7"/>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020"/>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0B"/>
    <w:rsid w:val="00945CC4"/>
    <w:rsid w:val="00945CF5"/>
    <w:rsid w:val="009461BD"/>
    <w:rsid w:val="00946437"/>
    <w:rsid w:val="0094691C"/>
    <w:rsid w:val="00947C95"/>
    <w:rsid w:val="00947EED"/>
    <w:rsid w:val="009500A1"/>
    <w:rsid w:val="0095037E"/>
    <w:rsid w:val="009519B5"/>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07D44"/>
    <w:rsid w:val="00A114B9"/>
    <w:rsid w:val="00A12107"/>
    <w:rsid w:val="00A129F4"/>
    <w:rsid w:val="00A13A65"/>
    <w:rsid w:val="00A14589"/>
    <w:rsid w:val="00A148F0"/>
    <w:rsid w:val="00A14AE3"/>
    <w:rsid w:val="00A16675"/>
    <w:rsid w:val="00A16F9C"/>
    <w:rsid w:val="00A17957"/>
    <w:rsid w:val="00A20092"/>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2C79"/>
    <w:rsid w:val="00A334D1"/>
    <w:rsid w:val="00A34257"/>
    <w:rsid w:val="00A34D99"/>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A58"/>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171A"/>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C04"/>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1FD"/>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0ABE"/>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836"/>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77A"/>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0B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 w:type="paragraph" w:styleId="af9">
    <w:name w:val="Revision"/>
    <w:hidden/>
    <w:uiPriority w:val="99"/>
    <w:semiHidden/>
    <w:rsid w:val="00196E59"/>
    <w:rPr>
      <w:kern w:val="2"/>
      <w:sz w:val="21"/>
      <w:szCs w:val="24"/>
    </w:rPr>
  </w:style>
  <w:style w:type="paragraph" w:styleId="40">
    <w:name w:val="toc 4"/>
    <w:basedOn w:val="a"/>
    <w:next w:val="a"/>
    <w:autoRedefine/>
    <w:uiPriority w:val="39"/>
    <w:unhideWhenUsed/>
    <w:rsid w:val="00196E59"/>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196E59"/>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196E59"/>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196E59"/>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196E59"/>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196E59"/>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585139164">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F4ADC-F219-4CF1-8883-F1F2966EE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TotalTime>
  <Pages>57</Pages>
  <Words>6998</Words>
  <Characters>39895</Characters>
  <Application>Microsoft Office Word</Application>
  <DocSecurity>0</DocSecurity>
  <Lines>332</Lines>
  <Paragraphs>93</Paragraphs>
  <ScaleCrop>false</ScaleCrop>
  <Company/>
  <LinksUpToDate>false</LinksUpToDate>
  <CharactersWithSpaces>46800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1369</cp:revision>
  <cp:lastPrinted>2007-07-19T00:46:00Z</cp:lastPrinted>
  <dcterms:created xsi:type="dcterms:W3CDTF">2013-08-19T02:39:00Z</dcterms:created>
  <dcterms:modified xsi:type="dcterms:W3CDTF">2020-03-26T08:03:00Z</dcterms:modified>
</cp:coreProperties>
</file>