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694,907,377.48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xml:space="preserve">本基金在控制风险并保持基金资产良好的流动性的前提下，力争为投资者提供长期稳健的投资回报。  </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519768</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694,386,152.63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521,224.85</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交银优选回报灵活配置混合A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交银优选回报灵活配置混合C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12,184,087.54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10,312.26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18,108,960.47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12,614.63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0.0247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803,941,699.05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599,447.52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交银优选回报灵活配置混合A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2.30%</w:t>
            </w:r>
          </w:p>
        </w:tc>
        <w:tc>
          <w:tcPr>
            <w:vAlign w:val="center"/>
          </w:tcPr>
          <w:p>
            <w:pPr>
              <w:jc w:val="center"/>
            </w:pPr>
            <w:r>
              <w:rPr>
                <w:color w:val="000000"/>
                <w:sz w:val="24"/>
              </w:rPr>
              <w:t>0.11%</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-1.69%</w:t>
            </w:r>
          </w:p>
        </w:tc>
        <w:tc>
          <w:tcPr>
            <w:vAlign w:val="center"/>
          </w:tcPr>
          <w:p>
            <w:pPr>
              <w:jc w:val="center"/>
            </w:pPr>
            <w:r>
              <w:rPr>
                <w:color w:val="000000"/>
                <w:sz w:val="24"/>
              </w:rPr>
              <w:t>-0.26%</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交银优选回报灵活配置混合C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2.31%</w:t>
            </w:r>
          </w:p>
        </w:tc>
        <w:tc>
          <w:tcPr>
            <w:vAlign w:val="center"/>
          </w:tcPr>
          <w:p>
            <w:pPr>
              <w:jc w:val="center"/>
            </w:pPr>
            <w:r>
              <w:rPr>
                <w:color w:val="000000"/>
                <w:sz w:val="24"/>
              </w:rPr>
              <w:t>0.10%</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-1.68%</w:t>
            </w:r>
          </w:p>
        </w:tc>
        <w:tc>
          <w:tcPr>
            <w:vAlign w:val="center"/>
          </w:tcPr>
          <w:p>
            <w:pPr>
              <w:jc w:val="center"/>
            </w:pPr>
            <w:r>
              <w:rPr>
                <w:color w:val="000000"/>
                <w:sz w:val="24"/>
              </w:rPr>
              <w:t>-0.27%</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交银施罗德优选回报灵活配置混合型证券投资基金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交银优选回报灵活配置混合C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高等级信用债的底仓配置，以获取稳定的票息收益。权益方面，组合秉承稳健收益的原则，以低估值高股息品种为主，并适当增加小仓位科技品种。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100,944,706.32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100,944,706.32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781,505,817.20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781,505,817.20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18,465,477.89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15,578,700.53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916,494,701.94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4,042,010.00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30,959,956.03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3.85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5,395,762.00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0.67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3,236,760.00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4,585,725.00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0.57</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1,505,067.06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34,074,992.19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4.24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17,137,856.00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2.13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100,944,706.32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12.55</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1,059,200</w:t>
            </w:r>
          </w:p>
        </w:tc>
        <w:tc>
          <w:tcPr>
            <w:vAlign w:val="center"/>
          </w:tcPr>
          <w:p>
            <w:pPr>
              <w:jc w:val="right"/>
            </w:pPr>
            <w:r>
              <w:rPr>
                <w:color w:val="000000"/>
                <w:sz w:val="24"/>
              </w:rPr>
              <w:t>17,137,856.00</w:t>
            </w:r>
          </w:p>
        </w:tc>
        <w:tc>
          <w:tcPr>
            <w:vAlign w:val="center"/>
          </w:tcPr>
          <w:p>
            <w:pPr>
              <w:jc w:val="right"/>
            </w:pPr>
            <w:r>
              <w:rPr>
                <w:color w:val="000000"/>
                <w:sz w:val="24"/>
              </w:rPr>
              <w:t>2.13</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3,283,200</w:t>
            </w:r>
          </w:p>
        </w:tc>
        <w:tc>
          <w:tcPr>
            <w:vAlign w:val="center"/>
          </w:tcPr>
          <w:p>
            <w:pPr>
              <w:jc w:val="right"/>
            </w:pPr>
            <w:r>
              <w:rPr>
                <w:color w:val="000000"/>
                <w:sz w:val="24"/>
              </w:rPr>
              <w:t>12,115,008.00</w:t>
            </w:r>
          </w:p>
        </w:tc>
        <w:tc>
          <w:tcPr>
            <w:vAlign w:val="center"/>
          </w:tcPr>
          <w:p>
            <w:pPr>
              <w:jc w:val="right"/>
            </w:pPr>
            <w:r>
              <w:rPr>
                <w:color w:val="000000"/>
                <w:sz w:val="24"/>
              </w:rPr>
              <w:t>1.51</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253,700</w:t>
            </w:r>
          </w:p>
        </w:tc>
        <w:tc>
          <w:tcPr>
            <w:vAlign w:val="center"/>
          </w:tcPr>
          <w:p>
            <w:pPr>
              <w:jc w:val="right"/>
            </w:pPr>
            <w:r>
              <w:rPr>
                <w:color w:val="000000"/>
                <w:sz w:val="24"/>
              </w:rPr>
              <w:t>8,846,519.00</w:t>
            </w:r>
          </w:p>
        </w:tc>
        <w:tc>
          <w:tcPr>
            <w:vAlign w:val="center"/>
          </w:tcPr>
          <w:p>
            <w:pPr>
              <w:jc w:val="right"/>
            </w:pPr>
            <w:r>
              <w:rPr>
                <w:color w:val="000000"/>
                <w:sz w:val="24"/>
              </w:rPr>
              <w:t>1.10</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300,000</w:t>
            </w:r>
          </w:p>
        </w:tc>
        <w:tc>
          <w:tcPr>
            <w:vAlign w:val="center"/>
          </w:tcPr>
          <w:p>
            <w:pPr>
              <w:jc w:val="right"/>
            </w:pPr>
            <w:r>
              <w:rPr>
                <w:color w:val="000000"/>
                <w:sz w:val="24"/>
              </w:rPr>
              <w:t>7,893,000.00</w:t>
            </w:r>
          </w:p>
        </w:tc>
        <w:tc>
          <w:tcPr>
            <w:vAlign w:val="center"/>
          </w:tcPr>
          <w:p>
            <w:pPr>
              <w:jc w:val="right"/>
            </w:pPr>
            <w:r>
              <w:rPr>
                <w:color w:val="000000"/>
                <w:sz w:val="24"/>
              </w:rPr>
              <w:t>0.98</w:t>
            </w:r>
          </w:p>
        </w:tc>
      </w:tr>
      <w:tr>
        <w:tc>
          <w:tcPr>
            <w:vAlign w:val="center"/>
          </w:tcPr>
          <w:p>
            <w:pPr>
              <w:jc w:val="center"/>
            </w:pPr>
            <w:r>
              <w:rPr>
                <w:color w:val="000000"/>
                <w:sz w:val="24"/>
              </w:rPr>
              <w:t>5</w:t>
            </w:r>
          </w:p>
        </w:tc>
        <w:tc>
          <w:tcPr>
            <w:vAlign w:val="center"/>
          </w:tcPr>
          <w:p>
            <w:pPr>
              <w:jc w:val="center"/>
            </w:pPr>
            <w:r>
              <w:rPr>
                <w:color w:val="000000"/>
                <w:sz w:val="24"/>
              </w:rPr>
              <w:t>603160</w:t>
            </w:r>
          </w:p>
        </w:tc>
        <w:tc>
          <w:tcPr>
            <w:vAlign w:val="center"/>
          </w:tcPr>
          <w:p>
            <w:pPr>
              <w:jc w:val="center"/>
            </w:pPr>
            <w:r>
              <w:rPr>
                <w:color w:val="000000"/>
                <w:sz w:val="24"/>
              </w:rPr>
              <w:t>汇顶科技</w:t>
            </w:r>
          </w:p>
        </w:tc>
        <w:tc>
          <w:tcPr>
            <w:vAlign w:val="center"/>
          </w:tcPr>
          <w:p>
            <w:pPr>
              <w:jc w:val="right"/>
            </w:pPr>
            <w:r>
              <w:rPr>
                <w:color w:val="000000"/>
                <w:sz w:val="24"/>
              </w:rPr>
              <w:t>31,800</w:t>
            </w:r>
          </w:p>
        </w:tc>
        <w:tc>
          <w:tcPr>
            <w:vAlign w:val="center"/>
          </w:tcPr>
          <w:p>
            <w:pPr>
              <w:jc w:val="right"/>
            </w:pPr>
            <w:r>
              <w:rPr>
                <w:color w:val="000000"/>
                <w:sz w:val="24"/>
              </w:rPr>
              <w:t>6,560,340.00</w:t>
            </w:r>
          </w:p>
        </w:tc>
        <w:tc>
          <w:tcPr>
            <w:vAlign w:val="center"/>
          </w:tcPr>
          <w:p>
            <w:pPr>
              <w:jc w:val="right"/>
            </w:pPr>
            <w:r>
              <w:rPr>
                <w:color w:val="000000"/>
                <w:sz w:val="24"/>
              </w:rPr>
              <w:t>0.82</w:t>
            </w:r>
          </w:p>
        </w:tc>
      </w:tr>
      <w:tr>
        <w:tc>
          <w:tcPr>
            <w:vAlign w:val="center"/>
          </w:tcPr>
          <w:p>
            <w:pPr>
              <w:jc w:val="center"/>
            </w:pPr>
            <w:r>
              <w:rPr>
                <w:color w:val="000000"/>
                <w:sz w:val="24"/>
              </w:rPr>
              <w:t>6</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5,915,000.00</w:t>
            </w:r>
          </w:p>
        </w:tc>
        <w:tc>
          <w:tcPr>
            <w:vAlign w:val="center"/>
          </w:tcPr>
          <w:p>
            <w:pPr>
              <w:jc w:val="right"/>
            </w:pPr>
            <w:r>
              <w:rPr>
                <w:color w:val="000000"/>
                <w:sz w:val="24"/>
              </w:rPr>
              <w:t>0.74</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5,880,000.00</w:t>
            </w:r>
          </w:p>
        </w:tc>
        <w:tc>
          <w:tcPr>
            <w:vAlign w:val="center"/>
          </w:tcPr>
          <w:p>
            <w:pPr>
              <w:jc w:val="right"/>
            </w:pPr>
            <w:r>
              <w:rPr>
                <w:color w:val="000000"/>
                <w:sz w:val="24"/>
              </w:rPr>
              <w:t>0.73</w:t>
            </w:r>
          </w:p>
        </w:tc>
      </w:tr>
      <w:tr>
        <w:tc>
          <w:tcPr>
            <w:vAlign w:val="center"/>
          </w:tcPr>
          <w:p>
            <w:pPr>
              <w:jc w:val="center"/>
            </w:pPr>
            <w:r>
              <w:rPr>
                <w:color w:val="000000"/>
                <w:sz w:val="24"/>
              </w:rPr>
              <w:t>8</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100,900</w:t>
            </w:r>
          </w:p>
        </w:tc>
        <w:tc>
          <w:tcPr>
            <w:vAlign w:val="center"/>
          </w:tcPr>
          <w:p>
            <w:pPr>
              <w:jc w:val="right"/>
            </w:pPr>
            <w:r>
              <w:rPr>
                <w:color w:val="000000"/>
                <w:sz w:val="24"/>
              </w:rPr>
              <w:t>4,959,235.00</w:t>
            </w:r>
          </w:p>
        </w:tc>
        <w:tc>
          <w:tcPr>
            <w:vAlign w:val="center"/>
          </w:tcPr>
          <w:p>
            <w:pPr>
              <w:jc w:val="right"/>
            </w:pPr>
            <w:r>
              <w:rPr>
                <w:color w:val="000000"/>
                <w:sz w:val="24"/>
              </w:rPr>
              <w:t>0.62</w:t>
            </w:r>
          </w:p>
        </w:tc>
      </w:tr>
      <w:tr>
        <w:tc>
          <w:tcPr>
            <w:vAlign w:val="center"/>
          </w:tcPr>
          <w:p>
            <w:pPr>
              <w:jc w:val="center"/>
            </w:pPr>
            <w:r>
              <w:rPr>
                <w:color w:val="000000"/>
                <w:sz w:val="24"/>
              </w:rPr>
              <w:t>9</w:t>
            </w:r>
          </w:p>
        </w:tc>
        <w:tc>
          <w:tcPr>
            <w:vAlign w:val="center"/>
          </w:tcPr>
          <w:p>
            <w:pPr>
              <w:jc w:val="center"/>
            </w:pPr>
            <w:r>
              <w:rPr>
                <w:color w:val="000000"/>
                <w:sz w:val="24"/>
              </w:rPr>
              <w:t>600258</w:t>
            </w:r>
          </w:p>
        </w:tc>
        <w:tc>
          <w:tcPr>
            <w:vAlign w:val="center"/>
          </w:tcPr>
          <w:p>
            <w:pPr>
              <w:jc w:val="center"/>
            </w:pPr>
            <w:r>
              <w:rPr>
                <w:color w:val="000000"/>
                <w:sz w:val="24"/>
              </w:rPr>
              <w:t>首旅酒店</w:t>
            </w:r>
          </w:p>
        </w:tc>
        <w:tc>
          <w:tcPr>
            <w:vAlign w:val="center"/>
          </w:tcPr>
          <w:p>
            <w:pPr>
              <w:jc w:val="right"/>
            </w:pPr>
            <w:r>
              <w:rPr>
                <w:color w:val="000000"/>
                <w:sz w:val="24"/>
              </w:rPr>
              <w:t>222,500</w:t>
            </w:r>
          </w:p>
        </w:tc>
        <w:tc>
          <w:tcPr>
            <w:vAlign w:val="center"/>
          </w:tcPr>
          <w:p>
            <w:pPr>
              <w:jc w:val="right"/>
            </w:pPr>
            <w:r>
              <w:rPr>
                <w:color w:val="000000"/>
                <w:sz w:val="24"/>
              </w:rPr>
              <w:t>4,585,725.00</w:t>
            </w:r>
          </w:p>
        </w:tc>
        <w:tc>
          <w:tcPr>
            <w:vAlign w:val="center"/>
          </w:tcPr>
          <w:p>
            <w:pPr>
              <w:jc w:val="right"/>
            </w:pPr>
            <w:r>
              <w:rPr>
                <w:color w:val="000000"/>
                <w:sz w:val="24"/>
              </w:rPr>
              <w:t>0.57</w:t>
            </w:r>
          </w:p>
        </w:tc>
      </w:tr>
      <w:tr>
        <w:tc>
          <w:tcPr>
            <w:vAlign w:val="center"/>
          </w:tcPr>
          <w:p>
            <w:pPr>
              <w:jc w:val="center"/>
            </w:pPr>
            <w:r>
              <w:rPr>
                <w:color w:val="000000"/>
                <w:sz w:val="24"/>
              </w:rPr>
              <w:t>10</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595,300</w:t>
            </w:r>
          </w:p>
        </w:tc>
        <w:tc>
          <w:tcPr>
            <w:vAlign w:val="center"/>
          </w:tcPr>
          <w:p>
            <w:pPr>
              <w:jc w:val="right"/>
            </w:pPr>
            <w:r>
              <w:rPr>
                <w:color w:val="000000"/>
                <w:sz w:val="24"/>
              </w:rPr>
              <w:t>4,488,562.00</w:t>
            </w:r>
          </w:p>
        </w:tc>
        <w:tc>
          <w:tcPr>
            <w:vAlign w:val="center"/>
          </w:tcPr>
          <w:p>
            <w:pPr>
              <w:jc w:val="right"/>
            </w:pPr>
            <w:r>
              <w:rPr>
                <w:color w:val="000000"/>
                <w:sz w:val="24"/>
              </w:rPr>
              <w:t>0.56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43,317,400.00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43,317,400.00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388,556,000.00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48.30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346,054,000.00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43.01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3,578,417.20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0.44</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781,505,817.20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97.14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101800543</w:t>
            </w:r>
          </w:p>
        </w:tc>
        <w:tc>
          <w:tcPr>
            <w:vAlign w:val="center"/>
          </w:tcPr>
          <w:p>
            <w:pPr>
              <w:jc w:val="center"/>
            </w:pPr>
            <w:r>
              <w:rPr>
                <w:color w:val="000000"/>
                <w:sz w:val="24"/>
              </w:rPr>
              <w:t>18苏交通MTN003</w:t>
            </w:r>
          </w:p>
        </w:tc>
        <w:tc>
          <w:tcPr>
            <w:vAlign w:val="center"/>
          </w:tcPr>
          <w:p>
            <w:pPr>
              <w:jc w:val="right"/>
            </w:pPr>
            <w:r>
              <w:rPr>
                <w:color w:val="000000"/>
                <w:sz w:val="24"/>
              </w:rPr>
              <w:t>500,000</w:t>
            </w:r>
          </w:p>
        </w:tc>
        <w:tc>
          <w:tcPr>
            <w:vAlign w:val="center"/>
          </w:tcPr>
          <w:p>
            <w:pPr>
              <w:jc w:val="right"/>
            </w:pPr>
            <w:r>
              <w:rPr>
                <w:color w:val="000000"/>
                <w:sz w:val="24"/>
              </w:rPr>
              <w:t>51,215,000.00</w:t>
            </w:r>
          </w:p>
        </w:tc>
        <w:tc>
          <w:tcPr>
            <w:vAlign w:val="center"/>
          </w:tcPr>
          <w:p>
            <w:pPr>
              <w:jc w:val="right"/>
            </w:pPr>
            <w:r>
              <w:rPr>
                <w:color w:val="000000"/>
                <w:sz w:val="24"/>
              </w:rPr>
              <w:t>6.37</w:t>
            </w:r>
          </w:p>
        </w:tc>
      </w:tr>
      <w:tr>
        <w:tc>
          <w:tcPr>
            <w:vAlign w:val="center"/>
          </w:tcPr>
          <w:p>
            <w:pPr>
              <w:jc w:val="center"/>
            </w:pPr>
            <w:r>
              <w:rPr>
                <w:color w:val="000000"/>
                <w:sz w:val="24"/>
              </w:rPr>
              <w:t>2</w:t>
            </w:r>
          </w:p>
        </w:tc>
        <w:tc>
          <w:tcPr>
            <w:vAlign w:val="center"/>
          </w:tcPr>
          <w:p>
            <w:pPr>
              <w:jc w:val="center"/>
            </w:pPr>
            <w:r>
              <w:rPr>
                <w:color w:val="000000"/>
                <w:sz w:val="24"/>
              </w:rPr>
              <w:t>143725</w:t>
            </w:r>
          </w:p>
        </w:tc>
        <w:tc>
          <w:tcPr>
            <w:vAlign w:val="center"/>
          </w:tcPr>
          <w:p>
            <w:pPr>
              <w:jc w:val="center"/>
            </w:pPr>
            <w:r>
              <w:rPr>
                <w:color w:val="000000"/>
                <w:sz w:val="24"/>
              </w:rPr>
              <w:t>18光明01</w:t>
            </w:r>
          </w:p>
        </w:tc>
        <w:tc>
          <w:tcPr>
            <w:vAlign w:val="center"/>
          </w:tcPr>
          <w:p>
            <w:pPr>
              <w:jc w:val="right"/>
            </w:pPr>
            <w:r>
              <w:rPr>
                <w:color w:val="000000"/>
                <w:sz w:val="24"/>
              </w:rPr>
              <w:t>500,000</w:t>
            </w:r>
          </w:p>
        </w:tc>
        <w:tc>
          <w:tcPr>
            <w:vAlign w:val="center"/>
          </w:tcPr>
          <w:p>
            <w:pPr>
              <w:jc w:val="right"/>
            </w:pPr>
            <w:r>
              <w:rPr>
                <w:color w:val="000000"/>
                <w:sz w:val="24"/>
              </w:rPr>
              <w:t>50,855,000.00</w:t>
            </w:r>
          </w:p>
        </w:tc>
        <w:tc>
          <w:tcPr>
            <w:vAlign w:val="center"/>
          </w:tcPr>
          <w:p>
            <w:pPr>
              <w:jc w:val="right"/>
            </w:pPr>
            <w:r>
              <w:rPr>
                <w:color w:val="000000"/>
                <w:sz w:val="24"/>
              </w:rPr>
              <w:t>6.32</w:t>
            </w:r>
          </w:p>
        </w:tc>
      </w:tr>
      <w:tr>
        <w:tc>
          <w:tcPr>
            <w:vAlign w:val="center"/>
          </w:tcPr>
          <w:p>
            <w:pPr>
              <w:jc w:val="center"/>
            </w:pPr>
            <w:r>
              <w:rPr>
                <w:color w:val="000000"/>
                <w:sz w:val="24"/>
              </w:rPr>
              <w:t>3</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50,480,000.00</w:t>
            </w:r>
          </w:p>
        </w:tc>
        <w:tc>
          <w:tcPr>
            <w:vAlign w:val="center"/>
          </w:tcPr>
          <w:p>
            <w:pPr>
              <w:jc w:val="right"/>
            </w:pPr>
            <w:r>
              <w:rPr>
                <w:color w:val="000000"/>
                <w:sz w:val="24"/>
              </w:rPr>
              <w:t>6.27</w:t>
            </w:r>
          </w:p>
        </w:tc>
      </w:tr>
      <w:tr>
        <w:tc>
          <w:tcPr>
            <w:vAlign w:val="center"/>
          </w:tcPr>
          <w:p>
            <w:pPr>
              <w:jc w:val="center"/>
            </w:pPr>
            <w:r>
              <w:rPr>
                <w:color w:val="000000"/>
                <w:sz w:val="24"/>
              </w:rPr>
              <w:t>4</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400,000</w:t>
            </w:r>
          </w:p>
        </w:tc>
        <w:tc>
          <w:tcPr>
            <w:vAlign w:val="center"/>
          </w:tcPr>
          <w:p>
            <w:pPr>
              <w:jc w:val="right"/>
            </w:pPr>
            <w:r>
              <w:rPr>
                <w:color w:val="000000"/>
                <w:sz w:val="24"/>
              </w:rPr>
              <w:t>40,300,000.00</w:t>
            </w:r>
          </w:p>
        </w:tc>
        <w:tc>
          <w:tcPr>
            <w:vAlign w:val="center"/>
          </w:tcPr>
          <w:p>
            <w:pPr>
              <w:jc w:val="right"/>
            </w:pPr>
            <w:r>
              <w:rPr>
                <w:color w:val="000000"/>
                <w:sz w:val="24"/>
              </w:rPr>
              <w:t>5.01</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30,816,000.00</w:t>
            </w:r>
          </w:p>
        </w:tc>
        <w:tc>
          <w:tcPr>
            <w:vAlign w:val="center"/>
          </w:tcPr>
          <w:p>
            <w:pPr>
              <w:jc w:val="right"/>
            </w:pPr>
            <w:r>
              <w:rPr>
                <w:color w:val="000000"/>
                <w:sz w:val="24"/>
              </w:rPr>
              <w:t>3.83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120,270.76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82,310.95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15,358,694.15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17,424.67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15,578,700.53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交银优选回报灵活配置混合A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交银优选回报灵活配置混合C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694,237,031.41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215,587.53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228,699.82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858,386.98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79,578.60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552,749.66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694,386,152.63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521,224.85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71.96%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193,985,451.02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193,985,451.02</w:t>
            </w:r>
          </w:p>
        </w:tc>
        <w:tc>
          <w:tcPr>
            <w:vAlign w:val="center"/>
          </w:tcPr>
          <w:p>
            <w:pPr>
              <w:jc w:val="center"/>
            </w:pPr>
            <w:r>
              <w:rPr>
                <w:rFonts w:ascii="宋体" w:hAnsi="宋体" w:hint="eastAsia"/>
                <w:color w:val="000000"/>
                <w:kern w:val="0"/>
                <w:szCs w:val="21"/>
              </w:rPr>
              <w:t>27.92%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1、中国证监会准予交银施罗德优选回报灵活配置混合型证券投资基金募集注册的文件；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2、《交银施罗德优选回报灵活配置混合型证券投资基金基金合同》；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3、《交银施罗德优选回报灵活配置混合型证券投资基金招募说明书》；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4、《交银施罗德优选回报灵活配置混合型证券投资基金托管协议》；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5、关于申请募集注册交银施罗德优选回报灵活配置混合型证券投资基金的法律意见书；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8、报告期内交银施罗德优选回报灵活配置混合型证券投资基金在指定报刊上各项公告的原稿。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交银施罗德优选回报灵活配置混合型证券投资基金2019年第4季度报告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