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交银施罗德趋势优先混合型证券投资基金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2010年12月22日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200,535,960.35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3,960,478.19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14,713,009.70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0.0712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332,088,145.25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1.656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4.74%</w:t>
            </w:r>
          </w:p>
        </w:tc>
        <w:tc>
          <w:tcPr>
            <w:vAlign w:val="center"/>
          </w:tcPr>
          <w:p>
            <w:pPr>
              <w:jc w:val="center"/>
            </w:pPr>
            <w:r>
              <w:rPr>
                <w:color w:val="000000"/>
                <w:sz w:val="24"/>
                <w:szCs w:val="24"/>
              </w:rPr>
              <w:t>0.81%</w:t>
            </w:r>
          </w:p>
        </w:tc>
        <w:tc>
          <w:tcPr>
            <w:vAlign w:val="center"/>
          </w:tcPr>
          <w:p>
            <w:pPr>
              <w:jc w:val="center"/>
            </w:pPr>
            <w:r>
              <w:rPr>
                <w:color w:val="000000"/>
                <w:sz w:val="24"/>
                <w:szCs w:val="24"/>
              </w:rPr>
              <w:t>5.85%</w:t>
            </w:r>
          </w:p>
        </w:tc>
        <w:tc>
          <w:tcPr>
            <w:vAlign w:val="center"/>
          </w:tcPr>
          <w:p>
            <w:pPr>
              <w:jc w:val="center"/>
            </w:pPr>
            <w:r>
              <w:rPr>
                <w:color w:val="000000"/>
                <w:sz w:val="24"/>
                <w:szCs w:val="24"/>
              </w:rPr>
              <w:t>0.55%</w:t>
            </w:r>
          </w:p>
        </w:tc>
        <w:tc>
          <w:tcPr>
            <w:vAlign w:val="center"/>
          </w:tcPr>
          <w:p>
            <w:pPr>
              <w:jc w:val="center"/>
            </w:pPr>
            <w:r>
              <w:rPr>
                <w:color w:val="000000"/>
                <w:sz w:val="24"/>
                <w:szCs w:val="24"/>
              </w:rPr>
              <w:t>-1.11%</w:t>
            </w:r>
          </w:p>
        </w:tc>
        <w:tc>
          <w:tcPr>
            <w:vAlign w:val="center"/>
          </w:tcPr>
          <w:p>
            <w:pPr>
              <w:jc w:val="center"/>
            </w:pPr>
            <w:r>
              <w:rPr>
                <w:color w:val="000000"/>
                <w:sz w:val="24"/>
                <w:szCs w:val="24"/>
              </w:rPr>
              <w:t>0.26%</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交银施罗德趋势优先混合型证券投资基金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2010年12月22日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2017-06-03</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2019年四季度，中美贸易战暂已告一段落，也没有出现更为严峻的趋势。利率市场化以后，整个长端利率水平开始出现下行趋势，市场风险偏好明显提升。随着中国市场逐步纳入MSCI，外资整体占比快速提升，国内股票市场的定价方法和估值水平受到了较大的影响，后续的变化也是国内投资者更为重视的环节。2019年12月以来，金融创新逐渐加大，对冲机制、注册制以及国有企业股权改革等相关创新手段的逐步完善，海外价值投资和对冲基金还将进一步增加中国资产的投资。</w:t>
      </w:r>
    </w:p>
    <w:p>
      <w:pPr>
        <w:spacing w:before="29" w:line="288" w:lineRule="auto"/>
        <w:ind w:firstLine="480" w:firstLineChars="200"/>
        <w:rPr>
          <w:color w:val="000000"/>
          <w:sz w:val="24"/>
          <w:szCs w:val="24"/>
        </w:rPr>
      </w:pPr>
      <w:r>
        <w:rPr>
          <w:color w:val="000000"/>
          <w:sz w:val="24"/>
          <w:szCs w:val="24"/>
        </w:rPr>
        <w:t>本基金在2019年四季度主要以消费白马龙头作为底仓的配置思路，个股集中度依然维持在较高水平。重仓股做了适当的调整，增持了啤酒、医药创新和地产行业的相关个股，获得一定绝对收益，但相对收益不明显。</w:t>
      </w:r>
    </w:p>
    <w:p>
      <w:pPr>
        <w:spacing w:before="29" w:line="288" w:lineRule="auto"/>
        <w:ind w:firstLine="480" w:firstLineChars="200"/>
        <w:rPr>
          <w:color w:val="000000"/>
          <w:sz w:val="24"/>
          <w:szCs w:val="24"/>
        </w:rPr>
      </w:pPr>
      <w:r>
        <w:rPr>
          <w:color w:val="000000"/>
          <w:sz w:val="24"/>
          <w:szCs w:val="24"/>
        </w:rPr>
        <w:t>展望2020年一季度，随着长端利率进一步下行，外资配置比例提高，整个市场的流动性会继续改善，未来市场或将进入稳定的长期上涨周期。但是，由于宏观经济增速放缓，各个行业的增速也出现比较明显的放缓，个股基本面分化会更加明显，市场波动率会进一步加大。整个市场风险目前已上升到较高水平，同时部分行业和公司在2019年估值水平上升比较明显，我们将关注一季度整体高估值行业的风险。</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本基金在2020年一季度将保持消费白马和地产作为底仓的配置思路，择机适度增加银行、地产以及医药的配置比例。</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xml:space="preserve">本基金本报告期内无需预警说明。 </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303,218,845.57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90.12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303,218,845.57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90.12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31,653,496.90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9.41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1,601,569.27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336,473,911.74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248,319,707.07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205,887.00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11,466,372.00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33,111,311.18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589,683.32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6,179,316.00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3,346,569.00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303,218,845.57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91.31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25,741</w:t>
            </w:r>
          </w:p>
        </w:tc>
        <w:tc>
          <w:tcPr>
            <w:vAlign w:val="center"/>
          </w:tcPr>
          <w:p>
            <w:pPr>
              <w:jc w:val="right"/>
            </w:pPr>
            <w:r>
              <w:rPr>
                <w:color w:val="000000"/>
                <w:sz w:val="24"/>
                <w:szCs w:val="24"/>
              </w:rPr>
              <w:t>30,451,603.00</w:t>
            </w:r>
          </w:p>
        </w:tc>
        <w:tc>
          <w:tcPr>
            <w:vAlign w:val="center"/>
          </w:tcPr>
          <w:p>
            <w:pPr>
              <w:jc w:val="right"/>
            </w:pPr>
            <w:r>
              <w:rPr>
                <w:color w:val="000000"/>
                <w:sz w:val="24"/>
                <w:szCs w:val="24"/>
              </w:rPr>
              <w:t>9.17</w:t>
            </w:r>
          </w:p>
        </w:tc>
      </w:tr>
      <w:tr>
        <w:tc>
          <w:tcPr>
            <w:vAlign w:val="center"/>
          </w:tcPr>
          <w:p>
            <w:pPr>
              <w:jc w:val="center"/>
            </w:pPr>
            <w:r>
              <w:rPr>
                <w:color w:val="000000"/>
                <w:sz w:val="24"/>
                <w:szCs w:val="24"/>
              </w:rPr>
              <w:t>2</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1,828,671</w:t>
            </w:r>
          </w:p>
        </w:tc>
        <w:tc>
          <w:tcPr>
            <w:vAlign w:val="center"/>
          </w:tcPr>
          <w:p>
            <w:pPr>
              <w:jc w:val="right"/>
            </w:pPr>
            <w:r>
              <w:rPr>
                <w:color w:val="000000"/>
                <w:sz w:val="24"/>
                <w:szCs w:val="24"/>
              </w:rPr>
              <w:t>29,789,050.59</w:t>
            </w:r>
          </w:p>
        </w:tc>
        <w:tc>
          <w:tcPr>
            <w:vAlign w:val="center"/>
          </w:tcPr>
          <w:p>
            <w:pPr>
              <w:jc w:val="right"/>
            </w:pPr>
            <w:r>
              <w:rPr>
                <w:color w:val="000000"/>
                <w:sz w:val="24"/>
                <w:szCs w:val="24"/>
              </w:rPr>
              <w:t>8.97</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223,478</w:t>
            </w:r>
          </w:p>
        </w:tc>
        <w:tc>
          <w:tcPr>
            <w:vAlign w:val="center"/>
          </w:tcPr>
          <w:p>
            <w:pPr>
              <w:jc w:val="right"/>
            </w:pPr>
            <w:r>
              <w:rPr>
                <w:color w:val="000000"/>
                <w:sz w:val="24"/>
                <w:szCs w:val="24"/>
              </w:rPr>
              <w:t>29,724,808.78</w:t>
            </w:r>
          </w:p>
        </w:tc>
        <w:tc>
          <w:tcPr>
            <w:vAlign w:val="center"/>
          </w:tcPr>
          <w:p>
            <w:pPr>
              <w:jc w:val="right"/>
            </w:pPr>
            <w:r>
              <w:rPr>
                <w:color w:val="000000"/>
                <w:sz w:val="24"/>
                <w:szCs w:val="24"/>
              </w:rPr>
              <w:t>8.95</w:t>
            </w:r>
          </w:p>
        </w:tc>
      </w:tr>
      <w:tr>
        <w:tc>
          <w:tcPr>
            <w:vAlign w:val="center"/>
          </w:tcPr>
          <w:p>
            <w:pPr>
              <w:jc w:val="center"/>
            </w:pPr>
            <w:r>
              <w:rPr>
                <w:color w:val="000000"/>
                <w:sz w:val="24"/>
                <w:szCs w:val="24"/>
              </w:rPr>
              <w:t>4</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876,804</w:t>
            </w:r>
          </w:p>
        </w:tc>
        <w:tc>
          <w:tcPr>
            <w:vAlign w:val="center"/>
          </w:tcPr>
          <w:p>
            <w:pPr>
              <w:jc w:val="right"/>
            </w:pPr>
            <w:r>
              <w:rPr>
                <w:color w:val="000000"/>
                <w:sz w:val="24"/>
                <w:szCs w:val="24"/>
              </w:rPr>
              <w:t>28,689,026.88</w:t>
            </w:r>
          </w:p>
        </w:tc>
        <w:tc>
          <w:tcPr>
            <w:vAlign w:val="center"/>
          </w:tcPr>
          <w:p>
            <w:pPr>
              <w:jc w:val="right"/>
            </w:pPr>
            <w:r>
              <w:rPr>
                <w:color w:val="000000"/>
                <w:sz w:val="24"/>
                <w:szCs w:val="24"/>
              </w:rPr>
              <w:t>8.64</w:t>
            </w:r>
          </w:p>
        </w:tc>
      </w:tr>
      <w:tr>
        <w:tc>
          <w:tcPr>
            <w:vAlign w:val="center"/>
          </w:tcPr>
          <w:p>
            <w:pPr>
              <w:jc w:val="center"/>
            </w:pPr>
            <w:r>
              <w:rPr>
                <w:color w:val="000000"/>
                <w:sz w:val="24"/>
                <w:szCs w:val="24"/>
              </w:rPr>
              <w:t>5</w:t>
            </w:r>
          </w:p>
        </w:tc>
        <w:tc>
          <w:tcPr>
            <w:vAlign w:val="center"/>
          </w:tcPr>
          <w:p>
            <w:pPr>
              <w:jc w:val="center"/>
            </w:pPr>
            <w:r>
              <w:rPr>
                <w:color w:val="000000"/>
                <w:sz w:val="24"/>
                <w:szCs w:val="24"/>
              </w:rPr>
              <w:t>600132</w:t>
            </w:r>
          </w:p>
        </w:tc>
        <w:tc>
          <w:tcPr>
            <w:vAlign w:val="center"/>
          </w:tcPr>
          <w:p>
            <w:pPr>
              <w:jc w:val="center"/>
            </w:pPr>
            <w:r>
              <w:rPr>
                <w:color w:val="000000"/>
                <w:sz w:val="24"/>
                <w:szCs w:val="24"/>
              </w:rPr>
              <w:t>重庆啤酒</w:t>
            </w:r>
          </w:p>
        </w:tc>
        <w:tc>
          <w:tcPr>
            <w:vAlign w:val="center"/>
          </w:tcPr>
          <w:p>
            <w:pPr>
              <w:jc w:val="right"/>
            </w:pPr>
            <w:r>
              <w:rPr>
                <w:color w:val="000000"/>
                <w:sz w:val="24"/>
                <w:szCs w:val="24"/>
              </w:rPr>
              <w:t>451,109</w:t>
            </w:r>
          </w:p>
        </w:tc>
        <w:tc>
          <w:tcPr>
            <w:vAlign w:val="center"/>
          </w:tcPr>
          <w:p>
            <w:pPr>
              <w:jc w:val="right"/>
            </w:pPr>
            <w:r>
              <w:rPr>
                <w:color w:val="000000"/>
                <w:sz w:val="24"/>
                <w:szCs w:val="24"/>
              </w:rPr>
              <w:t>23,439,623.64</w:t>
            </w:r>
          </w:p>
        </w:tc>
        <w:tc>
          <w:tcPr>
            <w:vAlign w:val="center"/>
          </w:tcPr>
          <w:p>
            <w:pPr>
              <w:jc w:val="right"/>
            </w:pPr>
            <w:r>
              <w:rPr>
                <w:color w:val="000000"/>
                <w:sz w:val="24"/>
                <w:szCs w:val="24"/>
              </w:rPr>
              <w:t>7.06</w:t>
            </w:r>
          </w:p>
        </w:tc>
      </w:tr>
      <w:tr>
        <w:tc>
          <w:tcPr>
            <w:vAlign w:val="center"/>
          </w:tcPr>
          <w:p>
            <w:pPr>
              <w:jc w:val="center"/>
            </w:pPr>
            <w:r>
              <w:rPr>
                <w:color w:val="000000"/>
                <w:sz w:val="24"/>
                <w:szCs w:val="24"/>
              </w:rPr>
              <w:t>6</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545,715</w:t>
            </w:r>
          </w:p>
        </w:tc>
        <w:tc>
          <w:tcPr>
            <w:vAlign w:val="center"/>
          </w:tcPr>
          <w:p>
            <w:pPr>
              <w:jc w:val="right"/>
            </w:pPr>
            <w:r>
              <w:rPr>
                <w:color w:val="000000"/>
                <w:sz w:val="24"/>
                <w:szCs w:val="24"/>
              </w:rPr>
              <w:t>16,884,422.10</w:t>
            </w:r>
          </w:p>
        </w:tc>
        <w:tc>
          <w:tcPr>
            <w:vAlign w:val="center"/>
          </w:tcPr>
          <w:p>
            <w:pPr>
              <w:jc w:val="right"/>
            </w:pPr>
            <w:r>
              <w:rPr>
                <w:color w:val="000000"/>
                <w:sz w:val="24"/>
                <w:szCs w:val="24"/>
              </w:rPr>
              <w:t>5.08</w:t>
            </w:r>
          </w:p>
        </w:tc>
      </w:tr>
      <w:tr>
        <w:tc>
          <w:tcPr>
            <w:vAlign w:val="center"/>
          </w:tcPr>
          <w:p>
            <w:pPr>
              <w:jc w:val="center"/>
            </w:pPr>
            <w:r>
              <w:rPr>
                <w:color w:val="000000"/>
                <w:sz w:val="24"/>
                <w:szCs w:val="24"/>
              </w:rPr>
              <w:t>7</w:t>
            </w:r>
          </w:p>
        </w:tc>
        <w:tc>
          <w:tcPr>
            <w:vAlign w:val="center"/>
          </w:tcPr>
          <w:p>
            <w:pPr>
              <w:jc w:val="center"/>
            </w:pPr>
            <w:r>
              <w:rPr>
                <w:color w:val="000000"/>
                <w:sz w:val="24"/>
                <w:szCs w:val="24"/>
              </w:rPr>
              <w:t>002461</w:t>
            </w:r>
          </w:p>
        </w:tc>
        <w:tc>
          <w:tcPr>
            <w:vAlign w:val="center"/>
          </w:tcPr>
          <w:p>
            <w:pPr>
              <w:jc w:val="center"/>
            </w:pPr>
            <w:r>
              <w:rPr>
                <w:color w:val="000000"/>
                <w:sz w:val="24"/>
                <w:szCs w:val="24"/>
              </w:rPr>
              <w:t>珠江啤酒</w:t>
            </w:r>
          </w:p>
        </w:tc>
        <w:tc>
          <w:tcPr>
            <w:vAlign w:val="center"/>
          </w:tcPr>
          <w:p>
            <w:pPr>
              <w:jc w:val="right"/>
            </w:pPr>
            <w:r>
              <w:rPr>
                <w:color w:val="000000"/>
                <w:sz w:val="24"/>
                <w:szCs w:val="24"/>
              </w:rPr>
              <w:t>2,306,900</w:t>
            </w:r>
          </w:p>
        </w:tc>
        <w:tc>
          <w:tcPr>
            <w:vAlign w:val="center"/>
          </w:tcPr>
          <w:p>
            <w:pPr>
              <w:jc w:val="right"/>
            </w:pPr>
            <w:r>
              <w:rPr>
                <w:color w:val="000000"/>
                <w:sz w:val="24"/>
                <w:szCs w:val="24"/>
              </w:rPr>
              <w:t>16,471,266.00</w:t>
            </w:r>
          </w:p>
        </w:tc>
        <w:tc>
          <w:tcPr>
            <w:vAlign w:val="center"/>
          </w:tcPr>
          <w:p>
            <w:pPr>
              <w:jc w:val="right"/>
            </w:pPr>
            <w:r>
              <w:rPr>
                <w:color w:val="000000"/>
                <w:sz w:val="24"/>
                <w:szCs w:val="24"/>
              </w:rPr>
              <w:t>4.96</w:t>
            </w:r>
          </w:p>
        </w:tc>
      </w:tr>
      <w:tr>
        <w:tc>
          <w:tcPr>
            <w:vAlign w:val="center"/>
          </w:tcPr>
          <w:p>
            <w:pPr>
              <w:jc w:val="center"/>
            </w:pPr>
            <w:r>
              <w:rPr>
                <w:color w:val="000000"/>
                <w:sz w:val="24"/>
                <w:szCs w:val="24"/>
              </w:rPr>
              <w:t>8</w:t>
            </w:r>
          </w:p>
        </w:tc>
        <w:tc>
          <w:tcPr>
            <w:vAlign w:val="center"/>
          </w:tcPr>
          <w:p>
            <w:pPr>
              <w:jc w:val="center"/>
            </w:pPr>
            <w:r>
              <w:rPr>
                <w:color w:val="000000"/>
                <w:sz w:val="24"/>
                <w:szCs w:val="24"/>
              </w:rPr>
              <w:t>600600</w:t>
            </w:r>
          </w:p>
        </w:tc>
        <w:tc>
          <w:tcPr>
            <w:vAlign w:val="center"/>
          </w:tcPr>
          <w:p>
            <w:pPr>
              <w:jc w:val="center"/>
            </w:pPr>
            <w:r>
              <w:rPr>
                <w:color w:val="000000"/>
                <w:sz w:val="24"/>
                <w:szCs w:val="24"/>
              </w:rPr>
              <w:t>青岛啤酒</w:t>
            </w:r>
          </w:p>
        </w:tc>
        <w:tc>
          <w:tcPr>
            <w:vAlign w:val="center"/>
          </w:tcPr>
          <w:p>
            <w:pPr>
              <w:jc w:val="right"/>
            </w:pPr>
            <w:r>
              <w:rPr>
                <w:color w:val="000000"/>
                <w:sz w:val="24"/>
                <w:szCs w:val="24"/>
              </w:rPr>
              <w:t>322,585</w:t>
            </w:r>
          </w:p>
        </w:tc>
        <w:tc>
          <w:tcPr>
            <w:vAlign w:val="center"/>
          </w:tcPr>
          <w:p>
            <w:pPr>
              <w:jc w:val="right"/>
            </w:pPr>
            <w:r>
              <w:rPr>
                <w:color w:val="000000"/>
                <w:sz w:val="24"/>
                <w:szCs w:val="24"/>
              </w:rPr>
              <w:t>16,451,835.00</w:t>
            </w:r>
          </w:p>
        </w:tc>
        <w:tc>
          <w:tcPr>
            <w:vAlign w:val="center"/>
          </w:tcPr>
          <w:p>
            <w:pPr>
              <w:jc w:val="right"/>
            </w:pPr>
            <w:r>
              <w:rPr>
                <w:color w:val="000000"/>
                <w:sz w:val="24"/>
                <w:szCs w:val="24"/>
              </w:rPr>
              <w:t>4.95</w:t>
            </w:r>
          </w:p>
        </w:tc>
      </w:tr>
      <w:tr>
        <w:tc>
          <w:tcPr>
            <w:vAlign w:val="center"/>
          </w:tcPr>
          <w:p>
            <w:pPr>
              <w:jc w:val="center"/>
            </w:pPr>
            <w:r>
              <w:rPr>
                <w:color w:val="000000"/>
                <w:sz w:val="24"/>
                <w:szCs w:val="24"/>
              </w:rPr>
              <w:t>9</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247,469</w:t>
            </w:r>
          </w:p>
        </w:tc>
        <w:tc>
          <w:tcPr>
            <w:vAlign w:val="center"/>
          </w:tcPr>
          <w:p>
            <w:pPr>
              <w:jc w:val="right"/>
            </w:pPr>
            <w:r>
              <w:rPr>
                <w:color w:val="000000"/>
                <w:sz w:val="24"/>
                <w:szCs w:val="24"/>
              </w:rPr>
              <w:t>16,229,017.02</w:t>
            </w:r>
          </w:p>
        </w:tc>
        <w:tc>
          <w:tcPr>
            <w:vAlign w:val="center"/>
          </w:tcPr>
          <w:p>
            <w:pPr>
              <w:jc w:val="right"/>
            </w:pPr>
            <w:r>
              <w:rPr>
                <w:color w:val="000000"/>
                <w:sz w:val="24"/>
                <w:szCs w:val="24"/>
              </w:rPr>
              <w:t>4.89</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575,700</w:t>
            </w:r>
          </w:p>
        </w:tc>
        <w:tc>
          <w:tcPr>
            <w:vAlign w:val="center"/>
          </w:tcPr>
          <w:p>
            <w:pPr>
              <w:jc w:val="right"/>
            </w:pPr>
            <w:r>
              <w:rPr>
                <w:color w:val="000000"/>
                <w:sz w:val="24"/>
                <w:szCs w:val="24"/>
              </w:rPr>
              <w:t>15,912,348.00</w:t>
            </w:r>
          </w:p>
        </w:tc>
        <w:tc>
          <w:tcPr>
            <w:vAlign w:val="center"/>
          </w:tcPr>
          <w:p>
            <w:pPr>
              <w:jc w:val="right"/>
            </w:pPr>
            <w:r>
              <w:rPr>
                <w:color w:val="000000"/>
                <w:sz w:val="24"/>
                <w:szCs w:val="24"/>
              </w:rPr>
              <w:t>4.79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115,959.18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1,210,095.92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6,565.49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268,948.68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1,601,569.27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213,353,252.02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37,224,881.79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50,042,173.46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200,535,960.35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1、中国证监会核准交银施罗德趋势优先股票证券投资基金募集的文件；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2、《交银施罗德趋势优先混合型证券投资基金基金合同》； </w:t>
      </w:r>
    </w:p>
    <w:p>
      <w:pPr>
        <w:spacing w:before="29" w:line="288" w:lineRule="auto"/>
        <w:ind w:firstLine="480" w:firstLineChars="200"/>
        <w:rPr>
          <w:color w:val="000000"/>
          <w:sz w:val="24"/>
          <w:szCs w:val="24"/>
        </w:rPr>
      </w:pPr>
      <w:r>
        <w:rPr>
          <w:color w:val="000000"/>
          <w:sz w:val="24"/>
          <w:szCs w:val="24"/>
        </w:rPr>
        <w:t>3、《交银施罗德趋势优先混合型证券投资基金招募说明书》；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4、《交银施罗德趋势优先混合型证券投资基金托管协议》； </w:t>
      </w:r>
    </w:p>
    <w:p>
      <w:pPr>
        <w:spacing w:before="29" w:line="288" w:lineRule="auto"/>
        <w:ind w:firstLine="480" w:firstLineChars="200"/>
        <w:rPr>
          <w:color w:val="000000"/>
          <w:sz w:val="24"/>
          <w:szCs w:val="24"/>
        </w:rPr>
      </w:pPr>
      <w:r>
        <w:rPr>
          <w:color w:val="000000"/>
          <w:sz w:val="24"/>
          <w:szCs w:val="24"/>
        </w:rPr>
        <w:t>5、关于申请募集交银施罗德趋势优先股票证券投资基金之法律意见书；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8、报告期内交银施罗德趋势优先混合型证券投资基金在指定报刊上各项公告的原稿。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交银施罗德趋势优先混合型证券投资基金2019年第4季度报告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