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交银施罗德安享稳健养老目标一年持有期混合型基金中基金（</w:t>
      </w:r>
      <w:r w:rsidRPr="0081286B">
        <w:rPr>
          <w:b/>
          <w:sz w:val="36"/>
          <w:szCs w:val="36"/>
        </w:rPr>
        <w:t>FOF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D6DE0" w:rsidRDefault="00CD30B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D6DE0" w:rsidRDefault="00CD30B1">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D6DE0" w:rsidRDefault="00CD30B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w:t>
      </w:r>
      <w:r>
        <w:rPr>
          <w:color w:val="000000"/>
          <w:sz w:val="24"/>
          <w:szCs w:val="24"/>
        </w:rPr>
        <w:t>定盈利。</w:t>
      </w:r>
      <w:r>
        <w:rPr>
          <w:color w:val="000000"/>
          <w:sz w:val="24"/>
          <w:szCs w:val="24"/>
        </w:rPr>
        <w:t xml:space="preserve"> </w:t>
      </w:r>
    </w:p>
    <w:p w:rsidR="000D6DE0" w:rsidRDefault="00CD30B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D6DE0" w:rsidRDefault="00CD30B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交银安享稳健养老一年</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006880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006880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2,341,735,333.95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本基金主要投资于经中国证监会依法核准或注册的公开募集证券投资基金的基金份额，在控制风险并保持基金资产良好的流动性的前提下，力争实现基金资产的长期稳健增值，满足养老资金理财需求。</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0D6DE0" w:rsidRDefault="00CD30B1">
            <w:pPr>
              <w:adjustRightInd w:val="0"/>
              <w:spacing w:before="29" w:line="288" w:lineRule="auto"/>
              <w:ind w:left="17"/>
              <w:jc w:val="left"/>
              <w:rPr>
                <w:color w:val="000000"/>
                <w:sz w:val="24"/>
                <w:szCs w:val="24"/>
              </w:rPr>
            </w:pPr>
            <w:r>
              <w:rPr>
                <w:color w:val="000000"/>
                <w:kern w:val="0"/>
                <w:sz w:val="24"/>
                <w:szCs w:val="24"/>
              </w:rPr>
              <w:t>本基金主要采用目标风险策略来进行投资品种的大类资产配置。本基金根据特定的风险偏好设定权益类资产、非权益资产的基准配置比例，并采取有效措施控制基金组合风险。在基于目标风险策略应用过程中，本基金根据既定的风险预算对投资组合进行目标约束，并根据该风险预算目标来调整组合中各类资产的配置比例，将整个投资组合维持在相对稳定的市场风险</w:t>
            </w:r>
            <w:r>
              <w:rPr>
                <w:color w:val="000000"/>
                <w:kern w:val="0"/>
                <w:sz w:val="24"/>
                <w:szCs w:val="24"/>
              </w:rPr>
              <w:t>暴露。</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lastRenderedPageBreak/>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中债综合全价指数收益率</w:t>
            </w:r>
            <w:r w:rsidRPr="00414345">
              <w:rPr>
                <w:color w:val="000000"/>
                <w:kern w:val="0"/>
                <w:sz w:val="24"/>
                <w:szCs w:val="24"/>
              </w:rPr>
              <w:t>+20%×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52C23" w:rsidRPr="00414345" w:rsidTr="00152C2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152C23" w:rsidRPr="00414345" w:rsidTr="00152C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62,742,969.08</w:t>
            </w:r>
          </w:p>
        </w:tc>
      </w:tr>
      <w:tr w:rsidR="00152C23" w:rsidRPr="00414345" w:rsidTr="00152C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34,744,344.63</w:t>
            </w:r>
          </w:p>
        </w:tc>
      </w:tr>
      <w:tr w:rsidR="00152C23" w:rsidRPr="00414345" w:rsidTr="00152C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0.0162</w:t>
            </w:r>
          </w:p>
        </w:tc>
      </w:tr>
      <w:tr w:rsidR="00152C23" w:rsidRPr="00414345" w:rsidTr="00152C2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2,426,200,034.57</w:t>
            </w:r>
          </w:p>
        </w:tc>
      </w:tr>
      <w:tr w:rsidR="00152C23" w:rsidRPr="00414345" w:rsidTr="00152C2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1.0361</w:t>
            </w:r>
          </w:p>
        </w:tc>
      </w:tr>
    </w:tbl>
    <w:p w:rsidR="000D6DE0" w:rsidRDefault="00CD30B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D6DE0">
        <w:trPr>
          <w:jc w:val="center"/>
        </w:trPr>
        <w:tc>
          <w:tcPr>
            <w:tcW w:w="1701" w:type="dxa"/>
            <w:vAlign w:val="center"/>
          </w:tcPr>
          <w:p w:rsidR="000D6DE0" w:rsidRDefault="00CD30B1">
            <w:pPr>
              <w:jc w:val="left"/>
            </w:pPr>
            <w:r>
              <w:rPr>
                <w:color w:val="000000"/>
                <w:sz w:val="24"/>
                <w:szCs w:val="24"/>
              </w:rPr>
              <w:t>过去三个月</w:t>
            </w:r>
          </w:p>
        </w:tc>
        <w:tc>
          <w:tcPr>
            <w:tcW w:w="1045" w:type="dxa"/>
            <w:vAlign w:val="center"/>
          </w:tcPr>
          <w:p w:rsidR="000D6DE0" w:rsidRDefault="00CD30B1">
            <w:pPr>
              <w:jc w:val="center"/>
            </w:pPr>
            <w:r>
              <w:rPr>
                <w:color w:val="000000"/>
                <w:sz w:val="24"/>
                <w:szCs w:val="24"/>
              </w:rPr>
              <w:t>1.56%</w:t>
            </w:r>
          </w:p>
        </w:tc>
        <w:tc>
          <w:tcPr>
            <w:tcW w:w="1344" w:type="dxa"/>
            <w:vAlign w:val="center"/>
          </w:tcPr>
          <w:p w:rsidR="000D6DE0" w:rsidRDefault="00CD30B1">
            <w:pPr>
              <w:jc w:val="center"/>
            </w:pPr>
            <w:r>
              <w:rPr>
                <w:color w:val="000000"/>
                <w:sz w:val="24"/>
                <w:szCs w:val="24"/>
              </w:rPr>
              <w:t>0.06%</w:t>
            </w:r>
          </w:p>
        </w:tc>
        <w:tc>
          <w:tcPr>
            <w:tcW w:w="1194" w:type="dxa"/>
            <w:vAlign w:val="center"/>
          </w:tcPr>
          <w:p w:rsidR="000D6DE0" w:rsidRDefault="00CD30B1">
            <w:pPr>
              <w:jc w:val="center"/>
            </w:pPr>
            <w:r>
              <w:rPr>
                <w:color w:val="000000"/>
                <w:sz w:val="24"/>
                <w:szCs w:val="24"/>
              </w:rPr>
              <w:t>1.97%</w:t>
            </w:r>
          </w:p>
        </w:tc>
        <w:tc>
          <w:tcPr>
            <w:tcW w:w="1492" w:type="dxa"/>
            <w:vAlign w:val="center"/>
          </w:tcPr>
          <w:p w:rsidR="000D6DE0" w:rsidRDefault="00CD30B1">
            <w:pPr>
              <w:jc w:val="center"/>
            </w:pPr>
            <w:r>
              <w:rPr>
                <w:color w:val="000000"/>
                <w:sz w:val="24"/>
                <w:szCs w:val="24"/>
              </w:rPr>
              <w:t>0.15%</w:t>
            </w:r>
          </w:p>
        </w:tc>
        <w:tc>
          <w:tcPr>
            <w:tcW w:w="1194" w:type="dxa"/>
            <w:vAlign w:val="center"/>
          </w:tcPr>
          <w:p w:rsidR="000D6DE0" w:rsidRDefault="00CD30B1">
            <w:pPr>
              <w:jc w:val="center"/>
            </w:pPr>
            <w:r>
              <w:rPr>
                <w:color w:val="000000"/>
                <w:sz w:val="24"/>
                <w:szCs w:val="24"/>
              </w:rPr>
              <w:t>-0.41%</w:t>
            </w:r>
          </w:p>
        </w:tc>
        <w:tc>
          <w:tcPr>
            <w:tcW w:w="898" w:type="dxa"/>
            <w:vAlign w:val="center"/>
          </w:tcPr>
          <w:p w:rsidR="000D6DE0" w:rsidRDefault="00CD30B1">
            <w:pPr>
              <w:jc w:val="center"/>
            </w:pPr>
            <w:r>
              <w:rPr>
                <w:color w:val="000000"/>
                <w:sz w:val="24"/>
                <w:szCs w:val="24"/>
              </w:rPr>
              <w:t>-0.09%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交银施罗德安享稳健养老目标一年持有期混合型基金中基金（</w:t>
      </w:r>
      <w:r w:rsidRPr="00414345">
        <w:rPr>
          <w:color w:val="000000"/>
          <w:sz w:val="24"/>
          <w:szCs w:val="24"/>
        </w:rPr>
        <w:t>FOF</w:t>
      </w:r>
      <w:r w:rsidRPr="00414345">
        <w:rPr>
          <w:color w:val="000000"/>
          <w:sz w:val="24"/>
          <w:szCs w:val="24"/>
        </w:rPr>
        <w:t>）</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2019</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30</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D6DE0">
        <w:trPr>
          <w:jc w:val="center"/>
        </w:trPr>
        <w:tc>
          <w:tcPr>
            <w:tcW w:w="846" w:type="dxa"/>
            <w:vAlign w:val="center"/>
          </w:tcPr>
          <w:p w:rsidR="000D6DE0" w:rsidRDefault="00CD30B1">
            <w:pPr>
              <w:jc w:val="center"/>
            </w:pPr>
            <w:r>
              <w:rPr>
                <w:color w:val="000000"/>
                <w:sz w:val="24"/>
                <w:szCs w:val="24"/>
              </w:rPr>
              <w:t>杨喆</w:t>
            </w:r>
          </w:p>
        </w:tc>
        <w:tc>
          <w:tcPr>
            <w:tcW w:w="845" w:type="dxa"/>
            <w:vAlign w:val="center"/>
          </w:tcPr>
          <w:p w:rsidR="000D6DE0" w:rsidRDefault="00CD30B1">
            <w:pPr>
              <w:jc w:val="center"/>
            </w:pPr>
            <w:r>
              <w:rPr>
                <w:color w:val="000000"/>
                <w:sz w:val="24"/>
                <w:szCs w:val="24"/>
              </w:rPr>
              <w:t>交银安享稳健养老一年混合的基金经理，公司多元资产管理副总监</w:t>
            </w:r>
          </w:p>
        </w:tc>
        <w:tc>
          <w:tcPr>
            <w:tcW w:w="1549" w:type="dxa"/>
            <w:vAlign w:val="center"/>
          </w:tcPr>
          <w:p w:rsidR="000D6DE0" w:rsidRDefault="00CD30B1">
            <w:pPr>
              <w:jc w:val="center"/>
            </w:pPr>
            <w:r>
              <w:rPr>
                <w:color w:val="000000"/>
                <w:sz w:val="24"/>
                <w:szCs w:val="24"/>
              </w:rPr>
              <w:t>2019-05-30</w:t>
            </w:r>
          </w:p>
        </w:tc>
        <w:tc>
          <w:tcPr>
            <w:tcW w:w="1548" w:type="dxa"/>
            <w:vAlign w:val="center"/>
          </w:tcPr>
          <w:p w:rsidR="000D6DE0" w:rsidRDefault="00CD30B1">
            <w:pPr>
              <w:jc w:val="center"/>
            </w:pPr>
            <w:r>
              <w:rPr>
                <w:color w:val="000000"/>
                <w:sz w:val="24"/>
                <w:szCs w:val="24"/>
              </w:rPr>
              <w:t>-</w:t>
            </w:r>
          </w:p>
        </w:tc>
        <w:tc>
          <w:tcPr>
            <w:tcW w:w="1407" w:type="dxa"/>
            <w:vAlign w:val="center"/>
          </w:tcPr>
          <w:p w:rsidR="000D6DE0" w:rsidRDefault="00CD30B1">
            <w:pPr>
              <w:jc w:val="center"/>
            </w:pPr>
            <w:r>
              <w:rPr>
                <w:color w:val="000000"/>
                <w:sz w:val="24"/>
                <w:szCs w:val="24"/>
              </w:rPr>
              <w:t>11</w:t>
            </w:r>
            <w:r>
              <w:rPr>
                <w:color w:val="000000"/>
                <w:sz w:val="24"/>
                <w:szCs w:val="24"/>
              </w:rPr>
              <w:t>年</w:t>
            </w:r>
          </w:p>
        </w:tc>
        <w:tc>
          <w:tcPr>
            <w:tcW w:w="2673" w:type="dxa"/>
            <w:vAlign w:val="center"/>
          </w:tcPr>
          <w:p w:rsidR="000D6DE0" w:rsidRDefault="00CD30B1">
            <w:r>
              <w:rPr>
                <w:color w:val="000000"/>
                <w:sz w:val="24"/>
                <w:szCs w:val="24"/>
              </w:rPr>
              <w:t>杨喆女士，同济大学金融学硕士。曾任国泰君安证券有限公司研究所金融工程与衍生品研究员。</w:t>
            </w:r>
            <w:r>
              <w:rPr>
                <w:color w:val="000000"/>
                <w:sz w:val="24"/>
                <w:szCs w:val="24"/>
              </w:rPr>
              <w:t>2013</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D6DE0" w:rsidRDefault="00CD30B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D6DE0" w:rsidRDefault="00CD30B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D6DE0" w:rsidRDefault="00CD30B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w:t>
      </w:r>
      <w:r>
        <w:rPr>
          <w:color w:val="000000"/>
          <w:sz w:val="24"/>
          <w:szCs w:val="24"/>
        </w:rPr>
        <w:lastRenderedPageBreak/>
        <w:t>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D6DE0" w:rsidRDefault="00CD30B1">
      <w:pPr>
        <w:spacing w:before="29" w:line="288" w:lineRule="auto"/>
        <w:ind w:firstLineChars="200" w:firstLine="480"/>
        <w:rPr>
          <w:color w:val="000000"/>
          <w:sz w:val="24"/>
          <w:szCs w:val="24"/>
        </w:rPr>
      </w:pPr>
      <w:r>
        <w:rPr>
          <w:color w:val="000000"/>
          <w:sz w:val="24"/>
          <w:szCs w:val="24"/>
        </w:rPr>
        <w:t>2019</w:t>
      </w:r>
      <w:r>
        <w:rPr>
          <w:color w:val="000000"/>
          <w:sz w:val="24"/>
          <w:szCs w:val="24"/>
        </w:rPr>
        <w:t>年四季度，国内工业生产反弹，通胀高点或现，社融增速稳定。面对明年经济发展可能遇到的下行压力和面临的复杂局面，中央经济工作会议用六稳定调明年经济工作，统筹推进稳增长、促改革、调结构、惠民生、防风险、保稳定。中美第一阶段经贸协议文本达成一致，美方将履行分阶段取消对华产品加征关税的相关承诺，实现加征关税由升到降的转变。贸易谈判的进展有助力经济进一步企稳。</w:t>
      </w:r>
    </w:p>
    <w:p w:rsidR="000D6DE0" w:rsidRDefault="00CD30B1">
      <w:pPr>
        <w:spacing w:before="29" w:line="288" w:lineRule="auto"/>
        <w:ind w:firstLineChars="200" w:firstLine="480"/>
        <w:rPr>
          <w:color w:val="000000"/>
          <w:sz w:val="24"/>
          <w:szCs w:val="24"/>
        </w:rPr>
      </w:pPr>
      <w:r>
        <w:rPr>
          <w:color w:val="000000"/>
          <w:sz w:val="24"/>
          <w:szCs w:val="24"/>
        </w:rPr>
        <w:t>报告期内，本基金精选中长期超额收益明显且业绩较为稳健的股混型基金加以配置，在控制风险的同时为组合增强一定的收益弹性。并且调整部分债基配置，以应对跨年度的市场变化。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一季度，经济逐步筑底，增长中枢或将继续下移，但下移趋势将放缓。同时经济结构将进一步优化，新经济不断释放活力与动能。预计投资增速将小幅下行，制造业投资磨底。高新技术产业的高速增长、低端消费的结构升级等值得继续挖掘。新经济相关产业，投融资、盈利能力等方面，表现均明显好于传统产业。传统产业总量指标走弱的同时、结构优化持续推进。我们将继续紧密跟踪经济指标和政策动向，挖掘有潜力的投资标的。</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84,702,146.09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3.46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84,702,146.09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3.46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1,946,313,037.44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79.39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100,339,559.49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100,339,559.49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4.09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160,000,000.00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6.53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100,870,610.56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59,343,652.96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2.42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2,451,569,006.54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2,168,506.60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37,396,506.10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1,758,562.00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264,528.00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559,311.00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2,683,411.77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36,282,512.74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2,328,111.00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667,125.00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327,653.84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221,658.04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44,260.00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84,702,146.09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D6DE0">
        <w:trPr>
          <w:jc w:val="center"/>
        </w:trPr>
        <w:tc>
          <w:tcPr>
            <w:tcW w:w="855" w:type="dxa"/>
            <w:vAlign w:val="center"/>
          </w:tcPr>
          <w:p w:rsidR="000D6DE0" w:rsidRDefault="00CD30B1">
            <w:pPr>
              <w:jc w:val="center"/>
            </w:pPr>
            <w:r>
              <w:rPr>
                <w:color w:val="000000"/>
                <w:sz w:val="24"/>
                <w:szCs w:val="24"/>
              </w:rPr>
              <w:t>1</w:t>
            </w:r>
          </w:p>
        </w:tc>
        <w:tc>
          <w:tcPr>
            <w:tcW w:w="1334" w:type="dxa"/>
            <w:vAlign w:val="center"/>
          </w:tcPr>
          <w:p w:rsidR="000D6DE0" w:rsidRDefault="00CD30B1">
            <w:pPr>
              <w:jc w:val="center"/>
            </w:pPr>
            <w:r>
              <w:rPr>
                <w:color w:val="000000"/>
                <w:sz w:val="24"/>
                <w:szCs w:val="24"/>
              </w:rPr>
              <w:t>601318</w:t>
            </w:r>
          </w:p>
        </w:tc>
        <w:tc>
          <w:tcPr>
            <w:tcW w:w="1777" w:type="dxa"/>
            <w:vAlign w:val="center"/>
          </w:tcPr>
          <w:p w:rsidR="000D6DE0" w:rsidRDefault="00CD30B1">
            <w:pPr>
              <w:jc w:val="center"/>
            </w:pPr>
            <w:r>
              <w:rPr>
                <w:color w:val="000000"/>
                <w:sz w:val="24"/>
                <w:szCs w:val="24"/>
              </w:rPr>
              <w:t>中国平安</w:t>
            </w:r>
          </w:p>
        </w:tc>
        <w:tc>
          <w:tcPr>
            <w:tcW w:w="1334" w:type="dxa"/>
            <w:vAlign w:val="center"/>
          </w:tcPr>
          <w:p w:rsidR="000D6DE0" w:rsidRDefault="00CD30B1">
            <w:pPr>
              <w:jc w:val="right"/>
            </w:pPr>
            <w:r>
              <w:rPr>
                <w:color w:val="000000"/>
                <w:sz w:val="24"/>
                <w:szCs w:val="24"/>
              </w:rPr>
              <w:t>121,729</w:t>
            </w:r>
          </w:p>
        </w:tc>
        <w:tc>
          <w:tcPr>
            <w:tcW w:w="1924" w:type="dxa"/>
            <w:vAlign w:val="center"/>
          </w:tcPr>
          <w:p w:rsidR="000D6DE0" w:rsidRDefault="00CD30B1">
            <w:pPr>
              <w:jc w:val="right"/>
            </w:pPr>
            <w:r>
              <w:rPr>
                <w:color w:val="000000"/>
                <w:sz w:val="24"/>
                <w:szCs w:val="24"/>
              </w:rPr>
              <w:t>10,402,960.34</w:t>
            </w:r>
          </w:p>
        </w:tc>
        <w:tc>
          <w:tcPr>
            <w:tcW w:w="1644" w:type="dxa"/>
            <w:vAlign w:val="center"/>
          </w:tcPr>
          <w:p w:rsidR="000D6DE0" w:rsidRDefault="00CD30B1">
            <w:pPr>
              <w:jc w:val="right"/>
            </w:pPr>
            <w:r>
              <w:rPr>
                <w:color w:val="000000"/>
                <w:sz w:val="24"/>
                <w:szCs w:val="24"/>
              </w:rPr>
              <w:t>0.43</w:t>
            </w:r>
          </w:p>
        </w:tc>
      </w:tr>
      <w:tr w:rsidR="000D6DE0">
        <w:trPr>
          <w:jc w:val="center"/>
        </w:trPr>
        <w:tc>
          <w:tcPr>
            <w:tcW w:w="855" w:type="dxa"/>
            <w:vAlign w:val="center"/>
          </w:tcPr>
          <w:p w:rsidR="000D6DE0" w:rsidRDefault="00CD30B1">
            <w:pPr>
              <w:jc w:val="center"/>
            </w:pPr>
            <w:r>
              <w:rPr>
                <w:color w:val="000000"/>
                <w:sz w:val="24"/>
                <w:szCs w:val="24"/>
              </w:rPr>
              <w:t>2</w:t>
            </w:r>
          </w:p>
        </w:tc>
        <w:tc>
          <w:tcPr>
            <w:tcW w:w="1334" w:type="dxa"/>
            <w:vAlign w:val="center"/>
          </w:tcPr>
          <w:p w:rsidR="000D6DE0" w:rsidRDefault="00CD30B1">
            <w:pPr>
              <w:jc w:val="center"/>
            </w:pPr>
            <w:r>
              <w:rPr>
                <w:color w:val="000000"/>
                <w:sz w:val="24"/>
                <w:szCs w:val="24"/>
              </w:rPr>
              <w:t>600519</w:t>
            </w:r>
          </w:p>
        </w:tc>
        <w:tc>
          <w:tcPr>
            <w:tcW w:w="1777" w:type="dxa"/>
            <w:vAlign w:val="center"/>
          </w:tcPr>
          <w:p w:rsidR="000D6DE0" w:rsidRDefault="00CD30B1">
            <w:pPr>
              <w:jc w:val="center"/>
            </w:pPr>
            <w:r>
              <w:rPr>
                <w:color w:val="000000"/>
                <w:sz w:val="24"/>
                <w:szCs w:val="24"/>
              </w:rPr>
              <w:t>贵州茅台</w:t>
            </w:r>
          </w:p>
        </w:tc>
        <w:tc>
          <w:tcPr>
            <w:tcW w:w="1334" w:type="dxa"/>
            <w:vAlign w:val="center"/>
          </w:tcPr>
          <w:p w:rsidR="000D6DE0" w:rsidRDefault="00CD30B1">
            <w:pPr>
              <w:jc w:val="right"/>
            </w:pPr>
            <w:r>
              <w:rPr>
                <w:color w:val="000000"/>
                <w:sz w:val="24"/>
                <w:szCs w:val="24"/>
              </w:rPr>
              <w:t>7,500</w:t>
            </w:r>
          </w:p>
        </w:tc>
        <w:tc>
          <w:tcPr>
            <w:tcW w:w="1924" w:type="dxa"/>
            <w:vAlign w:val="center"/>
          </w:tcPr>
          <w:p w:rsidR="000D6DE0" w:rsidRDefault="00CD30B1">
            <w:pPr>
              <w:jc w:val="right"/>
            </w:pPr>
            <w:r>
              <w:rPr>
                <w:color w:val="000000"/>
                <w:sz w:val="24"/>
                <w:szCs w:val="24"/>
              </w:rPr>
              <w:t>8,872,500.00</w:t>
            </w:r>
          </w:p>
        </w:tc>
        <w:tc>
          <w:tcPr>
            <w:tcW w:w="1644" w:type="dxa"/>
            <w:vAlign w:val="center"/>
          </w:tcPr>
          <w:p w:rsidR="000D6DE0" w:rsidRDefault="00CD30B1">
            <w:pPr>
              <w:jc w:val="right"/>
            </w:pPr>
            <w:r>
              <w:rPr>
                <w:color w:val="000000"/>
                <w:sz w:val="24"/>
                <w:szCs w:val="24"/>
              </w:rPr>
              <w:t>0.37</w:t>
            </w:r>
          </w:p>
        </w:tc>
      </w:tr>
      <w:tr w:rsidR="000D6DE0">
        <w:trPr>
          <w:jc w:val="center"/>
        </w:trPr>
        <w:tc>
          <w:tcPr>
            <w:tcW w:w="855" w:type="dxa"/>
            <w:vAlign w:val="center"/>
          </w:tcPr>
          <w:p w:rsidR="000D6DE0" w:rsidRDefault="00CD30B1">
            <w:pPr>
              <w:jc w:val="center"/>
            </w:pPr>
            <w:r>
              <w:rPr>
                <w:color w:val="000000"/>
                <w:sz w:val="24"/>
                <w:szCs w:val="24"/>
              </w:rPr>
              <w:t>3</w:t>
            </w:r>
          </w:p>
        </w:tc>
        <w:tc>
          <w:tcPr>
            <w:tcW w:w="1334" w:type="dxa"/>
            <w:vAlign w:val="center"/>
          </w:tcPr>
          <w:p w:rsidR="000D6DE0" w:rsidRDefault="00CD30B1">
            <w:pPr>
              <w:jc w:val="center"/>
            </w:pPr>
            <w:r>
              <w:rPr>
                <w:color w:val="000000"/>
                <w:sz w:val="24"/>
                <w:szCs w:val="24"/>
              </w:rPr>
              <w:t>600887</w:t>
            </w:r>
          </w:p>
        </w:tc>
        <w:tc>
          <w:tcPr>
            <w:tcW w:w="1777" w:type="dxa"/>
            <w:vAlign w:val="center"/>
          </w:tcPr>
          <w:p w:rsidR="000D6DE0" w:rsidRDefault="00CD30B1">
            <w:pPr>
              <w:jc w:val="center"/>
            </w:pPr>
            <w:r>
              <w:rPr>
                <w:color w:val="000000"/>
                <w:sz w:val="24"/>
                <w:szCs w:val="24"/>
              </w:rPr>
              <w:t>伊利股份</w:t>
            </w:r>
          </w:p>
        </w:tc>
        <w:tc>
          <w:tcPr>
            <w:tcW w:w="1334" w:type="dxa"/>
            <w:vAlign w:val="center"/>
          </w:tcPr>
          <w:p w:rsidR="000D6DE0" w:rsidRDefault="00CD30B1">
            <w:pPr>
              <w:jc w:val="right"/>
            </w:pPr>
            <w:r>
              <w:rPr>
                <w:color w:val="000000"/>
                <w:sz w:val="24"/>
                <w:szCs w:val="24"/>
              </w:rPr>
              <w:t>166,600</w:t>
            </w:r>
          </w:p>
        </w:tc>
        <w:tc>
          <w:tcPr>
            <w:tcW w:w="1924" w:type="dxa"/>
            <w:vAlign w:val="center"/>
          </w:tcPr>
          <w:p w:rsidR="000D6DE0" w:rsidRDefault="00CD30B1">
            <w:pPr>
              <w:jc w:val="right"/>
            </w:pPr>
            <w:r>
              <w:rPr>
                <w:color w:val="000000"/>
                <w:sz w:val="24"/>
                <w:szCs w:val="24"/>
              </w:rPr>
              <w:t>5,154,604.00</w:t>
            </w:r>
          </w:p>
        </w:tc>
        <w:tc>
          <w:tcPr>
            <w:tcW w:w="1644" w:type="dxa"/>
            <w:vAlign w:val="center"/>
          </w:tcPr>
          <w:p w:rsidR="000D6DE0" w:rsidRDefault="00CD30B1">
            <w:pPr>
              <w:jc w:val="right"/>
            </w:pPr>
            <w:r>
              <w:rPr>
                <w:color w:val="000000"/>
                <w:sz w:val="24"/>
                <w:szCs w:val="24"/>
              </w:rPr>
              <w:t>0.21</w:t>
            </w:r>
          </w:p>
        </w:tc>
      </w:tr>
      <w:tr w:rsidR="000D6DE0">
        <w:trPr>
          <w:jc w:val="center"/>
        </w:trPr>
        <w:tc>
          <w:tcPr>
            <w:tcW w:w="855" w:type="dxa"/>
            <w:vAlign w:val="center"/>
          </w:tcPr>
          <w:p w:rsidR="000D6DE0" w:rsidRDefault="00CD30B1">
            <w:pPr>
              <w:jc w:val="center"/>
            </w:pPr>
            <w:r>
              <w:rPr>
                <w:color w:val="000000"/>
                <w:sz w:val="24"/>
                <w:szCs w:val="24"/>
              </w:rPr>
              <w:t>4</w:t>
            </w:r>
          </w:p>
        </w:tc>
        <w:tc>
          <w:tcPr>
            <w:tcW w:w="1334" w:type="dxa"/>
            <w:vAlign w:val="center"/>
          </w:tcPr>
          <w:p w:rsidR="000D6DE0" w:rsidRDefault="00CD30B1">
            <w:pPr>
              <w:jc w:val="center"/>
            </w:pPr>
            <w:r>
              <w:rPr>
                <w:color w:val="000000"/>
                <w:sz w:val="24"/>
                <w:szCs w:val="24"/>
              </w:rPr>
              <w:t>601166</w:t>
            </w:r>
          </w:p>
        </w:tc>
        <w:tc>
          <w:tcPr>
            <w:tcW w:w="1777" w:type="dxa"/>
            <w:vAlign w:val="center"/>
          </w:tcPr>
          <w:p w:rsidR="000D6DE0" w:rsidRDefault="00CD30B1">
            <w:pPr>
              <w:jc w:val="center"/>
            </w:pPr>
            <w:r>
              <w:rPr>
                <w:color w:val="000000"/>
                <w:sz w:val="24"/>
                <w:szCs w:val="24"/>
              </w:rPr>
              <w:t>兴业银行</w:t>
            </w:r>
          </w:p>
        </w:tc>
        <w:tc>
          <w:tcPr>
            <w:tcW w:w="1334" w:type="dxa"/>
            <w:vAlign w:val="center"/>
          </w:tcPr>
          <w:p w:rsidR="000D6DE0" w:rsidRDefault="00CD30B1">
            <w:pPr>
              <w:jc w:val="right"/>
            </w:pPr>
            <w:r>
              <w:rPr>
                <w:color w:val="000000"/>
                <w:sz w:val="24"/>
                <w:szCs w:val="24"/>
              </w:rPr>
              <w:t>243,200</w:t>
            </w:r>
          </w:p>
        </w:tc>
        <w:tc>
          <w:tcPr>
            <w:tcW w:w="1924" w:type="dxa"/>
            <w:vAlign w:val="center"/>
          </w:tcPr>
          <w:p w:rsidR="000D6DE0" w:rsidRDefault="00CD30B1">
            <w:pPr>
              <w:jc w:val="right"/>
            </w:pPr>
            <w:r>
              <w:rPr>
                <w:color w:val="000000"/>
                <w:sz w:val="24"/>
                <w:szCs w:val="24"/>
              </w:rPr>
              <w:t>4,815,360.00</w:t>
            </w:r>
          </w:p>
        </w:tc>
        <w:tc>
          <w:tcPr>
            <w:tcW w:w="1644" w:type="dxa"/>
            <w:vAlign w:val="center"/>
          </w:tcPr>
          <w:p w:rsidR="000D6DE0" w:rsidRDefault="00CD30B1">
            <w:pPr>
              <w:jc w:val="right"/>
            </w:pPr>
            <w:r>
              <w:rPr>
                <w:color w:val="000000"/>
                <w:sz w:val="24"/>
                <w:szCs w:val="24"/>
              </w:rPr>
              <w:t>0.20</w:t>
            </w:r>
          </w:p>
        </w:tc>
      </w:tr>
      <w:tr w:rsidR="000D6DE0">
        <w:trPr>
          <w:jc w:val="center"/>
        </w:trPr>
        <w:tc>
          <w:tcPr>
            <w:tcW w:w="855" w:type="dxa"/>
            <w:vAlign w:val="center"/>
          </w:tcPr>
          <w:p w:rsidR="000D6DE0" w:rsidRDefault="00CD30B1">
            <w:pPr>
              <w:jc w:val="center"/>
            </w:pPr>
            <w:r>
              <w:rPr>
                <w:color w:val="000000"/>
                <w:sz w:val="24"/>
                <w:szCs w:val="24"/>
              </w:rPr>
              <w:t>5</w:t>
            </w:r>
          </w:p>
        </w:tc>
        <w:tc>
          <w:tcPr>
            <w:tcW w:w="1334" w:type="dxa"/>
            <w:vAlign w:val="center"/>
          </w:tcPr>
          <w:p w:rsidR="000D6DE0" w:rsidRDefault="00CD30B1">
            <w:pPr>
              <w:jc w:val="center"/>
            </w:pPr>
            <w:r>
              <w:rPr>
                <w:color w:val="000000"/>
                <w:sz w:val="24"/>
                <w:szCs w:val="24"/>
              </w:rPr>
              <w:t>600036</w:t>
            </w:r>
          </w:p>
        </w:tc>
        <w:tc>
          <w:tcPr>
            <w:tcW w:w="1777" w:type="dxa"/>
            <w:vAlign w:val="center"/>
          </w:tcPr>
          <w:p w:rsidR="000D6DE0" w:rsidRDefault="00CD30B1">
            <w:pPr>
              <w:jc w:val="center"/>
            </w:pPr>
            <w:r>
              <w:rPr>
                <w:color w:val="000000"/>
                <w:sz w:val="24"/>
                <w:szCs w:val="24"/>
              </w:rPr>
              <w:t>招商银行</w:t>
            </w:r>
          </w:p>
        </w:tc>
        <w:tc>
          <w:tcPr>
            <w:tcW w:w="1334" w:type="dxa"/>
            <w:vAlign w:val="center"/>
          </w:tcPr>
          <w:p w:rsidR="000D6DE0" w:rsidRDefault="00CD30B1">
            <w:pPr>
              <w:jc w:val="right"/>
            </w:pPr>
            <w:r>
              <w:rPr>
                <w:color w:val="000000"/>
                <w:sz w:val="24"/>
                <w:szCs w:val="24"/>
              </w:rPr>
              <w:t>95,600</w:t>
            </w:r>
          </w:p>
        </w:tc>
        <w:tc>
          <w:tcPr>
            <w:tcW w:w="1924" w:type="dxa"/>
            <w:vAlign w:val="center"/>
          </w:tcPr>
          <w:p w:rsidR="000D6DE0" w:rsidRDefault="00CD30B1">
            <w:pPr>
              <w:jc w:val="right"/>
            </w:pPr>
            <w:r>
              <w:rPr>
                <w:color w:val="000000"/>
                <w:sz w:val="24"/>
                <w:szCs w:val="24"/>
              </w:rPr>
              <w:t>3,592,648.00</w:t>
            </w:r>
          </w:p>
        </w:tc>
        <w:tc>
          <w:tcPr>
            <w:tcW w:w="1644" w:type="dxa"/>
            <w:vAlign w:val="center"/>
          </w:tcPr>
          <w:p w:rsidR="000D6DE0" w:rsidRDefault="00CD30B1">
            <w:pPr>
              <w:jc w:val="right"/>
            </w:pPr>
            <w:r>
              <w:rPr>
                <w:color w:val="000000"/>
                <w:sz w:val="24"/>
                <w:szCs w:val="24"/>
              </w:rPr>
              <w:t>0.15</w:t>
            </w:r>
          </w:p>
        </w:tc>
      </w:tr>
      <w:tr w:rsidR="000D6DE0">
        <w:trPr>
          <w:jc w:val="center"/>
        </w:trPr>
        <w:tc>
          <w:tcPr>
            <w:tcW w:w="855" w:type="dxa"/>
            <w:vAlign w:val="center"/>
          </w:tcPr>
          <w:p w:rsidR="000D6DE0" w:rsidRDefault="00CD30B1">
            <w:pPr>
              <w:jc w:val="center"/>
            </w:pPr>
            <w:r>
              <w:rPr>
                <w:color w:val="000000"/>
                <w:sz w:val="24"/>
                <w:szCs w:val="24"/>
              </w:rPr>
              <w:t>6</w:t>
            </w:r>
          </w:p>
        </w:tc>
        <w:tc>
          <w:tcPr>
            <w:tcW w:w="1334" w:type="dxa"/>
            <w:vAlign w:val="center"/>
          </w:tcPr>
          <w:p w:rsidR="000D6DE0" w:rsidRDefault="00CD30B1">
            <w:pPr>
              <w:jc w:val="center"/>
            </w:pPr>
            <w:r>
              <w:rPr>
                <w:color w:val="000000"/>
                <w:sz w:val="24"/>
                <w:szCs w:val="24"/>
              </w:rPr>
              <w:t>601398</w:t>
            </w:r>
          </w:p>
        </w:tc>
        <w:tc>
          <w:tcPr>
            <w:tcW w:w="1777" w:type="dxa"/>
            <w:vAlign w:val="center"/>
          </w:tcPr>
          <w:p w:rsidR="000D6DE0" w:rsidRDefault="00CD30B1">
            <w:pPr>
              <w:jc w:val="center"/>
            </w:pPr>
            <w:r>
              <w:rPr>
                <w:color w:val="000000"/>
                <w:sz w:val="24"/>
                <w:szCs w:val="24"/>
              </w:rPr>
              <w:t>工商银行</w:t>
            </w:r>
          </w:p>
        </w:tc>
        <w:tc>
          <w:tcPr>
            <w:tcW w:w="1334" w:type="dxa"/>
            <w:vAlign w:val="center"/>
          </w:tcPr>
          <w:p w:rsidR="000D6DE0" w:rsidRDefault="00CD30B1">
            <w:pPr>
              <w:jc w:val="right"/>
            </w:pPr>
            <w:r>
              <w:rPr>
                <w:color w:val="000000"/>
                <w:sz w:val="24"/>
                <w:szCs w:val="24"/>
              </w:rPr>
              <w:t>547,800</w:t>
            </w:r>
          </w:p>
        </w:tc>
        <w:tc>
          <w:tcPr>
            <w:tcW w:w="1924" w:type="dxa"/>
            <w:vAlign w:val="center"/>
          </w:tcPr>
          <w:p w:rsidR="000D6DE0" w:rsidRDefault="00CD30B1">
            <w:pPr>
              <w:jc w:val="right"/>
            </w:pPr>
            <w:r>
              <w:rPr>
                <w:color w:val="000000"/>
                <w:sz w:val="24"/>
                <w:szCs w:val="24"/>
              </w:rPr>
              <w:t>3,221,064.00</w:t>
            </w:r>
          </w:p>
        </w:tc>
        <w:tc>
          <w:tcPr>
            <w:tcW w:w="1644" w:type="dxa"/>
            <w:vAlign w:val="center"/>
          </w:tcPr>
          <w:p w:rsidR="000D6DE0" w:rsidRDefault="00CD30B1">
            <w:pPr>
              <w:jc w:val="right"/>
            </w:pPr>
            <w:r>
              <w:rPr>
                <w:color w:val="000000"/>
                <w:sz w:val="24"/>
                <w:szCs w:val="24"/>
              </w:rPr>
              <w:t>0.13</w:t>
            </w:r>
          </w:p>
        </w:tc>
      </w:tr>
      <w:tr w:rsidR="000D6DE0">
        <w:trPr>
          <w:jc w:val="center"/>
        </w:trPr>
        <w:tc>
          <w:tcPr>
            <w:tcW w:w="855" w:type="dxa"/>
            <w:vAlign w:val="center"/>
          </w:tcPr>
          <w:p w:rsidR="000D6DE0" w:rsidRDefault="00CD30B1">
            <w:pPr>
              <w:jc w:val="center"/>
            </w:pPr>
            <w:r>
              <w:rPr>
                <w:color w:val="000000"/>
                <w:sz w:val="24"/>
                <w:szCs w:val="24"/>
              </w:rPr>
              <w:t>7</w:t>
            </w:r>
          </w:p>
        </w:tc>
        <w:tc>
          <w:tcPr>
            <w:tcW w:w="1334" w:type="dxa"/>
            <w:vAlign w:val="center"/>
          </w:tcPr>
          <w:p w:rsidR="000D6DE0" w:rsidRDefault="00CD30B1">
            <w:pPr>
              <w:jc w:val="center"/>
            </w:pPr>
            <w:r>
              <w:rPr>
                <w:color w:val="000000"/>
                <w:sz w:val="24"/>
                <w:szCs w:val="24"/>
              </w:rPr>
              <w:t>600016</w:t>
            </w:r>
          </w:p>
        </w:tc>
        <w:tc>
          <w:tcPr>
            <w:tcW w:w="1777" w:type="dxa"/>
            <w:vAlign w:val="center"/>
          </w:tcPr>
          <w:p w:rsidR="000D6DE0" w:rsidRDefault="00CD30B1">
            <w:pPr>
              <w:jc w:val="center"/>
            </w:pPr>
            <w:r>
              <w:rPr>
                <w:color w:val="000000"/>
                <w:sz w:val="24"/>
                <w:szCs w:val="24"/>
              </w:rPr>
              <w:t>民生银行</w:t>
            </w:r>
          </w:p>
        </w:tc>
        <w:tc>
          <w:tcPr>
            <w:tcW w:w="1334" w:type="dxa"/>
            <w:vAlign w:val="center"/>
          </w:tcPr>
          <w:p w:rsidR="000D6DE0" w:rsidRDefault="00CD30B1">
            <w:pPr>
              <w:jc w:val="right"/>
            </w:pPr>
            <w:r>
              <w:rPr>
                <w:color w:val="000000"/>
                <w:sz w:val="24"/>
                <w:szCs w:val="24"/>
              </w:rPr>
              <w:t>475,600</w:t>
            </w:r>
          </w:p>
        </w:tc>
        <w:tc>
          <w:tcPr>
            <w:tcW w:w="1924" w:type="dxa"/>
            <w:vAlign w:val="center"/>
          </w:tcPr>
          <w:p w:rsidR="000D6DE0" w:rsidRDefault="00CD30B1">
            <w:pPr>
              <w:jc w:val="right"/>
            </w:pPr>
            <w:r>
              <w:rPr>
                <w:color w:val="000000"/>
                <w:sz w:val="24"/>
                <w:szCs w:val="24"/>
              </w:rPr>
              <w:t>3,001,036.00</w:t>
            </w:r>
          </w:p>
        </w:tc>
        <w:tc>
          <w:tcPr>
            <w:tcW w:w="1644" w:type="dxa"/>
            <w:vAlign w:val="center"/>
          </w:tcPr>
          <w:p w:rsidR="000D6DE0" w:rsidRDefault="00CD30B1">
            <w:pPr>
              <w:jc w:val="right"/>
            </w:pPr>
            <w:r>
              <w:rPr>
                <w:color w:val="000000"/>
                <w:sz w:val="24"/>
                <w:szCs w:val="24"/>
              </w:rPr>
              <w:t>0.12</w:t>
            </w:r>
          </w:p>
        </w:tc>
      </w:tr>
      <w:tr w:rsidR="000D6DE0">
        <w:trPr>
          <w:jc w:val="center"/>
        </w:trPr>
        <w:tc>
          <w:tcPr>
            <w:tcW w:w="855" w:type="dxa"/>
            <w:vAlign w:val="center"/>
          </w:tcPr>
          <w:p w:rsidR="000D6DE0" w:rsidRDefault="00CD30B1">
            <w:pPr>
              <w:jc w:val="center"/>
            </w:pPr>
            <w:r>
              <w:rPr>
                <w:color w:val="000000"/>
                <w:sz w:val="24"/>
                <w:szCs w:val="24"/>
              </w:rPr>
              <w:t>8</w:t>
            </w:r>
          </w:p>
        </w:tc>
        <w:tc>
          <w:tcPr>
            <w:tcW w:w="1334" w:type="dxa"/>
            <w:vAlign w:val="center"/>
          </w:tcPr>
          <w:p w:rsidR="000D6DE0" w:rsidRDefault="00CD30B1">
            <w:pPr>
              <w:jc w:val="center"/>
            </w:pPr>
            <w:r>
              <w:rPr>
                <w:color w:val="000000"/>
                <w:sz w:val="24"/>
                <w:szCs w:val="24"/>
              </w:rPr>
              <w:t>601601</w:t>
            </w:r>
          </w:p>
        </w:tc>
        <w:tc>
          <w:tcPr>
            <w:tcW w:w="1777" w:type="dxa"/>
            <w:vAlign w:val="center"/>
          </w:tcPr>
          <w:p w:rsidR="000D6DE0" w:rsidRDefault="00CD30B1">
            <w:pPr>
              <w:jc w:val="center"/>
            </w:pPr>
            <w:r>
              <w:rPr>
                <w:color w:val="000000"/>
                <w:sz w:val="24"/>
                <w:szCs w:val="24"/>
              </w:rPr>
              <w:t>中国太保</w:t>
            </w:r>
          </w:p>
        </w:tc>
        <w:tc>
          <w:tcPr>
            <w:tcW w:w="1334" w:type="dxa"/>
            <w:vAlign w:val="center"/>
          </w:tcPr>
          <w:p w:rsidR="000D6DE0" w:rsidRDefault="00CD30B1">
            <w:pPr>
              <w:jc w:val="right"/>
            </w:pPr>
            <w:r>
              <w:rPr>
                <w:color w:val="000000"/>
                <w:sz w:val="24"/>
                <w:szCs w:val="24"/>
              </w:rPr>
              <w:t>59,808</w:t>
            </w:r>
          </w:p>
        </w:tc>
        <w:tc>
          <w:tcPr>
            <w:tcW w:w="1924" w:type="dxa"/>
            <w:vAlign w:val="center"/>
          </w:tcPr>
          <w:p w:rsidR="000D6DE0" w:rsidRDefault="00CD30B1">
            <w:pPr>
              <w:jc w:val="right"/>
            </w:pPr>
            <w:r>
              <w:rPr>
                <w:color w:val="000000"/>
                <w:sz w:val="24"/>
                <w:szCs w:val="24"/>
              </w:rPr>
              <w:t>2,263,134.72</w:t>
            </w:r>
          </w:p>
        </w:tc>
        <w:tc>
          <w:tcPr>
            <w:tcW w:w="1644" w:type="dxa"/>
            <w:vAlign w:val="center"/>
          </w:tcPr>
          <w:p w:rsidR="000D6DE0" w:rsidRDefault="00CD30B1">
            <w:pPr>
              <w:jc w:val="right"/>
            </w:pPr>
            <w:r>
              <w:rPr>
                <w:color w:val="000000"/>
                <w:sz w:val="24"/>
                <w:szCs w:val="24"/>
              </w:rPr>
              <w:t>0.09</w:t>
            </w:r>
          </w:p>
        </w:tc>
      </w:tr>
      <w:tr w:rsidR="000D6DE0">
        <w:trPr>
          <w:jc w:val="center"/>
        </w:trPr>
        <w:tc>
          <w:tcPr>
            <w:tcW w:w="855" w:type="dxa"/>
            <w:vAlign w:val="center"/>
          </w:tcPr>
          <w:p w:rsidR="000D6DE0" w:rsidRDefault="00CD30B1">
            <w:pPr>
              <w:jc w:val="center"/>
            </w:pPr>
            <w:r>
              <w:rPr>
                <w:color w:val="000000"/>
                <w:sz w:val="24"/>
                <w:szCs w:val="24"/>
              </w:rPr>
              <w:t>9</w:t>
            </w:r>
          </w:p>
        </w:tc>
        <w:tc>
          <w:tcPr>
            <w:tcW w:w="1334" w:type="dxa"/>
            <w:vAlign w:val="center"/>
          </w:tcPr>
          <w:p w:rsidR="000D6DE0" w:rsidRDefault="00CD30B1">
            <w:pPr>
              <w:jc w:val="center"/>
            </w:pPr>
            <w:r>
              <w:rPr>
                <w:color w:val="000000"/>
                <w:sz w:val="24"/>
                <w:szCs w:val="24"/>
              </w:rPr>
              <w:t>601988</w:t>
            </w:r>
          </w:p>
        </w:tc>
        <w:tc>
          <w:tcPr>
            <w:tcW w:w="1777" w:type="dxa"/>
            <w:vAlign w:val="center"/>
          </w:tcPr>
          <w:p w:rsidR="000D6DE0" w:rsidRDefault="00CD30B1">
            <w:pPr>
              <w:jc w:val="center"/>
            </w:pPr>
            <w:r>
              <w:rPr>
                <w:color w:val="000000"/>
                <w:sz w:val="24"/>
                <w:szCs w:val="24"/>
              </w:rPr>
              <w:t>中国银行</w:t>
            </w:r>
          </w:p>
        </w:tc>
        <w:tc>
          <w:tcPr>
            <w:tcW w:w="1334" w:type="dxa"/>
            <w:vAlign w:val="center"/>
          </w:tcPr>
          <w:p w:rsidR="000D6DE0" w:rsidRDefault="00CD30B1">
            <w:pPr>
              <w:jc w:val="right"/>
            </w:pPr>
            <w:r>
              <w:rPr>
                <w:color w:val="000000"/>
                <w:sz w:val="24"/>
                <w:szCs w:val="24"/>
              </w:rPr>
              <w:t>590,300</w:t>
            </w:r>
          </w:p>
        </w:tc>
        <w:tc>
          <w:tcPr>
            <w:tcW w:w="1924" w:type="dxa"/>
            <w:vAlign w:val="center"/>
          </w:tcPr>
          <w:p w:rsidR="000D6DE0" w:rsidRDefault="00CD30B1">
            <w:pPr>
              <w:jc w:val="right"/>
            </w:pPr>
            <w:r>
              <w:rPr>
                <w:color w:val="000000"/>
                <w:sz w:val="24"/>
                <w:szCs w:val="24"/>
              </w:rPr>
              <w:t>2,178,207.00</w:t>
            </w:r>
          </w:p>
        </w:tc>
        <w:tc>
          <w:tcPr>
            <w:tcW w:w="1644" w:type="dxa"/>
            <w:vAlign w:val="center"/>
          </w:tcPr>
          <w:p w:rsidR="000D6DE0" w:rsidRDefault="00CD30B1">
            <w:pPr>
              <w:jc w:val="right"/>
            </w:pPr>
            <w:r>
              <w:rPr>
                <w:color w:val="000000"/>
                <w:sz w:val="24"/>
                <w:szCs w:val="24"/>
              </w:rPr>
              <w:t>0.09</w:t>
            </w:r>
          </w:p>
        </w:tc>
      </w:tr>
      <w:tr w:rsidR="000D6DE0">
        <w:trPr>
          <w:jc w:val="center"/>
        </w:trPr>
        <w:tc>
          <w:tcPr>
            <w:tcW w:w="855" w:type="dxa"/>
            <w:vAlign w:val="center"/>
          </w:tcPr>
          <w:p w:rsidR="000D6DE0" w:rsidRDefault="00CD30B1">
            <w:pPr>
              <w:jc w:val="center"/>
            </w:pPr>
            <w:r>
              <w:rPr>
                <w:color w:val="000000"/>
                <w:sz w:val="24"/>
                <w:szCs w:val="24"/>
              </w:rPr>
              <w:t>10</w:t>
            </w:r>
          </w:p>
        </w:tc>
        <w:tc>
          <w:tcPr>
            <w:tcW w:w="1334" w:type="dxa"/>
            <w:vAlign w:val="center"/>
          </w:tcPr>
          <w:p w:rsidR="000D6DE0" w:rsidRDefault="00CD30B1">
            <w:pPr>
              <w:jc w:val="center"/>
            </w:pPr>
            <w:r>
              <w:rPr>
                <w:color w:val="000000"/>
                <w:sz w:val="24"/>
                <w:szCs w:val="24"/>
              </w:rPr>
              <w:t>600104</w:t>
            </w:r>
          </w:p>
        </w:tc>
        <w:tc>
          <w:tcPr>
            <w:tcW w:w="1777" w:type="dxa"/>
            <w:vAlign w:val="center"/>
          </w:tcPr>
          <w:p w:rsidR="000D6DE0" w:rsidRDefault="00CD30B1">
            <w:pPr>
              <w:jc w:val="center"/>
            </w:pPr>
            <w:r>
              <w:rPr>
                <w:color w:val="000000"/>
                <w:sz w:val="24"/>
                <w:szCs w:val="24"/>
              </w:rPr>
              <w:t>上汽集团</w:t>
            </w:r>
          </w:p>
        </w:tc>
        <w:tc>
          <w:tcPr>
            <w:tcW w:w="1334" w:type="dxa"/>
            <w:vAlign w:val="center"/>
          </w:tcPr>
          <w:p w:rsidR="000D6DE0" w:rsidRDefault="00CD30B1">
            <w:pPr>
              <w:jc w:val="right"/>
            </w:pPr>
            <w:r>
              <w:rPr>
                <w:color w:val="000000"/>
                <w:sz w:val="24"/>
                <w:szCs w:val="24"/>
              </w:rPr>
              <w:t>75,700</w:t>
            </w:r>
          </w:p>
        </w:tc>
        <w:tc>
          <w:tcPr>
            <w:tcW w:w="1924" w:type="dxa"/>
            <w:vAlign w:val="center"/>
          </w:tcPr>
          <w:p w:rsidR="000D6DE0" w:rsidRDefault="00CD30B1">
            <w:pPr>
              <w:jc w:val="right"/>
            </w:pPr>
            <w:r>
              <w:rPr>
                <w:color w:val="000000"/>
                <w:sz w:val="24"/>
                <w:szCs w:val="24"/>
              </w:rPr>
              <w:t>1,805,445.00</w:t>
            </w:r>
          </w:p>
        </w:tc>
        <w:tc>
          <w:tcPr>
            <w:tcW w:w="1644" w:type="dxa"/>
            <w:vAlign w:val="center"/>
          </w:tcPr>
          <w:p w:rsidR="000D6DE0" w:rsidRDefault="00CD30B1">
            <w:pPr>
              <w:jc w:val="right"/>
            </w:pPr>
            <w:r>
              <w:rPr>
                <w:color w:val="000000"/>
                <w:sz w:val="24"/>
                <w:szCs w:val="24"/>
              </w:rPr>
              <w:t>0.07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100,328,000.00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100,328,000.00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11,559.49</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100,339,559.49</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D6DE0">
        <w:trPr>
          <w:jc w:val="center"/>
        </w:trPr>
        <w:tc>
          <w:tcPr>
            <w:tcW w:w="850" w:type="dxa"/>
            <w:vAlign w:val="center"/>
          </w:tcPr>
          <w:p w:rsidR="000D6DE0" w:rsidRDefault="00CD30B1">
            <w:pPr>
              <w:jc w:val="center"/>
            </w:pPr>
            <w:r>
              <w:rPr>
                <w:color w:val="000000"/>
                <w:sz w:val="24"/>
                <w:szCs w:val="24"/>
              </w:rPr>
              <w:t>1</w:t>
            </w:r>
          </w:p>
        </w:tc>
        <w:tc>
          <w:tcPr>
            <w:tcW w:w="1475" w:type="dxa"/>
            <w:vAlign w:val="center"/>
          </w:tcPr>
          <w:p w:rsidR="000D6DE0" w:rsidRDefault="00CD30B1">
            <w:pPr>
              <w:jc w:val="center"/>
            </w:pPr>
            <w:r>
              <w:rPr>
                <w:color w:val="000000"/>
                <w:sz w:val="24"/>
                <w:szCs w:val="24"/>
              </w:rPr>
              <w:t>190206</w:t>
            </w:r>
          </w:p>
        </w:tc>
        <w:tc>
          <w:tcPr>
            <w:tcW w:w="1769" w:type="dxa"/>
            <w:vAlign w:val="center"/>
          </w:tcPr>
          <w:p w:rsidR="000D6DE0" w:rsidRDefault="00CD30B1">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0D6DE0" w:rsidRDefault="00CD30B1">
            <w:pPr>
              <w:jc w:val="right"/>
            </w:pPr>
            <w:r>
              <w:rPr>
                <w:color w:val="000000"/>
                <w:sz w:val="24"/>
                <w:szCs w:val="24"/>
              </w:rPr>
              <w:t>600,000</w:t>
            </w:r>
          </w:p>
        </w:tc>
        <w:tc>
          <w:tcPr>
            <w:tcW w:w="2150" w:type="dxa"/>
            <w:vAlign w:val="center"/>
          </w:tcPr>
          <w:p w:rsidR="000D6DE0" w:rsidRDefault="00CD30B1">
            <w:pPr>
              <w:jc w:val="right"/>
            </w:pPr>
            <w:r>
              <w:rPr>
                <w:color w:val="000000"/>
                <w:sz w:val="24"/>
                <w:szCs w:val="24"/>
              </w:rPr>
              <w:t>60,096,000.00</w:t>
            </w:r>
          </w:p>
        </w:tc>
        <w:tc>
          <w:tcPr>
            <w:tcW w:w="1237" w:type="dxa"/>
            <w:vAlign w:val="center"/>
          </w:tcPr>
          <w:p w:rsidR="000D6DE0" w:rsidRDefault="00CD30B1">
            <w:pPr>
              <w:jc w:val="right"/>
            </w:pPr>
            <w:r>
              <w:rPr>
                <w:color w:val="000000"/>
                <w:sz w:val="24"/>
                <w:szCs w:val="24"/>
              </w:rPr>
              <w:t>2.48</w:t>
            </w:r>
          </w:p>
        </w:tc>
      </w:tr>
      <w:tr w:rsidR="000D6DE0">
        <w:trPr>
          <w:jc w:val="center"/>
        </w:trPr>
        <w:tc>
          <w:tcPr>
            <w:tcW w:w="850" w:type="dxa"/>
            <w:vAlign w:val="center"/>
          </w:tcPr>
          <w:p w:rsidR="000D6DE0" w:rsidRDefault="00CD30B1">
            <w:pPr>
              <w:jc w:val="center"/>
            </w:pPr>
            <w:r>
              <w:rPr>
                <w:color w:val="000000"/>
                <w:sz w:val="24"/>
                <w:szCs w:val="24"/>
              </w:rPr>
              <w:t>2</w:t>
            </w:r>
          </w:p>
        </w:tc>
        <w:tc>
          <w:tcPr>
            <w:tcW w:w="1475" w:type="dxa"/>
            <w:vAlign w:val="center"/>
          </w:tcPr>
          <w:p w:rsidR="000D6DE0" w:rsidRDefault="00CD30B1">
            <w:pPr>
              <w:jc w:val="center"/>
            </w:pPr>
            <w:r>
              <w:rPr>
                <w:color w:val="000000"/>
                <w:sz w:val="24"/>
                <w:szCs w:val="24"/>
              </w:rPr>
              <w:t>108602</w:t>
            </w:r>
          </w:p>
        </w:tc>
        <w:tc>
          <w:tcPr>
            <w:tcW w:w="1769" w:type="dxa"/>
            <w:vAlign w:val="center"/>
          </w:tcPr>
          <w:p w:rsidR="000D6DE0" w:rsidRDefault="00CD30B1">
            <w:pPr>
              <w:jc w:val="center"/>
            </w:pPr>
            <w:r>
              <w:rPr>
                <w:color w:val="000000"/>
                <w:sz w:val="24"/>
                <w:szCs w:val="24"/>
              </w:rPr>
              <w:t>国开</w:t>
            </w:r>
            <w:r>
              <w:rPr>
                <w:color w:val="000000"/>
                <w:sz w:val="24"/>
                <w:szCs w:val="24"/>
              </w:rPr>
              <w:t>1704</w:t>
            </w:r>
          </w:p>
        </w:tc>
        <w:tc>
          <w:tcPr>
            <w:tcW w:w="1387" w:type="dxa"/>
            <w:vAlign w:val="center"/>
          </w:tcPr>
          <w:p w:rsidR="000D6DE0" w:rsidRDefault="00CD30B1">
            <w:pPr>
              <w:jc w:val="right"/>
            </w:pPr>
            <w:r>
              <w:rPr>
                <w:color w:val="000000"/>
                <w:sz w:val="24"/>
                <w:szCs w:val="24"/>
              </w:rPr>
              <w:t>400,000</w:t>
            </w:r>
          </w:p>
        </w:tc>
        <w:tc>
          <w:tcPr>
            <w:tcW w:w="2150" w:type="dxa"/>
            <w:vAlign w:val="center"/>
          </w:tcPr>
          <w:p w:rsidR="000D6DE0" w:rsidRDefault="00CD30B1">
            <w:pPr>
              <w:jc w:val="right"/>
            </w:pPr>
            <w:r>
              <w:rPr>
                <w:color w:val="000000"/>
                <w:sz w:val="24"/>
                <w:szCs w:val="24"/>
              </w:rPr>
              <w:t>40,232,000.00</w:t>
            </w:r>
          </w:p>
        </w:tc>
        <w:tc>
          <w:tcPr>
            <w:tcW w:w="1237" w:type="dxa"/>
            <w:vAlign w:val="center"/>
          </w:tcPr>
          <w:p w:rsidR="000D6DE0" w:rsidRDefault="00CD30B1">
            <w:pPr>
              <w:jc w:val="right"/>
            </w:pPr>
            <w:r>
              <w:rPr>
                <w:color w:val="000000"/>
                <w:sz w:val="24"/>
                <w:szCs w:val="24"/>
              </w:rPr>
              <w:t>1.66</w:t>
            </w:r>
          </w:p>
        </w:tc>
      </w:tr>
      <w:tr w:rsidR="000D6DE0">
        <w:trPr>
          <w:jc w:val="center"/>
        </w:trPr>
        <w:tc>
          <w:tcPr>
            <w:tcW w:w="850" w:type="dxa"/>
            <w:vAlign w:val="center"/>
          </w:tcPr>
          <w:p w:rsidR="000D6DE0" w:rsidRDefault="00CD30B1">
            <w:pPr>
              <w:jc w:val="center"/>
            </w:pPr>
            <w:r>
              <w:rPr>
                <w:color w:val="000000"/>
                <w:sz w:val="24"/>
                <w:szCs w:val="24"/>
              </w:rPr>
              <w:t>3</w:t>
            </w:r>
          </w:p>
        </w:tc>
        <w:tc>
          <w:tcPr>
            <w:tcW w:w="1475" w:type="dxa"/>
            <w:vAlign w:val="center"/>
          </w:tcPr>
          <w:p w:rsidR="000D6DE0" w:rsidRDefault="00CD30B1">
            <w:pPr>
              <w:jc w:val="center"/>
            </w:pPr>
            <w:r>
              <w:rPr>
                <w:color w:val="000000"/>
                <w:sz w:val="24"/>
                <w:szCs w:val="24"/>
              </w:rPr>
              <w:t>128083</w:t>
            </w:r>
          </w:p>
        </w:tc>
        <w:tc>
          <w:tcPr>
            <w:tcW w:w="1769" w:type="dxa"/>
            <w:vAlign w:val="center"/>
          </w:tcPr>
          <w:p w:rsidR="000D6DE0" w:rsidRDefault="00CD30B1">
            <w:pPr>
              <w:jc w:val="center"/>
            </w:pPr>
            <w:r>
              <w:rPr>
                <w:color w:val="000000"/>
                <w:sz w:val="24"/>
                <w:szCs w:val="24"/>
              </w:rPr>
              <w:t>新北转债</w:t>
            </w:r>
          </w:p>
        </w:tc>
        <w:tc>
          <w:tcPr>
            <w:tcW w:w="1387" w:type="dxa"/>
            <w:vAlign w:val="center"/>
          </w:tcPr>
          <w:p w:rsidR="000D6DE0" w:rsidRDefault="00CD30B1">
            <w:pPr>
              <w:jc w:val="right"/>
            </w:pPr>
            <w:r>
              <w:rPr>
                <w:color w:val="000000"/>
                <w:sz w:val="24"/>
                <w:szCs w:val="24"/>
              </w:rPr>
              <w:t>97</w:t>
            </w:r>
          </w:p>
        </w:tc>
        <w:tc>
          <w:tcPr>
            <w:tcW w:w="2150" w:type="dxa"/>
            <w:vAlign w:val="center"/>
          </w:tcPr>
          <w:p w:rsidR="000D6DE0" w:rsidRDefault="00CD30B1">
            <w:pPr>
              <w:jc w:val="right"/>
            </w:pPr>
            <w:r>
              <w:rPr>
                <w:color w:val="000000"/>
                <w:sz w:val="24"/>
                <w:szCs w:val="24"/>
              </w:rPr>
              <w:t>11,559.49</w:t>
            </w:r>
          </w:p>
        </w:tc>
        <w:tc>
          <w:tcPr>
            <w:tcW w:w="1237" w:type="dxa"/>
            <w:vAlign w:val="center"/>
          </w:tcPr>
          <w:p w:rsidR="000D6DE0" w:rsidRDefault="00CD30B1">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67,470.84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10,027,708.34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901.01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2,204,370.72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47,021,451.17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21,750.88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59,343,652.96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4046D7" w:rsidRPr="00575270" w:rsidRDefault="004046D7" w:rsidP="004046D7">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4046D7" w:rsidRPr="00575270" w:rsidRDefault="004046D7" w:rsidP="004046D7">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tbl>
      <w:tblPr>
        <w:tblStyle w:val="aff2"/>
        <w:tblW w:w="5000" w:type="pct"/>
        <w:tblLayout w:type="fixed"/>
        <w:tblLook w:val="04A0" w:firstRow="1" w:lastRow="0" w:firstColumn="1" w:lastColumn="0" w:noHBand="0" w:noVBand="1"/>
      </w:tblPr>
      <w:tblGrid>
        <w:gridCol w:w="835"/>
        <w:gridCol w:w="1159"/>
        <w:gridCol w:w="1161"/>
        <w:gridCol w:w="1161"/>
        <w:gridCol w:w="1159"/>
        <w:gridCol w:w="1305"/>
        <w:gridCol w:w="1161"/>
        <w:gridCol w:w="1301"/>
      </w:tblGrid>
      <w:tr w:rsidR="004046D7" w:rsidRPr="00575270" w:rsidTr="00B32CA0">
        <w:tc>
          <w:tcPr>
            <w:tcW w:w="452" w:type="pct"/>
            <w:vAlign w:val="center"/>
          </w:tcPr>
          <w:p w:rsidR="004046D7" w:rsidRPr="00575270" w:rsidRDefault="004046D7" w:rsidP="00F8289A">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4046D7" w:rsidRPr="00575270" w:rsidRDefault="004046D7" w:rsidP="00B32CA0">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4046D7" w:rsidRPr="00575270" w:rsidRDefault="004046D7" w:rsidP="00B32CA0">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r w:rsidR="004E5CD0">
              <w:rPr>
                <w:rFonts w:ascii="Times New Roman" w:hAnsi="Times New Roman" w:cs="Times New Roman"/>
              </w:rPr>
              <w:t>（</w:t>
            </w:r>
            <w:r w:rsidR="004E5CD0">
              <w:rPr>
                <w:rFonts w:ascii="Times New Roman" w:hAnsi="Times New Roman" w:cs="Times New Roman" w:hint="eastAsia"/>
              </w:rPr>
              <w:t>%</w:t>
            </w:r>
            <w:r w:rsidR="004E5CD0" w:rsidRPr="00575270">
              <w:rPr>
                <w:rFonts w:ascii="Times New Roman" w:hAnsi="Times New Roman" w:cs="Times New Roman"/>
              </w:rPr>
              <w:t>）</w:t>
            </w:r>
          </w:p>
        </w:tc>
        <w:tc>
          <w:tcPr>
            <w:tcW w:w="704" w:type="pct"/>
            <w:vAlign w:val="center"/>
          </w:tcPr>
          <w:p w:rsidR="004046D7" w:rsidRPr="00575270" w:rsidRDefault="004046D7" w:rsidP="00B32CA0">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0D6DE0">
        <w:tc>
          <w:tcPr>
            <w:tcW w:w="835" w:type="dxa"/>
            <w:vAlign w:val="center"/>
          </w:tcPr>
          <w:p w:rsidR="000D6DE0" w:rsidRDefault="00CD30B1">
            <w:pPr>
              <w:jc w:val="center"/>
            </w:pPr>
            <w:r>
              <w:rPr>
                <w:sz w:val="24"/>
                <w:szCs w:val="24"/>
              </w:rPr>
              <w:t>1</w:t>
            </w:r>
          </w:p>
        </w:tc>
        <w:tc>
          <w:tcPr>
            <w:tcW w:w="1159" w:type="dxa"/>
            <w:vAlign w:val="center"/>
          </w:tcPr>
          <w:p w:rsidR="000D6DE0" w:rsidRDefault="00CD30B1">
            <w:pPr>
              <w:jc w:val="center"/>
            </w:pPr>
            <w:r>
              <w:rPr>
                <w:sz w:val="24"/>
                <w:szCs w:val="24"/>
              </w:rPr>
              <w:t>519062</w:t>
            </w:r>
          </w:p>
        </w:tc>
        <w:tc>
          <w:tcPr>
            <w:tcW w:w="1161" w:type="dxa"/>
            <w:vAlign w:val="center"/>
          </w:tcPr>
          <w:p w:rsidR="000D6DE0" w:rsidRDefault="00CD30B1">
            <w:pPr>
              <w:jc w:val="center"/>
            </w:pPr>
            <w:r>
              <w:rPr>
                <w:sz w:val="24"/>
                <w:szCs w:val="24"/>
              </w:rPr>
              <w:t>海富通阿尔法对冲混合</w:t>
            </w:r>
          </w:p>
        </w:tc>
        <w:tc>
          <w:tcPr>
            <w:tcW w:w="1161" w:type="dxa"/>
            <w:vAlign w:val="center"/>
          </w:tcPr>
          <w:p w:rsidR="000D6DE0" w:rsidRDefault="00CD30B1">
            <w:pPr>
              <w:jc w:val="center"/>
            </w:pPr>
            <w:r>
              <w:rPr>
                <w:sz w:val="24"/>
                <w:szCs w:val="24"/>
              </w:rPr>
              <w:t>契约型开放式</w:t>
            </w:r>
          </w:p>
        </w:tc>
        <w:tc>
          <w:tcPr>
            <w:tcW w:w="1159" w:type="dxa"/>
            <w:vAlign w:val="center"/>
          </w:tcPr>
          <w:p w:rsidR="000D6DE0" w:rsidRDefault="00CD30B1">
            <w:pPr>
              <w:jc w:val="center"/>
            </w:pPr>
            <w:r>
              <w:rPr>
                <w:sz w:val="24"/>
                <w:szCs w:val="24"/>
              </w:rPr>
              <w:t>208,574,052.58</w:t>
            </w:r>
          </w:p>
        </w:tc>
        <w:tc>
          <w:tcPr>
            <w:tcW w:w="1305" w:type="dxa"/>
            <w:vAlign w:val="center"/>
          </w:tcPr>
          <w:p w:rsidR="000D6DE0" w:rsidRDefault="00CD30B1">
            <w:pPr>
              <w:jc w:val="center"/>
            </w:pPr>
            <w:r>
              <w:rPr>
                <w:sz w:val="24"/>
                <w:szCs w:val="24"/>
              </w:rPr>
              <w:t>231,934,346.47</w:t>
            </w:r>
          </w:p>
        </w:tc>
        <w:tc>
          <w:tcPr>
            <w:tcW w:w="1161" w:type="dxa"/>
            <w:vAlign w:val="center"/>
          </w:tcPr>
          <w:p w:rsidR="000D6DE0" w:rsidRDefault="00CD30B1">
            <w:pPr>
              <w:jc w:val="center"/>
            </w:pPr>
            <w:r>
              <w:rPr>
                <w:sz w:val="24"/>
                <w:szCs w:val="24"/>
              </w:rPr>
              <w:t>9.56</w:t>
            </w:r>
          </w:p>
        </w:tc>
        <w:tc>
          <w:tcPr>
            <w:tcW w:w="1301" w:type="dxa"/>
            <w:vAlign w:val="center"/>
          </w:tcPr>
          <w:p w:rsidR="000D6DE0" w:rsidRDefault="00CD30B1">
            <w:pPr>
              <w:jc w:val="center"/>
            </w:pPr>
            <w:r>
              <w:rPr>
                <w:sz w:val="24"/>
                <w:szCs w:val="24"/>
              </w:rPr>
              <w:t>否</w:t>
            </w:r>
          </w:p>
        </w:tc>
      </w:tr>
      <w:tr w:rsidR="000D6DE0">
        <w:tc>
          <w:tcPr>
            <w:tcW w:w="835" w:type="dxa"/>
            <w:vAlign w:val="center"/>
          </w:tcPr>
          <w:p w:rsidR="000D6DE0" w:rsidRDefault="00CD30B1">
            <w:pPr>
              <w:jc w:val="center"/>
            </w:pPr>
            <w:r>
              <w:rPr>
                <w:sz w:val="24"/>
                <w:szCs w:val="24"/>
              </w:rPr>
              <w:t>2</w:t>
            </w:r>
          </w:p>
        </w:tc>
        <w:tc>
          <w:tcPr>
            <w:tcW w:w="1159" w:type="dxa"/>
            <w:vAlign w:val="center"/>
          </w:tcPr>
          <w:p w:rsidR="000D6DE0" w:rsidRDefault="00CD30B1">
            <w:pPr>
              <w:jc w:val="center"/>
            </w:pPr>
            <w:r>
              <w:rPr>
                <w:sz w:val="24"/>
                <w:szCs w:val="24"/>
              </w:rPr>
              <w:t>519723</w:t>
            </w:r>
          </w:p>
        </w:tc>
        <w:tc>
          <w:tcPr>
            <w:tcW w:w="1161" w:type="dxa"/>
            <w:vAlign w:val="center"/>
          </w:tcPr>
          <w:p w:rsidR="000D6DE0" w:rsidRDefault="00CD30B1">
            <w:pPr>
              <w:jc w:val="center"/>
            </w:pPr>
            <w:r>
              <w:rPr>
                <w:sz w:val="24"/>
                <w:szCs w:val="24"/>
              </w:rPr>
              <w:t>交银双轮动债券</w:t>
            </w:r>
            <w:r>
              <w:rPr>
                <w:sz w:val="24"/>
                <w:szCs w:val="24"/>
              </w:rPr>
              <w:t>A</w:t>
            </w:r>
          </w:p>
        </w:tc>
        <w:tc>
          <w:tcPr>
            <w:tcW w:w="1161" w:type="dxa"/>
            <w:vAlign w:val="center"/>
          </w:tcPr>
          <w:p w:rsidR="000D6DE0" w:rsidRDefault="00CD30B1">
            <w:pPr>
              <w:jc w:val="center"/>
            </w:pPr>
            <w:r>
              <w:rPr>
                <w:sz w:val="24"/>
                <w:szCs w:val="24"/>
              </w:rPr>
              <w:t>契约型开放式</w:t>
            </w:r>
          </w:p>
        </w:tc>
        <w:tc>
          <w:tcPr>
            <w:tcW w:w="1159" w:type="dxa"/>
            <w:vAlign w:val="center"/>
          </w:tcPr>
          <w:p w:rsidR="000D6DE0" w:rsidRDefault="00CD30B1">
            <w:pPr>
              <w:jc w:val="center"/>
            </w:pPr>
            <w:r>
              <w:rPr>
                <w:sz w:val="24"/>
                <w:szCs w:val="24"/>
              </w:rPr>
              <w:t>198,644,769.84</w:t>
            </w:r>
          </w:p>
        </w:tc>
        <w:tc>
          <w:tcPr>
            <w:tcW w:w="1305" w:type="dxa"/>
            <w:vAlign w:val="center"/>
          </w:tcPr>
          <w:p w:rsidR="000D6DE0" w:rsidRDefault="00CD30B1">
            <w:pPr>
              <w:jc w:val="center"/>
            </w:pPr>
            <w:r>
              <w:rPr>
                <w:sz w:val="24"/>
                <w:szCs w:val="24"/>
              </w:rPr>
              <w:t>214,536,351.43</w:t>
            </w:r>
          </w:p>
        </w:tc>
        <w:tc>
          <w:tcPr>
            <w:tcW w:w="1161" w:type="dxa"/>
            <w:vAlign w:val="center"/>
          </w:tcPr>
          <w:p w:rsidR="000D6DE0" w:rsidRDefault="00CD30B1">
            <w:pPr>
              <w:jc w:val="center"/>
            </w:pPr>
            <w:r>
              <w:rPr>
                <w:sz w:val="24"/>
                <w:szCs w:val="24"/>
              </w:rPr>
              <w:t>8.84</w:t>
            </w:r>
          </w:p>
        </w:tc>
        <w:tc>
          <w:tcPr>
            <w:tcW w:w="1301" w:type="dxa"/>
            <w:vAlign w:val="center"/>
          </w:tcPr>
          <w:p w:rsidR="000D6DE0" w:rsidRDefault="00CD30B1">
            <w:pPr>
              <w:jc w:val="center"/>
            </w:pPr>
            <w:r>
              <w:rPr>
                <w:sz w:val="24"/>
                <w:szCs w:val="24"/>
              </w:rPr>
              <w:t>是</w:t>
            </w:r>
          </w:p>
        </w:tc>
      </w:tr>
      <w:tr w:rsidR="000D6DE0">
        <w:tc>
          <w:tcPr>
            <w:tcW w:w="835" w:type="dxa"/>
            <w:vAlign w:val="center"/>
          </w:tcPr>
          <w:p w:rsidR="000D6DE0" w:rsidRDefault="00CD30B1">
            <w:pPr>
              <w:jc w:val="center"/>
            </w:pPr>
            <w:r>
              <w:rPr>
                <w:sz w:val="24"/>
                <w:szCs w:val="24"/>
              </w:rPr>
              <w:t>3</w:t>
            </w:r>
          </w:p>
        </w:tc>
        <w:tc>
          <w:tcPr>
            <w:tcW w:w="1159" w:type="dxa"/>
            <w:vAlign w:val="center"/>
          </w:tcPr>
          <w:p w:rsidR="000D6DE0" w:rsidRDefault="00CD30B1">
            <w:pPr>
              <w:jc w:val="center"/>
            </w:pPr>
            <w:r>
              <w:rPr>
                <w:sz w:val="24"/>
                <w:szCs w:val="24"/>
              </w:rPr>
              <w:t>000191</w:t>
            </w:r>
          </w:p>
        </w:tc>
        <w:tc>
          <w:tcPr>
            <w:tcW w:w="1161" w:type="dxa"/>
            <w:vAlign w:val="center"/>
          </w:tcPr>
          <w:p w:rsidR="000D6DE0" w:rsidRDefault="00CD30B1">
            <w:pPr>
              <w:jc w:val="center"/>
            </w:pPr>
            <w:r>
              <w:rPr>
                <w:sz w:val="24"/>
                <w:szCs w:val="24"/>
              </w:rPr>
              <w:t>富国信用债债券</w:t>
            </w:r>
            <w:r>
              <w:rPr>
                <w:sz w:val="24"/>
                <w:szCs w:val="24"/>
              </w:rPr>
              <w:t>A</w:t>
            </w:r>
          </w:p>
        </w:tc>
        <w:tc>
          <w:tcPr>
            <w:tcW w:w="1161" w:type="dxa"/>
            <w:vAlign w:val="center"/>
          </w:tcPr>
          <w:p w:rsidR="000D6DE0" w:rsidRDefault="00CD30B1">
            <w:pPr>
              <w:jc w:val="center"/>
            </w:pPr>
            <w:r>
              <w:rPr>
                <w:sz w:val="24"/>
                <w:szCs w:val="24"/>
              </w:rPr>
              <w:t>契约型开放式</w:t>
            </w:r>
          </w:p>
        </w:tc>
        <w:tc>
          <w:tcPr>
            <w:tcW w:w="1159" w:type="dxa"/>
            <w:vAlign w:val="center"/>
          </w:tcPr>
          <w:p w:rsidR="000D6DE0" w:rsidRDefault="00CD30B1">
            <w:pPr>
              <w:jc w:val="center"/>
            </w:pPr>
            <w:r>
              <w:rPr>
                <w:sz w:val="24"/>
                <w:szCs w:val="24"/>
              </w:rPr>
              <w:t>144,985,993.56</w:t>
            </w:r>
          </w:p>
        </w:tc>
        <w:tc>
          <w:tcPr>
            <w:tcW w:w="1305" w:type="dxa"/>
            <w:vAlign w:val="center"/>
          </w:tcPr>
          <w:p w:rsidR="000D6DE0" w:rsidRDefault="00CD30B1">
            <w:pPr>
              <w:jc w:val="center"/>
            </w:pPr>
            <w:r>
              <w:rPr>
                <w:sz w:val="24"/>
                <w:szCs w:val="24"/>
              </w:rPr>
              <w:t>157,034,329.62</w:t>
            </w:r>
          </w:p>
        </w:tc>
        <w:tc>
          <w:tcPr>
            <w:tcW w:w="1161" w:type="dxa"/>
            <w:vAlign w:val="center"/>
          </w:tcPr>
          <w:p w:rsidR="000D6DE0" w:rsidRDefault="00CD30B1">
            <w:pPr>
              <w:jc w:val="center"/>
            </w:pPr>
            <w:r>
              <w:rPr>
                <w:sz w:val="24"/>
                <w:szCs w:val="24"/>
              </w:rPr>
              <w:t>6.47</w:t>
            </w:r>
          </w:p>
        </w:tc>
        <w:tc>
          <w:tcPr>
            <w:tcW w:w="1301" w:type="dxa"/>
            <w:vAlign w:val="center"/>
          </w:tcPr>
          <w:p w:rsidR="000D6DE0" w:rsidRDefault="00CD30B1">
            <w:pPr>
              <w:jc w:val="center"/>
            </w:pPr>
            <w:r>
              <w:rPr>
                <w:sz w:val="24"/>
                <w:szCs w:val="24"/>
              </w:rPr>
              <w:t>否</w:t>
            </w:r>
          </w:p>
        </w:tc>
      </w:tr>
      <w:tr w:rsidR="000D6DE0">
        <w:tc>
          <w:tcPr>
            <w:tcW w:w="835" w:type="dxa"/>
            <w:vAlign w:val="center"/>
          </w:tcPr>
          <w:p w:rsidR="000D6DE0" w:rsidRDefault="00CD30B1">
            <w:pPr>
              <w:jc w:val="center"/>
            </w:pPr>
            <w:r>
              <w:rPr>
                <w:sz w:val="24"/>
                <w:szCs w:val="24"/>
              </w:rPr>
              <w:t>4</w:t>
            </w:r>
          </w:p>
        </w:tc>
        <w:tc>
          <w:tcPr>
            <w:tcW w:w="1159" w:type="dxa"/>
            <w:vAlign w:val="center"/>
          </w:tcPr>
          <w:p w:rsidR="000D6DE0" w:rsidRDefault="00CD30B1">
            <w:pPr>
              <w:jc w:val="center"/>
            </w:pPr>
            <w:r>
              <w:rPr>
                <w:sz w:val="24"/>
                <w:szCs w:val="24"/>
              </w:rPr>
              <w:t>519718</w:t>
            </w:r>
          </w:p>
        </w:tc>
        <w:tc>
          <w:tcPr>
            <w:tcW w:w="1161" w:type="dxa"/>
            <w:vAlign w:val="center"/>
          </w:tcPr>
          <w:p w:rsidR="000D6DE0" w:rsidRDefault="00CD30B1">
            <w:pPr>
              <w:jc w:val="center"/>
            </w:pPr>
            <w:r>
              <w:rPr>
                <w:sz w:val="24"/>
                <w:szCs w:val="24"/>
              </w:rPr>
              <w:t>交银纯债债券发起</w:t>
            </w:r>
            <w:r>
              <w:rPr>
                <w:sz w:val="24"/>
                <w:szCs w:val="24"/>
              </w:rPr>
              <w:t>A/B</w:t>
            </w:r>
          </w:p>
        </w:tc>
        <w:tc>
          <w:tcPr>
            <w:tcW w:w="1161" w:type="dxa"/>
            <w:vAlign w:val="center"/>
          </w:tcPr>
          <w:p w:rsidR="000D6DE0" w:rsidRDefault="00CD30B1">
            <w:pPr>
              <w:jc w:val="center"/>
            </w:pPr>
            <w:r>
              <w:rPr>
                <w:sz w:val="24"/>
                <w:szCs w:val="24"/>
              </w:rPr>
              <w:t>契约型开放式</w:t>
            </w:r>
          </w:p>
        </w:tc>
        <w:tc>
          <w:tcPr>
            <w:tcW w:w="1159" w:type="dxa"/>
            <w:vAlign w:val="center"/>
          </w:tcPr>
          <w:p w:rsidR="000D6DE0" w:rsidRDefault="00CD30B1">
            <w:pPr>
              <w:jc w:val="center"/>
            </w:pPr>
            <w:r>
              <w:rPr>
                <w:sz w:val="24"/>
                <w:szCs w:val="24"/>
              </w:rPr>
              <w:t>136,405,198.69</w:t>
            </w:r>
          </w:p>
        </w:tc>
        <w:tc>
          <w:tcPr>
            <w:tcW w:w="1305" w:type="dxa"/>
            <w:vAlign w:val="center"/>
          </w:tcPr>
          <w:p w:rsidR="000D6DE0" w:rsidRDefault="00CD30B1">
            <w:pPr>
              <w:jc w:val="center"/>
            </w:pPr>
            <w:r>
              <w:rPr>
                <w:sz w:val="24"/>
                <w:szCs w:val="24"/>
              </w:rPr>
              <w:t>147,317,614.59</w:t>
            </w:r>
          </w:p>
        </w:tc>
        <w:tc>
          <w:tcPr>
            <w:tcW w:w="1161" w:type="dxa"/>
            <w:vAlign w:val="center"/>
          </w:tcPr>
          <w:p w:rsidR="000D6DE0" w:rsidRDefault="00CD30B1">
            <w:pPr>
              <w:jc w:val="center"/>
            </w:pPr>
            <w:r>
              <w:rPr>
                <w:sz w:val="24"/>
                <w:szCs w:val="24"/>
              </w:rPr>
              <w:t>6.07</w:t>
            </w:r>
          </w:p>
        </w:tc>
        <w:tc>
          <w:tcPr>
            <w:tcW w:w="1301" w:type="dxa"/>
            <w:vAlign w:val="center"/>
          </w:tcPr>
          <w:p w:rsidR="000D6DE0" w:rsidRDefault="00CD30B1">
            <w:pPr>
              <w:jc w:val="center"/>
            </w:pPr>
            <w:r>
              <w:rPr>
                <w:sz w:val="24"/>
                <w:szCs w:val="24"/>
              </w:rPr>
              <w:t>是</w:t>
            </w:r>
          </w:p>
        </w:tc>
      </w:tr>
      <w:tr w:rsidR="000D6DE0">
        <w:tc>
          <w:tcPr>
            <w:tcW w:w="835" w:type="dxa"/>
            <w:vAlign w:val="center"/>
          </w:tcPr>
          <w:p w:rsidR="000D6DE0" w:rsidRDefault="00CD30B1">
            <w:pPr>
              <w:jc w:val="center"/>
            </w:pPr>
            <w:r>
              <w:rPr>
                <w:sz w:val="24"/>
                <w:szCs w:val="24"/>
              </w:rPr>
              <w:t>5</w:t>
            </w:r>
          </w:p>
        </w:tc>
        <w:tc>
          <w:tcPr>
            <w:tcW w:w="1159" w:type="dxa"/>
            <w:vAlign w:val="center"/>
          </w:tcPr>
          <w:p w:rsidR="000D6DE0" w:rsidRDefault="00CD30B1">
            <w:pPr>
              <w:jc w:val="center"/>
            </w:pPr>
            <w:r>
              <w:rPr>
                <w:sz w:val="24"/>
                <w:szCs w:val="24"/>
              </w:rPr>
              <w:t>164902</w:t>
            </w:r>
          </w:p>
        </w:tc>
        <w:tc>
          <w:tcPr>
            <w:tcW w:w="1161" w:type="dxa"/>
            <w:vAlign w:val="center"/>
          </w:tcPr>
          <w:p w:rsidR="000D6DE0" w:rsidRDefault="00CD30B1">
            <w:pPr>
              <w:jc w:val="center"/>
            </w:pPr>
            <w:r>
              <w:rPr>
                <w:sz w:val="24"/>
                <w:szCs w:val="24"/>
              </w:rPr>
              <w:t>交银信用添利债券</w:t>
            </w:r>
            <w:r>
              <w:rPr>
                <w:sz w:val="24"/>
                <w:szCs w:val="24"/>
              </w:rPr>
              <w:t>(LOF)</w:t>
            </w:r>
          </w:p>
        </w:tc>
        <w:tc>
          <w:tcPr>
            <w:tcW w:w="1161" w:type="dxa"/>
            <w:vAlign w:val="center"/>
          </w:tcPr>
          <w:p w:rsidR="000D6DE0" w:rsidRDefault="00CD30B1">
            <w:pPr>
              <w:jc w:val="center"/>
            </w:pPr>
            <w:r>
              <w:rPr>
                <w:sz w:val="24"/>
                <w:szCs w:val="24"/>
              </w:rPr>
              <w:t>契约型开放式</w:t>
            </w:r>
            <w:r>
              <w:rPr>
                <w:sz w:val="24"/>
                <w:szCs w:val="24"/>
              </w:rPr>
              <w:t>(LOF)</w:t>
            </w:r>
          </w:p>
        </w:tc>
        <w:tc>
          <w:tcPr>
            <w:tcW w:w="1159" w:type="dxa"/>
            <w:vAlign w:val="center"/>
          </w:tcPr>
          <w:p w:rsidR="000D6DE0" w:rsidRDefault="00CD30B1">
            <w:pPr>
              <w:jc w:val="center"/>
            </w:pPr>
            <w:r>
              <w:rPr>
                <w:sz w:val="24"/>
                <w:szCs w:val="24"/>
              </w:rPr>
              <w:t>126,675,138.91</w:t>
            </w:r>
          </w:p>
        </w:tc>
        <w:tc>
          <w:tcPr>
            <w:tcW w:w="1305" w:type="dxa"/>
            <w:vAlign w:val="center"/>
          </w:tcPr>
          <w:p w:rsidR="000D6DE0" w:rsidRDefault="00CD30B1">
            <w:pPr>
              <w:jc w:val="center"/>
            </w:pPr>
            <w:r>
              <w:rPr>
                <w:sz w:val="24"/>
                <w:szCs w:val="24"/>
              </w:rPr>
              <w:t>145,043,034.05</w:t>
            </w:r>
          </w:p>
        </w:tc>
        <w:tc>
          <w:tcPr>
            <w:tcW w:w="1161" w:type="dxa"/>
            <w:vAlign w:val="center"/>
          </w:tcPr>
          <w:p w:rsidR="000D6DE0" w:rsidRDefault="00CD30B1">
            <w:pPr>
              <w:jc w:val="center"/>
            </w:pPr>
            <w:r>
              <w:rPr>
                <w:sz w:val="24"/>
                <w:szCs w:val="24"/>
              </w:rPr>
              <w:t>5.98</w:t>
            </w:r>
          </w:p>
        </w:tc>
        <w:tc>
          <w:tcPr>
            <w:tcW w:w="1301" w:type="dxa"/>
            <w:vAlign w:val="center"/>
          </w:tcPr>
          <w:p w:rsidR="000D6DE0" w:rsidRDefault="00CD30B1">
            <w:pPr>
              <w:jc w:val="center"/>
            </w:pPr>
            <w:r>
              <w:rPr>
                <w:sz w:val="24"/>
                <w:szCs w:val="24"/>
              </w:rPr>
              <w:t>是</w:t>
            </w:r>
          </w:p>
        </w:tc>
      </w:tr>
      <w:tr w:rsidR="000D6DE0">
        <w:tc>
          <w:tcPr>
            <w:tcW w:w="835" w:type="dxa"/>
            <w:vAlign w:val="center"/>
          </w:tcPr>
          <w:p w:rsidR="000D6DE0" w:rsidRDefault="00CD30B1">
            <w:pPr>
              <w:jc w:val="center"/>
            </w:pPr>
            <w:r>
              <w:rPr>
                <w:sz w:val="24"/>
                <w:szCs w:val="24"/>
              </w:rPr>
              <w:t>6</w:t>
            </w:r>
          </w:p>
        </w:tc>
        <w:tc>
          <w:tcPr>
            <w:tcW w:w="1159" w:type="dxa"/>
            <w:vAlign w:val="center"/>
          </w:tcPr>
          <w:p w:rsidR="000D6DE0" w:rsidRDefault="00CD30B1">
            <w:pPr>
              <w:jc w:val="center"/>
            </w:pPr>
            <w:r>
              <w:rPr>
                <w:sz w:val="24"/>
                <w:szCs w:val="24"/>
              </w:rPr>
              <w:t>166008</w:t>
            </w:r>
          </w:p>
        </w:tc>
        <w:tc>
          <w:tcPr>
            <w:tcW w:w="1161" w:type="dxa"/>
            <w:vAlign w:val="center"/>
          </w:tcPr>
          <w:p w:rsidR="000D6DE0" w:rsidRDefault="00CD30B1">
            <w:pPr>
              <w:jc w:val="center"/>
            </w:pPr>
            <w:r>
              <w:rPr>
                <w:sz w:val="24"/>
                <w:szCs w:val="24"/>
              </w:rPr>
              <w:t>中欧增强回报债券</w:t>
            </w:r>
            <w:r>
              <w:rPr>
                <w:sz w:val="24"/>
                <w:szCs w:val="24"/>
              </w:rPr>
              <w:t>(LOF)A</w:t>
            </w:r>
          </w:p>
        </w:tc>
        <w:tc>
          <w:tcPr>
            <w:tcW w:w="1161" w:type="dxa"/>
            <w:vAlign w:val="center"/>
          </w:tcPr>
          <w:p w:rsidR="000D6DE0" w:rsidRDefault="00CD30B1">
            <w:pPr>
              <w:jc w:val="center"/>
            </w:pPr>
            <w:r>
              <w:rPr>
                <w:sz w:val="24"/>
                <w:szCs w:val="24"/>
              </w:rPr>
              <w:t>契约型开放式</w:t>
            </w:r>
            <w:r>
              <w:rPr>
                <w:sz w:val="24"/>
                <w:szCs w:val="24"/>
              </w:rPr>
              <w:t>(LOF)</w:t>
            </w:r>
          </w:p>
        </w:tc>
        <w:tc>
          <w:tcPr>
            <w:tcW w:w="1159" w:type="dxa"/>
            <w:vAlign w:val="center"/>
          </w:tcPr>
          <w:p w:rsidR="000D6DE0" w:rsidRDefault="00CD30B1">
            <w:pPr>
              <w:jc w:val="center"/>
            </w:pPr>
            <w:r>
              <w:rPr>
                <w:sz w:val="24"/>
                <w:szCs w:val="24"/>
              </w:rPr>
              <w:t>94,610,806.81</w:t>
            </w:r>
          </w:p>
        </w:tc>
        <w:tc>
          <w:tcPr>
            <w:tcW w:w="1305" w:type="dxa"/>
            <w:vAlign w:val="center"/>
          </w:tcPr>
          <w:p w:rsidR="000D6DE0" w:rsidRDefault="00CD30B1">
            <w:pPr>
              <w:jc w:val="center"/>
            </w:pPr>
            <w:r>
              <w:rPr>
                <w:sz w:val="24"/>
                <w:szCs w:val="24"/>
              </w:rPr>
              <w:t>102,378,354.05</w:t>
            </w:r>
          </w:p>
        </w:tc>
        <w:tc>
          <w:tcPr>
            <w:tcW w:w="1161" w:type="dxa"/>
            <w:vAlign w:val="center"/>
          </w:tcPr>
          <w:p w:rsidR="000D6DE0" w:rsidRDefault="00CD30B1">
            <w:pPr>
              <w:jc w:val="center"/>
            </w:pPr>
            <w:r>
              <w:rPr>
                <w:sz w:val="24"/>
                <w:szCs w:val="24"/>
              </w:rPr>
              <w:t>4.22</w:t>
            </w:r>
          </w:p>
        </w:tc>
        <w:tc>
          <w:tcPr>
            <w:tcW w:w="1301" w:type="dxa"/>
            <w:vAlign w:val="center"/>
          </w:tcPr>
          <w:p w:rsidR="000D6DE0" w:rsidRDefault="00CD30B1">
            <w:pPr>
              <w:jc w:val="center"/>
            </w:pPr>
            <w:r>
              <w:rPr>
                <w:sz w:val="24"/>
                <w:szCs w:val="24"/>
              </w:rPr>
              <w:t>否</w:t>
            </w:r>
          </w:p>
        </w:tc>
      </w:tr>
      <w:tr w:rsidR="000D6DE0">
        <w:tc>
          <w:tcPr>
            <w:tcW w:w="835" w:type="dxa"/>
            <w:vAlign w:val="center"/>
          </w:tcPr>
          <w:p w:rsidR="000D6DE0" w:rsidRDefault="00CD30B1">
            <w:pPr>
              <w:jc w:val="center"/>
            </w:pPr>
            <w:r>
              <w:rPr>
                <w:sz w:val="24"/>
                <w:szCs w:val="24"/>
              </w:rPr>
              <w:t>7</w:t>
            </w:r>
          </w:p>
        </w:tc>
        <w:tc>
          <w:tcPr>
            <w:tcW w:w="1159" w:type="dxa"/>
            <w:vAlign w:val="center"/>
          </w:tcPr>
          <w:p w:rsidR="000D6DE0" w:rsidRDefault="00CD30B1">
            <w:pPr>
              <w:jc w:val="center"/>
            </w:pPr>
            <w:r>
              <w:rPr>
                <w:sz w:val="24"/>
                <w:szCs w:val="24"/>
              </w:rPr>
              <w:t>217022</w:t>
            </w:r>
          </w:p>
        </w:tc>
        <w:tc>
          <w:tcPr>
            <w:tcW w:w="1161" w:type="dxa"/>
            <w:vAlign w:val="center"/>
          </w:tcPr>
          <w:p w:rsidR="000D6DE0" w:rsidRDefault="00CD30B1">
            <w:pPr>
              <w:jc w:val="center"/>
            </w:pPr>
            <w:r>
              <w:rPr>
                <w:sz w:val="24"/>
                <w:szCs w:val="24"/>
              </w:rPr>
              <w:t>招商产业债券</w:t>
            </w:r>
            <w:r>
              <w:rPr>
                <w:sz w:val="24"/>
                <w:szCs w:val="24"/>
              </w:rPr>
              <w:t>A</w:t>
            </w:r>
          </w:p>
        </w:tc>
        <w:tc>
          <w:tcPr>
            <w:tcW w:w="1161" w:type="dxa"/>
            <w:vAlign w:val="center"/>
          </w:tcPr>
          <w:p w:rsidR="000D6DE0" w:rsidRDefault="00CD30B1">
            <w:pPr>
              <w:jc w:val="center"/>
            </w:pPr>
            <w:r>
              <w:rPr>
                <w:sz w:val="24"/>
                <w:szCs w:val="24"/>
              </w:rPr>
              <w:t>契约型开放式</w:t>
            </w:r>
          </w:p>
        </w:tc>
        <w:tc>
          <w:tcPr>
            <w:tcW w:w="1159" w:type="dxa"/>
            <w:vAlign w:val="center"/>
          </w:tcPr>
          <w:p w:rsidR="000D6DE0" w:rsidRDefault="00CD30B1">
            <w:pPr>
              <w:jc w:val="center"/>
            </w:pPr>
            <w:r>
              <w:rPr>
                <w:sz w:val="24"/>
                <w:szCs w:val="24"/>
              </w:rPr>
              <w:t>56,625,756.79</w:t>
            </w:r>
          </w:p>
        </w:tc>
        <w:tc>
          <w:tcPr>
            <w:tcW w:w="1305" w:type="dxa"/>
            <w:vAlign w:val="center"/>
          </w:tcPr>
          <w:p w:rsidR="000D6DE0" w:rsidRDefault="00CD30B1">
            <w:pPr>
              <w:jc w:val="center"/>
            </w:pPr>
            <w:r>
              <w:rPr>
                <w:sz w:val="24"/>
                <w:szCs w:val="24"/>
              </w:rPr>
              <w:t>82,843,482.18</w:t>
            </w:r>
          </w:p>
        </w:tc>
        <w:tc>
          <w:tcPr>
            <w:tcW w:w="1161" w:type="dxa"/>
            <w:vAlign w:val="center"/>
          </w:tcPr>
          <w:p w:rsidR="000D6DE0" w:rsidRDefault="00CD30B1">
            <w:pPr>
              <w:jc w:val="center"/>
            </w:pPr>
            <w:r>
              <w:rPr>
                <w:sz w:val="24"/>
                <w:szCs w:val="24"/>
              </w:rPr>
              <w:t>3.41</w:t>
            </w:r>
          </w:p>
        </w:tc>
        <w:tc>
          <w:tcPr>
            <w:tcW w:w="1301" w:type="dxa"/>
            <w:vAlign w:val="center"/>
          </w:tcPr>
          <w:p w:rsidR="000D6DE0" w:rsidRDefault="00CD30B1">
            <w:pPr>
              <w:jc w:val="center"/>
            </w:pPr>
            <w:r>
              <w:rPr>
                <w:sz w:val="24"/>
                <w:szCs w:val="24"/>
              </w:rPr>
              <w:t>否</w:t>
            </w:r>
          </w:p>
        </w:tc>
      </w:tr>
      <w:tr w:rsidR="000D6DE0">
        <w:tc>
          <w:tcPr>
            <w:tcW w:w="835" w:type="dxa"/>
            <w:vAlign w:val="center"/>
          </w:tcPr>
          <w:p w:rsidR="000D6DE0" w:rsidRDefault="00CD30B1">
            <w:pPr>
              <w:jc w:val="center"/>
            </w:pPr>
            <w:r>
              <w:rPr>
                <w:sz w:val="24"/>
                <w:szCs w:val="24"/>
              </w:rPr>
              <w:t>8</w:t>
            </w:r>
          </w:p>
        </w:tc>
        <w:tc>
          <w:tcPr>
            <w:tcW w:w="1159" w:type="dxa"/>
            <w:vAlign w:val="center"/>
          </w:tcPr>
          <w:p w:rsidR="000D6DE0" w:rsidRDefault="00CD30B1">
            <w:pPr>
              <w:jc w:val="center"/>
            </w:pPr>
            <w:r>
              <w:rPr>
                <w:sz w:val="24"/>
                <w:szCs w:val="24"/>
              </w:rPr>
              <w:t>270044</w:t>
            </w:r>
          </w:p>
        </w:tc>
        <w:tc>
          <w:tcPr>
            <w:tcW w:w="1161" w:type="dxa"/>
            <w:vAlign w:val="center"/>
          </w:tcPr>
          <w:p w:rsidR="000D6DE0" w:rsidRDefault="00CD30B1">
            <w:pPr>
              <w:jc w:val="center"/>
            </w:pPr>
            <w:r>
              <w:rPr>
                <w:sz w:val="24"/>
                <w:szCs w:val="24"/>
              </w:rPr>
              <w:t>广发双债添利债券</w:t>
            </w:r>
            <w:r>
              <w:rPr>
                <w:sz w:val="24"/>
                <w:szCs w:val="24"/>
              </w:rPr>
              <w:t>A</w:t>
            </w:r>
          </w:p>
        </w:tc>
        <w:tc>
          <w:tcPr>
            <w:tcW w:w="1161" w:type="dxa"/>
            <w:vAlign w:val="center"/>
          </w:tcPr>
          <w:p w:rsidR="000D6DE0" w:rsidRDefault="00CD30B1">
            <w:pPr>
              <w:jc w:val="center"/>
            </w:pPr>
            <w:r>
              <w:rPr>
                <w:sz w:val="24"/>
                <w:szCs w:val="24"/>
              </w:rPr>
              <w:t>契约型开放式</w:t>
            </w:r>
          </w:p>
        </w:tc>
        <w:tc>
          <w:tcPr>
            <w:tcW w:w="1159" w:type="dxa"/>
            <w:vAlign w:val="center"/>
          </w:tcPr>
          <w:p w:rsidR="000D6DE0" w:rsidRDefault="00CD30B1">
            <w:pPr>
              <w:jc w:val="center"/>
            </w:pPr>
            <w:r>
              <w:rPr>
                <w:sz w:val="24"/>
                <w:szCs w:val="24"/>
              </w:rPr>
              <w:t>52,054,237.18</w:t>
            </w:r>
          </w:p>
        </w:tc>
        <w:tc>
          <w:tcPr>
            <w:tcW w:w="1305" w:type="dxa"/>
            <w:vAlign w:val="center"/>
          </w:tcPr>
          <w:p w:rsidR="000D6DE0" w:rsidRDefault="00CD30B1">
            <w:pPr>
              <w:jc w:val="center"/>
            </w:pPr>
            <w:r>
              <w:rPr>
                <w:sz w:val="24"/>
                <w:szCs w:val="24"/>
              </w:rPr>
              <w:t>62,720,150.38</w:t>
            </w:r>
          </w:p>
        </w:tc>
        <w:tc>
          <w:tcPr>
            <w:tcW w:w="1161" w:type="dxa"/>
            <w:vAlign w:val="center"/>
          </w:tcPr>
          <w:p w:rsidR="000D6DE0" w:rsidRDefault="00CD30B1">
            <w:pPr>
              <w:jc w:val="center"/>
            </w:pPr>
            <w:r>
              <w:rPr>
                <w:sz w:val="24"/>
                <w:szCs w:val="24"/>
              </w:rPr>
              <w:t>2.59</w:t>
            </w:r>
          </w:p>
        </w:tc>
        <w:tc>
          <w:tcPr>
            <w:tcW w:w="1301" w:type="dxa"/>
            <w:vAlign w:val="center"/>
          </w:tcPr>
          <w:p w:rsidR="000D6DE0" w:rsidRDefault="00CD30B1">
            <w:pPr>
              <w:jc w:val="center"/>
            </w:pPr>
            <w:r>
              <w:rPr>
                <w:sz w:val="24"/>
                <w:szCs w:val="24"/>
              </w:rPr>
              <w:t>否</w:t>
            </w:r>
          </w:p>
        </w:tc>
      </w:tr>
      <w:tr w:rsidR="000D6DE0">
        <w:tc>
          <w:tcPr>
            <w:tcW w:w="835" w:type="dxa"/>
            <w:vAlign w:val="center"/>
          </w:tcPr>
          <w:p w:rsidR="000D6DE0" w:rsidRDefault="00CD30B1">
            <w:pPr>
              <w:jc w:val="center"/>
            </w:pPr>
            <w:r>
              <w:rPr>
                <w:sz w:val="24"/>
                <w:szCs w:val="24"/>
              </w:rPr>
              <w:t>9</w:t>
            </w:r>
          </w:p>
        </w:tc>
        <w:tc>
          <w:tcPr>
            <w:tcW w:w="1159" w:type="dxa"/>
            <w:vAlign w:val="center"/>
          </w:tcPr>
          <w:p w:rsidR="000D6DE0" w:rsidRDefault="00CD30B1">
            <w:pPr>
              <w:jc w:val="center"/>
            </w:pPr>
            <w:r>
              <w:rPr>
                <w:sz w:val="24"/>
                <w:szCs w:val="24"/>
              </w:rPr>
              <w:t>003078</w:t>
            </w:r>
          </w:p>
        </w:tc>
        <w:tc>
          <w:tcPr>
            <w:tcW w:w="1161" w:type="dxa"/>
            <w:vAlign w:val="center"/>
          </w:tcPr>
          <w:p w:rsidR="000D6DE0" w:rsidRDefault="00CD30B1">
            <w:pPr>
              <w:jc w:val="center"/>
            </w:pPr>
            <w:r>
              <w:rPr>
                <w:sz w:val="24"/>
                <w:szCs w:val="24"/>
              </w:rPr>
              <w:t>泰康安惠纯债债券</w:t>
            </w:r>
            <w:r>
              <w:rPr>
                <w:sz w:val="24"/>
                <w:szCs w:val="24"/>
              </w:rPr>
              <w:t>A</w:t>
            </w:r>
          </w:p>
        </w:tc>
        <w:tc>
          <w:tcPr>
            <w:tcW w:w="1161" w:type="dxa"/>
            <w:vAlign w:val="center"/>
          </w:tcPr>
          <w:p w:rsidR="000D6DE0" w:rsidRDefault="00CD30B1">
            <w:pPr>
              <w:jc w:val="center"/>
            </w:pPr>
            <w:r>
              <w:rPr>
                <w:sz w:val="24"/>
                <w:szCs w:val="24"/>
              </w:rPr>
              <w:t>契约型开放式</w:t>
            </w:r>
          </w:p>
        </w:tc>
        <w:tc>
          <w:tcPr>
            <w:tcW w:w="1159" w:type="dxa"/>
            <w:vAlign w:val="center"/>
          </w:tcPr>
          <w:p w:rsidR="000D6DE0" w:rsidRDefault="00CD30B1">
            <w:pPr>
              <w:jc w:val="center"/>
            </w:pPr>
            <w:r>
              <w:rPr>
                <w:sz w:val="24"/>
                <w:szCs w:val="24"/>
              </w:rPr>
              <w:t>59,253,835.32</w:t>
            </w:r>
          </w:p>
        </w:tc>
        <w:tc>
          <w:tcPr>
            <w:tcW w:w="1305" w:type="dxa"/>
            <w:vAlign w:val="center"/>
          </w:tcPr>
          <w:p w:rsidR="000D6DE0" w:rsidRDefault="00CD30B1">
            <w:pPr>
              <w:jc w:val="center"/>
            </w:pPr>
            <w:r>
              <w:rPr>
                <w:sz w:val="24"/>
                <w:szCs w:val="24"/>
              </w:rPr>
              <w:t>61,386,973.39</w:t>
            </w:r>
          </w:p>
        </w:tc>
        <w:tc>
          <w:tcPr>
            <w:tcW w:w="1161" w:type="dxa"/>
            <w:vAlign w:val="center"/>
          </w:tcPr>
          <w:p w:rsidR="000D6DE0" w:rsidRDefault="00CD30B1">
            <w:pPr>
              <w:jc w:val="center"/>
            </w:pPr>
            <w:r>
              <w:rPr>
                <w:sz w:val="24"/>
                <w:szCs w:val="24"/>
              </w:rPr>
              <w:t>2.53</w:t>
            </w:r>
          </w:p>
        </w:tc>
        <w:tc>
          <w:tcPr>
            <w:tcW w:w="1301" w:type="dxa"/>
            <w:vAlign w:val="center"/>
          </w:tcPr>
          <w:p w:rsidR="000D6DE0" w:rsidRDefault="00CD30B1">
            <w:pPr>
              <w:jc w:val="center"/>
            </w:pPr>
            <w:r>
              <w:rPr>
                <w:sz w:val="24"/>
                <w:szCs w:val="24"/>
              </w:rPr>
              <w:t>否</w:t>
            </w:r>
          </w:p>
        </w:tc>
      </w:tr>
      <w:tr w:rsidR="000D6DE0">
        <w:tc>
          <w:tcPr>
            <w:tcW w:w="835" w:type="dxa"/>
            <w:vAlign w:val="center"/>
          </w:tcPr>
          <w:p w:rsidR="000D6DE0" w:rsidRDefault="00CD30B1">
            <w:pPr>
              <w:jc w:val="center"/>
            </w:pPr>
            <w:r>
              <w:rPr>
                <w:sz w:val="24"/>
                <w:szCs w:val="24"/>
              </w:rPr>
              <w:t>10</w:t>
            </w:r>
          </w:p>
        </w:tc>
        <w:tc>
          <w:tcPr>
            <w:tcW w:w="1159" w:type="dxa"/>
            <w:vAlign w:val="center"/>
          </w:tcPr>
          <w:p w:rsidR="000D6DE0" w:rsidRDefault="00CD30B1">
            <w:pPr>
              <w:jc w:val="center"/>
            </w:pPr>
            <w:r>
              <w:rPr>
                <w:sz w:val="24"/>
                <w:szCs w:val="24"/>
              </w:rPr>
              <w:t>519700</w:t>
            </w:r>
          </w:p>
        </w:tc>
        <w:tc>
          <w:tcPr>
            <w:tcW w:w="1161" w:type="dxa"/>
            <w:vAlign w:val="center"/>
          </w:tcPr>
          <w:p w:rsidR="000D6DE0" w:rsidRDefault="00CD30B1">
            <w:pPr>
              <w:jc w:val="center"/>
            </w:pPr>
            <w:r>
              <w:rPr>
                <w:sz w:val="24"/>
                <w:szCs w:val="24"/>
              </w:rPr>
              <w:t>交银主题优选混合</w:t>
            </w:r>
          </w:p>
        </w:tc>
        <w:tc>
          <w:tcPr>
            <w:tcW w:w="1161" w:type="dxa"/>
            <w:vAlign w:val="center"/>
          </w:tcPr>
          <w:p w:rsidR="000D6DE0" w:rsidRDefault="00CD30B1">
            <w:pPr>
              <w:jc w:val="center"/>
            </w:pPr>
            <w:r>
              <w:rPr>
                <w:sz w:val="24"/>
                <w:szCs w:val="24"/>
              </w:rPr>
              <w:t>契约型开放式</w:t>
            </w:r>
          </w:p>
        </w:tc>
        <w:tc>
          <w:tcPr>
            <w:tcW w:w="1159" w:type="dxa"/>
            <w:vAlign w:val="center"/>
          </w:tcPr>
          <w:p w:rsidR="000D6DE0" w:rsidRDefault="00CD30B1">
            <w:pPr>
              <w:jc w:val="center"/>
            </w:pPr>
            <w:r>
              <w:rPr>
                <w:sz w:val="24"/>
                <w:szCs w:val="24"/>
              </w:rPr>
              <w:t>34,709,234.36</w:t>
            </w:r>
          </w:p>
        </w:tc>
        <w:tc>
          <w:tcPr>
            <w:tcW w:w="1305" w:type="dxa"/>
            <w:vAlign w:val="center"/>
          </w:tcPr>
          <w:p w:rsidR="000D6DE0" w:rsidRDefault="00CD30B1">
            <w:pPr>
              <w:jc w:val="center"/>
            </w:pPr>
            <w:r>
              <w:rPr>
                <w:sz w:val="24"/>
                <w:szCs w:val="24"/>
              </w:rPr>
              <w:t>55,430,647.27</w:t>
            </w:r>
          </w:p>
        </w:tc>
        <w:tc>
          <w:tcPr>
            <w:tcW w:w="1161" w:type="dxa"/>
            <w:vAlign w:val="center"/>
          </w:tcPr>
          <w:p w:rsidR="000D6DE0" w:rsidRDefault="00CD30B1">
            <w:pPr>
              <w:jc w:val="center"/>
            </w:pPr>
            <w:r>
              <w:rPr>
                <w:sz w:val="24"/>
                <w:szCs w:val="24"/>
              </w:rPr>
              <w:t>2.28</w:t>
            </w:r>
          </w:p>
        </w:tc>
        <w:tc>
          <w:tcPr>
            <w:tcW w:w="1301" w:type="dxa"/>
            <w:vAlign w:val="center"/>
          </w:tcPr>
          <w:p w:rsidR="000D6DE0" w:rsidRDefault="00CD30B1">
            <w:pPr>
              <w:jc w:val="center"/>
            </w:pPr>
            <w:r>
              <w:rPr>
                <w:sz w:val="24"/>
                <w:szCs w:val="24"/>
              </w:rPr>
              <w:t>是</w:t>
            </w:r>
          </w:p>
        </w:tc>
      </w:tr>
    </w:tbl>
    <w:p w:rsidR="00484942" w:rsidRPr="00575270" w:rsidRDefault="00484942" w:rsidP="004046D7">
      <w:pPr>
        <w:autoSpaceDE w:val="0"/>
        <w:autoSpaceDN w:val="0"/>
        <w:adjustRightInd w:val="0"/>
        <w:spacing w:line="360" w:lineRule="auto"/>
        <w:ind w:firstLineChars="200" w:firstLine="480"/>
        <w:jc w:val="left"/>
        <w:rPr>
          <w:rFonts w:eastAsiaTheme="minorEastAsia"/>
          <w:color w:val="000000" w:themeColor="text1"/>
          <w:sz w:val="24"/>
          <w:szCs w:val="24"/>
        </w:rPr>
      </w:pPr>
    </w:p>
    <w:p w:rsidR="004046D7" w:rsidRPr="00575270" w:rsidRDefault="004046D7" w:rsidP="004046D7">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tbl>
      <w:tblPr>
        <w:tblStyle w:val="aff2"/>
        <w:tblW w:w="0" w:type="auto"/>
        <w:tblLayout w:type="fixed"/>
        <w:tblLook w:val="04A0" w:firstRow="1" w:lastRow="0" w:firstColumn="1" w:lastColumn="0" w:noHBand="0" w:noVBand="1"/>
      </w:tblPr>
      <w:tblGrid>
        <w:gridCol w:w="3012"/>
        <w:gridCol w:w="3012"/>
        <w:gridCol w:w="3012"/>
      </w:tblGrid>
      <w:tr w:rsidR="004046D7" w:rsidRPr="00575270" w:rsidTr="00B32CA0">
        <w:tc>
          <w:tcPr>
            <w:tcW w:w="3012" w:type="dxa"/>
            <w:vAlign w:val="center"/>
          </w:tcPr>
          <w:p w:rsidR="004046D7" w:rsidRPr="00575270" w:rsidRDefault="004046D7" w:rsidP="00374293">
            <w:pPr>
              <w:adjustRightInd w:val="0"/>
              <w:snapToGrid w:val="0"/>
              <w:spacing w:beforeLines="50" w:before="156" w:line="276" w:lineRule="auto"/>
              <w:jc w:val="center"/>
              <w:rPr>
                <w:rFonts w:eastAsiaTheme="minorEastAsia"/>
                <w:color w:val="000000" w:themeColor="text1"/>
                <w:sz w:val="24"/>
                <w:szCs w:val="24"/>
              </w:rPr>
            </w:pPr>
            <w:r w:rsidRPr="00575270">
              <w:rPr>
                <w:sz w:val="24"/>
                <w:szCs w:val="24"/>
              </w:rPr>
              <w:t>项目</w:t>
            </w:r>
          </w:p>
        </w:tc>
        <w:tc>
          <w:tcPr>
            <w:tcW w:w="3012" w:type="dxa"/>
            <w:vAlign w:val="center"/>
          </w:tcPr>
          <w:p w:rsidR="004046D7" w:rsidRPr="00575270" w:rsidRDefault="004046D7" w:rsidP="00B32CA0">
            <w:pPr>
              <w:spacing w:line="276" w:lineRule="auto"/>
              <w:jc w:val="center"/>
              <w:rPr>
                <w:sz w:val="24"/>
                <w:szCs w:val="24"/>
              </w:rPr>
            </w:pPr>
            <w:r w:rsidRPr="00575270">
              <w:rPr>
                <w:sz w:val="24"/>
                <w:szCs w:val="24"/>
              </w:rPr>
              <w:t>本期费用</w:t>
            </w:r>
          </w:p>
        </w:tc>
        <w:tc>
          <w:tcPr>
            <w:tcW w:w="3012" w:type="dxa"/>
            <w:vAlign w:val="center"/>
          </w:tcPr>
          <w:p w:rsidR="004046D7" w:rsidRPr="00575270" w:rsidRDefault="004046D7" w:rsidP="00B32CA0">
            <w:pPr>
              <w:spacing w:line="276" w:lineRule="auto"/>
              <w:jc w:val="center"/>
              <w:rPr>
                <w:sz w:val="24"/>
                <w:szCs w:val="24"/>
              </w:rPr>
            </w:pPr>
            <w:r w:rsidRPr="00575270">
              <w:rPr>
                <w:sz w:val="24"/>
                <w:szCs w:val="24"/>
              </w:rPr>
              <w:t>其中：交易及持有基金管理人以及管理人关联方所管理基金产生的费用</w:t>
            </w:r>
          </w:p>
        </w:tc>
      </w:tr>
      <w:tr w:rsidR="00CD30B1" w:rsidRPr="00575270" w:rsidTr="00B32CA0">
        <w:tc>
          <w:tcPr>
            <w:tcW w:w="3012" w:type="dxa"/>
            <w:vAlign w:val="center"/>
          </w:tcPr>
          <w:p w:rsidR="00CD30B1" w:rsidRPr="00575270" w:rsidRDefault="00CD30B1" w:rsidP="00CD30B1">
            <w:pPr>
              <w:adjustRightInd w:val="0"/>
              <w:snapToGrid w:val="0"/>
              <w:spacing w:beforeLines="50" w:before="156" w:line="276" w:lineRule="auto"/>
              <w:rPr>
                <w:rFonts w:eastAsiaTheme="minorEastAsia"/>
                <w:color w:val="000000" w:themeColor="text1"/>
                <w:sz w:val="24"/>
                <w:szCs w:val="24"/>
              </w:rPr>
            </w:pPr>
            <w:bookmarkStart w:id="0" w:name="_GoBack" w:colFirst="1" w:colLast="2"/>
            <w:r w:rsidRPr="00575270">
              <w:rPr>
                <w:sz w:val="24"/>
                <w:szCs w:val="24"/>
              </w:rPr>
              <w:t>当期交易基金产生的申购费（元）</w:t>
            </w:r>
          </w:p>
        </w:tc>
        <w:tc>
          <w:tcPr>
            <w:tcW w:w="3012" w:type="dxa"/>
            <w:vAlign w:val="center"/>
          </w:tcPr>
          <w:p w:rsidR="00CD30B1" w:rsidRPr="00575270" w:rsidRDefault="00CD30B1" w:rsidP="00CD30B1">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8,000.00</w:t>
            </w:r>
          </w:p>
        </w:tc>
        <w:tc>
          <w:tcPr>
            <w:tcW w:w="3012" w:type="dxa"/>
            <w:vAlign w:val="center"/>
          </w:tcPr>
          <w:p w:rsidR="00CD30B1" w:rsidRPr="00575270" w:rsidRDefault="00CD30B1" w:rsidP="00CD30B1">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CD30B1" w:rsidRPr="00575270" w:rsidTr="00B32CA0">
        <w:tc>
          <w:tcPr>
            <w:tcW w:w="3012" w:type="dxa"/>
            <w:vAlign w:val="center"/>
          </w:tcPr>
          <w:p w:rsidR="00CD30B1" w:rsidRPr="00575270" w:rsidRDefault="00CD30B1" w:rsidP="00CD30B1">
            <w:pPr>
              <w:adjustRightInd w:val="0"/>
              <w:snapToGrid w:val="0"/>
              <w:spacing w:beforeLines="50" w:before="156" w:line="276" w:lineRule="auto"/>
              <w:rPr>
                <w:rFonts w:eastAsiaTheme="minorEastAsia"/>
                <w:color w:val="000000" w:themeColor="text1"/>
                <w:sz w:val="24"/>
                <w:szCs w:val="24"/>
              </w:rPr>
            </w:pPr>
            <w:r w:rsidRPr="00575270">
              <w:rPr>
                <w:sz w:val="24"/>
                <w:szCs w:val="24"/>
              </w:rPr>
              <w:t>当期交易基金产生的赎回费（元）</w:t>
            </w:r>
          </w:p>
        </w:tc>
        <w:tc>
          <w:tcPr>
            <w:tcW w:w="3012" w:type="dxa"/>
            <w:vAlign w:val="center"/>
          </w:tcPr>
          <w:p w:rsidR="00CD30B1" w:rsidRPr="00575270" w:rsidRDefault="00CD30B1" w:rsidP="00CD30B1">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219,780.30</w:t>
            </w:r>
          </w:p>
        </w:tc>
        <w:tc>
          <w:tcPr>
            <w:tcW w:w="3012" w:type="dxa"/>
            <w:vAlign w:val="center"/>
          </w:tcPr>
          <w:p w:rsidR="00CD30B1" w:rsidRPr="00575270" w:rsidRDefault="00CD30B1" w:rsidP="00CD30B1">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w:t>
            </w:r>
          </w:p>
        </w:tc>
      </w:tr>
      <w:tr w:rsidR="00CD30B1" w:rsidRPr="00575270" w:rsidTr="00B32CA0">
        <w:tc>
          <w:tcPr>
            <w:tcW w:w="3012" w:type="dxa"/>
            <w:vAlign w:val="center"/>
          </w:tcPr>
          <w:p w:rsidR="00CD30B1" w:rsidRPr="00575270" w:rsidRDefault="00CD30B1" w:rsidP="00CD30B1">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当期持有基金产生的应支付销售服务费（元）</w:t>
            </w:r>
          </w:p>
        </w:tc>
        <w:tc>
          <w:tcPr>
            <w:tcW w:w="3012" w:type="dxa"/>
            <w:vAlign w:val="center"/>
          </w:tcPr>
          <w:p w:rsidR="00CD30B1" w:rsidRPr="00575270" w:rsidRDefault="00CD30B1" w:rsidP="00CD30B1">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139,185.28</w:t>
            </w:r>
          </w:p>
        </w:tc>
        <w:tc>
          <w:tcPr>
            <w:tcW w:w="3012" w:type="dxa"/>
            <w:vAlign w:val="center"/>
          </w:tcPr>
          <w:p w:rsidR="00CD30B1" w:rsidRPr="00575270" w:rsidRDefault="00CD30B1" w:rsidP="00CD30B1">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64,771.90</w:t>
            </w:r>
          </w:p>
        </w:tc>
      </w:tr>
      <w:tr w:rsidR="00CD30B1" w:rsidRPr="00575270" w:rsidTr="00B32CA0">
        <w:tc>
          <w:tcPr>
            <w:tcW w:w="3012" w:type="dxa"/>
            <w:vAlign w:val="center"/>
          </w:tcPr>
          <w:p w:rsidR="00CD30B1" w:rsidRPr="00575270" w:rsidRDefault="00CD30B1" w:rsidP="00CD30B1">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当期持有基金产生的应支付管理费（元）</w:t>
            </w:r>
          </w:p>
        </w:tc>
        <w:tc>
          <w:tcPr>
            <w:tcW w:w="3012" w:type="dxa"/>
            <w:vAlign w:val="center"/>
          </w:tcPr>
          <w:p w:rsidR="00CD30B1" w:rsidRPr="00575270" w:rsidRDefault="00CD30B1" w:rsidP="00CD30B1">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3,051,866.39</w:t>
            </w:r>
          </w:p>
        </w:tc>
        <w:tc>
          <w:tcPr>
            <w:tcW w:w="3012" w:type="dxa"/>
            <w:vAlign w:val="center"/>
          </w:tcPr>
          <w:p w:rsidR="00CD30B1" w:rsidRPr="00575270" w:rsidRDefault="00CD30B1" w:rsidP="00CD30B1">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1,052,524.84</w:t>
            </w:r>
          </w:p>
        </w:tc>
      </w:tr>
      <w:tr w:rsidR="00CD30B1" w:rsidRPr="00575270" w:rsidTr="00B32CA0">
        <w:tc>
          <w:tcPr>
            <w:tcW w:w="3012" w:type="dxa"/>
            <w:vAlign w:val="center"/>
          </w:tcPr>
          <w:p w:rsidR="00CD30B1" w:rsidRPr="00575270" w:rsidRDefault="00CD30B1" w:rsidP="00CD30B1">
            <w:pPr>
              <w:adjustRightInd w:val="0"/>
              <w:snapToGrid w:val="0"/>
              <w:spacing w:beforeLines="50" w:before="156" w:line="276" w:lineRule="auto"/>
              <w:rPr>
                <w:rFonts w:eastAsiaTheme="minorEastAsia"/>
                <w:color w:val="000000" w:themeColor="text1"/>
                <w:sz w:val="24"/>
                <w:szCs w:val="24"/>
              </w:rPr>
            </w:pPr>
            <w:r w:rsidRPr="00575270">
              <w:rPr>
                <w:sz w:val="24"/>
                <w:szCs w:val="24"/>
              </w:rPr>
              <w:t>当期持有基金产生的应支付托管费（元）</w:t>
            </w:r>
          </w:p>
        </w:tc>
        <w:tc>
          <w:tcPr>
            <w:tcW w:w="3012" w:type="dxa"/>
            <w:vAlign w:val="center"/>
          </w:tcPr>
          <w:p w:rsidR="00CD30B1" w:rsidRPr="00575270" w:rsidRDefault="00CD30B1" w:rsidP="00CD30B1">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769,449.90</w:t>
            </w:r>
          </w:p>
        </w:tc>
        <w:tc>
          <w:tcPr>
            <w:tcW w:w="3012" w:type="dxa"/>
            <w:vAlign w:val="center"/>
          </w:tcPr>
          <w:p w:rsidR="00CD30B1" w:rsidRPr="00575270" w:rsidRDefault="00CD30B1" w:rsidP="00CD30B1">
            <w:pPr>
              <w:adjustRightInd w:val="0"/>
              <w:snapToGrid w:val="0"/>
              <w:spacing w:beforeLines="50" w:before="156" w:line="276" w:lineRule="auto"/>
              <w:jc w:val="right"/>
              <w:rPr>
                <w:rFonts w:eastAsiaTheme="minorEastAsia"/>
                <w:color w:val="000000" w:themeColor="text1"/>
                <w:sz w:val="24"/>
                <w:szCs w:val="24"/>
              </w:rPr>
            </w:pPr>
            <w:r w:rsidRPr="00575270">
              <w:rPr>
                <w:rFonts w:eastAsiaTheme="minorEastAsia" w:hint="eastAsia"/>
                <w:color w:val="000000" w:themeColor="text1"/>
                <w:sz w:val="24"/>
                <w:szCs w:val="24"/>
              </w:rPr>
              <w:t>308,831.44</w:t>
            </w:r>
          </w:p>
        </w:tc>
      </w:tr>
      <w:tr w:rsidR="00CD30B1">
        <w:tc>
          <w:tcPr>
            <w:tcW w:w="3012" w:type="dxa"/>
            <w:vAlign w:val="center"/>
          </w:tcPr>
          <w:p w:rsidR="00CD30B1" w:rsidRDefault="00CD30B1" w:rsidP="00CD30B1">
            <w:pPr>
              <w:jc w:val="left"/>
            </w:pPr>
            <w:r>
              <w:rPr>
                <w:rFonts w:eastAsiaTheme="minorEastAsia"/>
                <w:color w:val="000000" w:themeColor="text1"/>
                <w:sz w:val="24"/>
                <w:szCs w:val="24"/>
              </w:rPr>
              <w:t>基金交易费用（元）</w:t>
            </w:r>
          </w:p>
        </w:tc>
        <w:tc>
          <w:tcPr>
            <w:tcW w:w="3012" w:type="dxa"/>
            <w:vAlign w:val="center"/>
          </w:tcPr>
          <w:p w:rsidR="00CD30B1" w:rsidRDefault="00CD30B1" w:rsidP="00CD30B1">
            <w:pPr>
              <w:jc w:val="right"/>
            </w:pPr>
            <w:r>
              <w:rPr>
                <w:rFonts w:eastAsiaTheme="minorEastAsia"/>
                <w:color w:val="000000" w:themeColor="text1"/>
                <w:sz w:val="24"/>
                <w:szCs w:val="24"/>
              </w:rPr>
              <w:t>52,165.36</w:t>
            </w:r>
          </w:p>
        </w:tc>
        <w:tc>
          <w:tcPr>
            <w:tcW w:w="3012" w:type="dxa"/>
            <w:vAlign w:val="center"/>
          </w:tcPr>
          <w:p w:rsidR="00CD30B1" w:rsidRDefault="00CD30B1" w:rsidP="00CD30B1">
            <w:pPr>
              <w:jc w:val="right"/>
            </w:pPr>
            <w:r>
              <w:rPr>
                <w:rFonts w:eastAsiaTheme="minorEastAsia"/>
                <w:color w:val="000000" w:themeColor="text1"/>
                <w:sz w:val="24"/>
                <w:szCs w:val="24"/>
              </w:rPr>
              <w:t>-</w:t>
            </w:r>
          </w:p>
        </w:tc>
      </w:tr>
    </w:tbl>
    <w:bookmarkEnd w:id="0"/>
    <w:p w:rsidR="000D6DE0" w:rsidRDefault="00CD30B1">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color w:val="000000" w:themeColor="text1"/>
          <w:sz w:val="24"/>
          <w:szCs w:val="24"/>
        </w:rPr>
        <w:t>注：上述当期持有基金产生的应支付销售服务费、当期持有基金产生的应支付管理费、当期持有基金产生的应支付托管费，是根据被投资基金的实际持仓情况和被投资基金的基金合同约定费率估算得出。该三项费用根据被投资基金的基金合同约定已经作为费用计入被投资基金的基金份额净值，已在本基金所持有基金的净值中体现，不构成本基金的费用。</w:t>
      </w:r>
    </w:p>
    <w:p w:rsidR="004046D7" w:rsidRDefault="004046D7" w:rsidP="004046D7">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根据相关法律法规及本基金合同的约定，基金管理人不得对基金中基金财产中持有的自身管理的基金部分收取基金中基金的管理费，基金托管人不得对基金中基金财产中持有的自身托管的基金部分收取基金中基金的托管费。基金管理人运用本基金财产申购自身管理的其他基金的（</w:t>
      </w:r>
      <w:r w:rsidRPr="00575270">
        <w:rPr>
          <w:rFonts w:eastAsiaTheme="minorEastAsia"/>
          <w:color w:val="000000" w:themeColor="text1"/>
          <w:sz w:val="24"/>
          <w:szCs w:val="24"/>
        </w:rPr>
        <w:t>ETF</w:t>
      </w:r>
      <w:r w:rsidRPr="00575270">
        <w:rPr>
          <w:rFonts w:eastAsiaTheme="minorEastAsia"/>
          <w:color w:val="000000" w:themeColor="text1"/>
          <w:sz w:val="24"/>
          <w:szCs w:val="24"/>
        </w:rPr>
        <w:t>除外），应当通过直销渠道申购且不收取申购费、赎回费（按照相关法规、基金招募说明书约定应当收取，并计入基金资产的赎回费用除外）、销售服务费等销售费用，其中申购费、赎回费在实际申购、赎回时按上述规定执行，销售服务费由本基金管理人从被投资基金收取后返还至本基金基金资产。</w:t>
      </w:r>
    </w:p>
    <w:p w:rsidR="00484942" w:rsidRPr="00575270" w:rsidRDefault="00484942" w:rsidP="004046D7">
      <w:pPr>
        <w:autoSpaceDE w:val="0"/>
        <w:autoSpaceDN w:val="0"/>
        <w:adjustRightInd w:val="0"/>
        <w:spacing w:line="360" w:lineRule="auto"/>
        <w:ind w:firstLineChars="200" w:firstLine="480"/>
        <w:jc w:val="left"/>
        <w:rPr>
          <w:rFonts w:eastAsiaTheme="minorEastAsia"/>
          <w:color w:val="000000" w:themeColor="text1"/>
          <w:sz w:val="24"/>
          <w:szCs w:val="24"/>
        </w:rPr>
      </w:pPr>
    </w:p>
    <w:p w:rsidR="004046D7" w:rsidRPr="00575270" w:rsidRDefault="004046D7" w:rsidP="004046D7">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4046D7" w:rsidRPr="00575270" w:rsidTr="00B32CA0">
        <w:tc>
          <w:tcPr>
            <w:tcW w:w="9036" w:type="dxa"/>
          </w:tcPr>
          <w:p w:rsidR="004046D7" w:rsidRPr="00575270" w:rsidRDefault="004046D7" w:rsidP="00B32CA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本基金所投资的兴业添天盈货币市场基金于</w:t>
            </w:r>
            <w:r w:rsidRPr="00575270">
              <w:rPr>
                <w:rFonts w:eastAsiaTheme="minorEastAsia" w:hint="eastAsia"/>
                <w:color w:val="000000" w:themeColor="text1"/>
                <w:sz w:val="24"/>
                <w:szCs w:val="24"/>
              </w:rPr>
              <w:t xml:space="preserve">2019 </w:t>
            </w:r>
            <w:r w:rsidRPr="00575270">
              <w:rPr>
                <w:rFonts w:eastAsiaTheme="minorEastAsia" w:hint="eastAsia"/>
                <w:color w:val="000000" w:themeColor="text1"/>
                <w:sz w:val="24"/>
                <w:szCs w:val="24"/>
              </w:rPr>
              <w:t>年</w:t>
            </w:r>
            <w:r w:rsidRPr="00575270">
              <w:rPr>
                <w:rFonts w:eastAsiaTheme="minorEastAsia" w:hint="eastAsia"/>
                <w:color w:val="000000" w:themeColor="text1"/>
                <w:sz w:val="24"/>
                <w:szCs w:val="24"/>
              </w:rPr>
              <w:t xml:space="preserve">10 </w:t>
            </w:r>
            <w:r w:rsidRPr="00575270">
              <w:rPr>
                <w:rFonts w:eastAsiaTheme="minorEastAsia" w:hint="eastAsia"/>
                <w:color w:val="000000" w:themeColor="text1"/>
                <w:sz w:val="24"/>
                <w:szCs w:val="24"/>
              </w:rPr>
              <w:t>月</w:t>
            </w:r>
            <w:r w:rsidRPr="00575270">
              <w:rPr>
                <w:rFonts w:eastAsiaTheme="minorEastAsia" w:hint="eastAsia"/>
                <w:color w:val="000000" w:themeColor="text1"/>
                <w:sz w:val="24"/>
                <w:szCs w:val="24"/>
              </w:rPr>
              <w:t xml:space="preserve">14 </w:t>
            </w:r>
            <w:r w:rsidRPr="00575270">
              <w:rPr>
                <w:rFonts w:eastAsiaTheme="minorEastAsia" w:hint="eastAsia"/>
                <w:color w:val="000000" w:themeColor="text1"/>
                <w:sz w:val="24"/>
                <w:szCs w:val="24"/>
              </w:rPr>
              <w:t>日表决通过了基金份额持有人大会《关于兴业添天盈货币市场基金修改基金合同有关事项的议案》，详情请见兴业基金管理有限公司发布的相关公告。</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2,053,743,429.86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287,991,904.09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2,341,735,333.95</w:t>
            </w:r>
          </w:p>
        </w:tc>
      </w:tr>
    </w:tbl>
    <w:p w:rsidR="000D6DE0" w:rsidRDefault="00CD30B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D6DE0" w:rsidRDefault="00CD30B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、中国证监会准予交银施罗德安享稳健养老目标一年持有期混合型基金中基金（</w:t>
      </w:r>
      <w:r>
        <w:rPr>
          <w:color w:val="000000"/>
          <w:sz w:val="24"/>
          <w:szCs w:val="24"/>
        </w:rPr>
        <w:t>FOF</w:t>
      </w:r>
      <w:r>
        <w:rPr>
          <w:color w:val="000000"/>
          <w:sz w:val="24"/>
          <w:szCs w:val="24"/>
        </w:rPr>
        <w:t>）募集注册的文件；</w:t>
      </w:r>
      <w:r>
        <w:rPr>
          <w:color w:val="000000"/>
          <w:sz w:val="24"/>
          <w:szCs w:val="24"/>
        </w:rPr>
        <w:t xml:space="preserve"> </w:t>
      </w:r>
    </w:p>
    <w:p w:rsidR="000D6DE0" w:rsidRDefault="00CD30B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、《交银施罗德安享稳健养老目标一年持有期混合型基金中基金（</w:t>
      </w:r>
      <w:r>
        <w:rPr>
          <w:color w:val="000000"/>
          <w:sz w:val="24"/>
          <w:szCs w:val="24"/>
        </w:rPr>
        <w:t>FOF</w:t>
      </w:r>
      <w:r>
        <w:rPr>
          <w:color w:val="000000"/>
          <w:sz w:val="24"/>
          <w:szCs w:val="24"/>
        </w:rPr>
        <w:t>）基金合同》；</w:t>
      </w:r>
      <w:r>
        <w:rPr>
          <w:color w:val="000000"/>
          <w:sz w:val="24"/>
          <w:szCs w:val="24"/>
        </w:rPr>
        <w:t xml:space="preserve"> </w:t>
      </w:r>
    </w:p>
    <w:p w:rsidR="000D6DE0" w:rsidRDefault="00CD30B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、《交银施罗德安享稳健养老目标一年持有期混合型基金中基金（</w:t>
      </w:r>
      <w:r>
        <w:rPr>
          <w:color w:val="000000"/>
          <w:sz w:val="24"/>
          <w:szCs w:val="24"/>
        </w:rPr>
        <w:t>FOF</w:t>
      </w:r>
      <w:r>
        <w:rPr>
          <w:color w:val="000000"/>
          <w:sz w:val="24"/>
          <w:szCs w:val="24"/>
        </w:rPr>
        <w:t>）招募说明书》；</w:t>
      </w:r>
      <w:r>
        <w:rPr>
          <w:color w:val="000000"/>
          <w:sz w:val="24"/>
          <w:szCs w:val="24"/>
        </w:rPr>
        <w:t xml:space="preserve"> </w:t>
      </w:r>
    </w:p>
    <w:p w:rsidR="000D6DE0" w:rsidRDefault="00CD30B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、《交银施罗德安享稳健养老目标一年持有期混合型基金中基金（</w:t>
      </w:r>
      <w:r>
        <w:rPr>
          <w:color w:val="000000"/>
          <w:sz w:val="24"/>
          <w:szCs w:val="24"/>
        </w:rPr>
        <w:t>FOF</w:t>
      </w:r>
      <w:r>
        <w:rPr>
          <w:color w:val="000000"/>
          <w:sz w:val="24"/>
          <w:szCs w:val="24"/>
        </w:rPr>
        <w:t>）托管协议》；</w:t>
      </w:r>
      <w:r>
        <w:rPr>
          <w:color w:val="000000"/>
          <w:sz w:val="24"/>
          <w:szCs w:val="24"/>
        </w:rPr>
        <w:t xml:space="preserve"> </w:t>
      </w:r>
    </w:p>
    <w:p w:rsidR="000D6DE0" w:rsidRDefault="00CD30B1">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、关于申请募集注册交银施罗德安享稳健养老目标一年持有期混合型基金中基金（</w:t>
      </w:r>
      <w:r>
        <w:rPr>
          <w:color w:val="000000"/>
          <w:sz w:val="24"/>
          <w:szCs w:val="24"/>
        </w:rPr>
        <w:t>FOF</w:t>
      </w:r>
      <w:r>
        <w:rPr>
          <w:color w:val="000000"/>
          <w:sz w:val="24"/>
          <w:szCs w:val="24"/>
        </w:rPr>
        <w:t>）的法律意见书；</w:t>
      </w:r>
      <w:r>
        <w:rPr>
          <w:color w:val="000000"/>
          <w:sz w:val="24"/>
          <w:szCs w:val="24"/>
        </w:rPr>
        <w:t xml:space="preserve"> </w:t>
      </w:r>
    </w:p>
    <w:p w:rsidR="000D6DE0" w:rsidRDefault="00CD30B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0D6DE0" w:rsidRDefault="00CD30B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、报告期内交银施罗德安享稳健养老目标一年持有期混合型基金中基金（</w:t>
      </w:r>
      <w:r w:rsidRPr="00414345">
        <w:rPr>
          <w:color w:val="000000"/>
          <w:sz w:val="24"/>
          <w:szCs w:val="24"/>
        </w:rPr>
        <w:t>FOF</w:t>
      </w:r>
      <w:r w:rsidRPr="00414345">
        <w:rPr>
          <w:color w:val="000000"/>
          <w:sz w:val="24"/>
          <w:szCs w:val="24"/>
        </w:rPr>
        <w:t>）在指定报刊上各项公告的原稿。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D6DE0" w:rsidRDefault="00CD30B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C3F" w:rsidRDefault="009A4C3F" w:rsidP="00876D65">
      <w:r>
        <w:separator/>
      </w:r>
    </w:p>
  </w:endnote>
  <w:endnote w:type="continuationSeparator" w:id="0">
    <w:p w:rsidR="009A4C3F" w:rsidRDefault="009A4C3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CD30B1">
      <w:rPr>
        <w:noProof/>
        <w:kern w:val="0"/>
        <w:szCs w:val="21"/>
      </w:rPr>
      <w:t>12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CD30B1">
      <w:rPr>
        <w:noProof/>
        <w:kern w:val="0"/>
        <w:szCs w:val="21"/>
      </w:rPr>
      <w:t>14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C3F" w:rsidRDefault="009A4C3F" w:rsidP="00876D65">
      <w:r>
        <w:separator/>
      </w:r>
    </w:p>
  </w:footnote>
  <w:footnote w:type="continuationSeparator" w:id="0">
    <w:p w:rsidR="009A4C3F" w:rsidRDefault="009A4C3F"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F0" w:rsidRPr="00DC456F" w:rsidRDefault="00DC456F" w:rsidP="00090A26">
    <w:pPr>
      <w:pStyle w:val="ac"/>
      <w:pBdr>
        <w:bottom w:val="single" w:sz="6" w:space="0" w:color="auto"/>
      </w:pBdr>
      <w:jc w:val="right"/>
      <w:rPr>
        <w:sz w:val="24"/>
        <w:szCs w:val="24"/>
      </w:rPr>
    </w:pPr>
    <w:r w:rsidRPr="003E676C">
      <w:rPr>
        <w:sz w:val="24"/>
        <w:szCs w:val="24"/>
      </w:rPr>
      <w:t>交银施罗德安享稳健养老目标一年持有期混合型基金中基金（</w:t>
    </w:r>
    <w:r w:rsidRPr="003E676C">
      <w:rPr>
        <w:sz w:val="24"/>
        <w:szCs w:val="24"/>
      </w:rPr>
      <w:t>FOF</w:t>
    </w:r>
    <w:r w:rsidRPr="003E676C">
      <w:rPr>
        <w:sz w:val="24"/>
        <w:szCs w:val="24"/>
      </w:rPr>
      <w:t>）</w:t>
    </w:r>
    <w:r w:rsidRPr="003E676C">
      <w:rPr>
        <w:sz w:val="24"/>
        <w:szCs w:val="24"/>
      </w:rPr>
      <w:t>2019</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A1F"/>
    <w:rsid w:val="00031EBB"/>
    <w:rsid w:val="000330CC"/>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D6DE0"/>
    <w:rsid w:val="000E5DA5"/>
    <w:rsid w:val="000E7E5E"/>
    <w:rsid w:val="000F6CC8"/>
    <w:rsid w:val="00111261"/>
    <w:rsid w:val="0011537B"/>
    <w:rsid w:val="00133015"/>
    <w:rsid w:val="00137452"/>
    <w:rsid w:val="00137B31"/>
    <w:rsid w:val="00144F93"/>
    <w:rsid w:val="00147376"/>
    <w:rsid w:val="00152C23"/>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74293"/>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46D7"/>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4942"/>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4960"/>
    <w:rsid w:val="004C702F"/>
    <w:rsid w:val="004D340C"/>
    <w:rsid w:val="004D495A"/>
    <w:rsid w:val="004E5975"/>
    <w:rsid w:val="004E5CD0"/>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02EC"/>
    <w:rsid w:val="00604E50"/>
    <w:rsid w:val="006054CF"/>
    <w:rsid w:val="006066D2"/>
    <w:rsid w:val="006075E6"/>
    <w:rsid w:val="006076AE"/>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C3F"/>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0A87"/>
    <w:rsid w:val="00AB2970"/>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30B1"/>
    <w:rsid w:val="00CD4E6D"/>
    <w:rsid w:val="00CD4F19"/>
    <w:rsid w:val="00CD5707"/>
    <w:rsid w:val="00CD7702"/>
    <w:rsid w:val="00CE29EA"/>
    <w:rsid w:val="00CE39AB"/>
    <w:rsid w:val="00CE473F"/>
    <w:rsid w:val="00CE7169"/>
    <w:rsid w:val="00CF04CF"/>
    <w:rsid w:val="00CF2D3E"/>
    <w:rsid w:val="00CF6572"/>
    <w:rsid w:val="00D00E54"/>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289A"/>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6AEAC4"/>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7B9EB-92C5-464F-8BEB-5479BCF0E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14</Pages>
  <Words>1329</Words>
  <Characters>7576</Characters>
  <Application>Microsoft Office Word</Application>
  <DocSecurity>0</DocSecurity>
  <Lines>63</Lines>
  <Paragraphs>17</Paragraphs>
  <ScaleCrop>false</ScaleCrop>
  <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汪亚中</cp:lastModifiedBy>
  <cp:revision>608</cp:revision>
  <dcterms:created xsi:type="dcterms:W3CDTF">2012-10-16T06:07:00Z</dcterms:created>
  <dcterms:modified xsi:type="dcterms:W3CDTF">2020-01-14T06:52:00Z</dcterms:modified>
</cp:coreProperties>
</file>