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733394" w:rsidRDefault="001A44B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60,013,831.66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w:t>
            </w:r>
            <w:proofErr w:type="gramStart"/>
            <w:r w:rsidRPr="008640AE">
              <w:rPr>
                <w:color w:val="000000"/>
                <w:kern w:val="0"/>
                <w:sz w:val="24"/>
              </w:rPr>
              <w:t>中盘指数</w:t>
            </w:r>
            <w:proofErr w:type="gramEnd"/>
            <w:r w:rsidRPr="008640AE">
              <w:rPr>
                <w:color w:val="000000"/>
                <w:kern w:val="0"/>
                <w:sz w:val="24"/>
              </w:rPr>
              <w:t xml:space="preserve">(S&amp;P Global </w:t>
            </w:r>
            <w:proofErr w:type="spellStart"/>
            <w:r w:rsidRPr="008640AE">
              <w:rPr>
                <w:color w:val="000000"/>
                <w:kern w:val="0"/>
                <w:sz w:val="24"/>
              </w:rPr>
              <w:t>LargeMidCap</w:t>
            </w:r>
            <w:proofErr w:type="spellEnd"/>
            <w:r w:rsidRPr="008640AE">
              <w:rPr>
                <w:color w:val="000000"/>
                <w:kern w:val="0"/>
                <w:sz w:val="24"/>
              </w:rPr>
              <w:t xml:space="preserve">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A607A" w:rsidRPr="008640AE" w:rsidTr="007A607A">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7A607A" w:rsidRPr="008640AE" w:rsidTr="007A607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497,623.02</w:t>
            </w:r>
          </w:p>
        </w:tc>
      </w:tr>
      <w:tr w:rsidR="007A607A" w:rsidRPr="008640AE" w:rsidTr="007A607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7,989,990.61</w:t>
            </w:r>
          </w:p>
        </w:tc>
      </w:tr>
      <w:tr w:rsidR="007A607A" w:rsidRPr="008640AE" w:rsidTr="007A607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0.1329</w:t>
            </w:r>
          </w:p>
        </w:tc>
      </w:tr>
      <w:tr w:rsidR="007A607A" w:rsidRPr="008640AE" w:rsidTr="007A607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129,391,838.62</w:t>
            </w:r>
          </w:p>
        </w:tc>
      </w:tr>
      <w:tr w:rsidR="007A607A" w:rsidRPr="008640AE" w:rsidTr="007A607A">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2.156</w:t>
            </w:r>
          </w:p>
        </w:tc>
      </w:tr>
    </w:tbl>
    <w:p w:rsidR="00733394" w:rsidRDefault="001A44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733394">
        <w:trPr>
          <w:jc w:val="center"/>
        </w:trPr>
        <w:tc>
          <w:tcPr>
            <w:tcW w:w="1701" w:type="dxa"/>
            <w:vAlign w:val="center"/>
          </w:tcPr>
          <w:p w:rsidR="00733394" w:rsidRDefault="001A44BE">
            <w:pPr>
              <w:jc w:val="left"/>
            </w:pPr>
            <w:r>
              <w:rPr>
                <w:color w:val="000000"/>
                <w:sz w:val="24"/>
              </w:rPr>
              <w:t>过去三个月</w:t>
            </w:r>
          </w:p>
        </w:tc>
        <w:tc>
          <w:tcPr>
            <w:tcW w:w="1194" w:type="dxa"/>
            <w:vAlign w:val="center"/>
          </w:tcPr>
          <w:p w:rsidR="00733394" w:rsidRDefault="001A44BE">
            <w:pPr>
              <w:jc w:val="right"/>
            </w:pPr>
            <w:r>
              <w:rPr>
                <w:color w:val="000000"/>
                <w:sz w:val="24"/>
              </w:rPr>
              <w:t>6.57%</w:t>
            </w:r>
          </w:p>
        </w:tc>
        <w:tc>
          <w:tcPr>
            <w:tcW w:w="1194" w:type="dxa"/>
            <w:vAlign w:val="center"/>
          </w:tcPr>
          <w:p w:rsidR="00733394" w:rsidRDefault="001A44BE">
            <w:pPr>
              <w:jc w:val="right"/>
            </w:pPr>
            <w:r>
              <w:rPr>
                <w:color w:val="000000"/>
                <w:sz w:val="24"/>
              </w:rPr>
              <w:t>0.45%</w:t>
            </w:r>
          </w:p>
        </w:tc>
        <w:tc>
          <w:tcPr>
            <w:tcW w:w="1194" w:type="dxa"/>
            <w:vAlign w:val="center"/>
          </w:tcPr>
          <w:p w:rsidR="00733394" w:rsidRDefault="001A44BE">
            <w:pPr>
              <w:jc w:val="right"/>
            </w:pPr>
            <w:r>
              <w:rPr>
                <w:color w:val="000000"/>
                <w:sz w:val="24"/>
              </w:rPr>
              <w:t>8.66%</w:t>
            </w:r>
          </w:p>
        </w:tc>
        <w:tc>
          <w:tcPr>
            <w:tcW w:w="1343" w:type="dxa"/>
            <w:vAlign w:val="center"/>
          </w:tcPr>
          <w:p w:rsidR="00733394" w:rsidRDefault="001A44BE">
            <w:pPr>
              <w:jc w:val="right"/>
            </w:pPr>
            <w:r>
              <w:rPr>
                <w:color w:val="000000"/>
                <w:sz w:val="24"/>
              </w:rPr>
              <w:t>0.54%</w:t>
            </w:r>
          </w:p>
        </w:tc>
        <w:tc>
          <w:tcPr>
            <w:tcW w:w="1194" w:type="dxa"/>
            <w:vAlign w:val="center"/>
          </w:tcPr>
          <w:p w:rsidR="00733394" w:rsidRDefault="001A44BE">
            <w:pPr>
              <w:jc w:val="right"/>
            </w:pPr>
            <w:r>
              <w:rPr>
                <w:color w:val="000000"/>
                <w:sz w:val="24"/>
              </w:rPr>
              <w:t>-2.09%</w:t>
            </w:r>
          </w:p>
        </w:tc>
        <w:tc>
          <w:tcPr>
            <w:tcW w:w="1048" w:type="dxa"/>
            <w:vAlign w:val="center"/>
          </w:tcPr>
          <w:p w:rsidR="00733394" w:rsidRDefault="001A44BE">
            <w:pPr>
              <w:jc w:val="right"/>
            </w:pPr>
            <w:r>
              <w:rPr>
                <w:color w:val="000000"/>
                <w:sz w:val="24"/>
              </w:rPr>
              <w:t>-0.09%</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733394">
        <w:trPr>
          <w:jc w:val="center"/>
        </w:trPr>
        <w:tc>
          <w:tcPr>
            <w:tcW w:w="846" w:type="dxa"/>
            <w:vAlign w:val="center"/>
          </w:tcPr>
          <w:p w:rsidR="00733394" w:rsidRDefault="001A44BE">
            <w:pPr>
              <w:jc w:val="center"/>
            </w:pPr>
            <w:r>
              <w:rPr>
                <w:color w:val="000000"/>
                <w:sz w:val="24"/>
              </w:rPr>
              <w:t>陈俊华</w:t>
            </w:r>
          </w:p>
        </w:tc>
        <w:tc>
          <w:tcPr>
            <w:tcW w:w="845" w:type="dxa"/>
            <w:vAlign w:val="center"/>
          </w:tcPr>
          <w:p w:rsidR="00733394" w:rsidRDefault="001A44BE">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549" w:type="dxa"/>
            <w:vAlign w:val="center"/>
          </w:tcPr>
          <w:p w:rsidR="00733394" w:rsidRDefault="001A44BE">
            <w:pPr>
              <w:jc w:val="center"/>
            </w:pPr>
            <w:r>
              <w:rPr>
                <w:color w:val="000000"/>
                <w:sz w:val="24"/>
              </w:rPr>
              <w:t>2015-11-21</w:t>
            </w:r>
          </w:p>
        </w:tc>
        <w:tc>
          <w:tcPr>
            <w:tcW w:w="1548" w:type="dxa"/>
            <w:vAlign w:val="center"/>
          </w:tcPr>
          <w:p w:rsidR="00733394" w:rsidRDefault="001A44BE">
            <w:pPr>
              <w:jc w:val="center"/>
            </w:pPr>
            <w:r>
              <w:rPr>
                <w:color w:val="000000"/>
                <w:sz w:val="24"/>
              </w:rPr>
              <w:t>-</w:t>
            </w:r>
          </w:p>
        </w:tc>
        <w:tc>
          <w:tcPr>
            <w:tcW w:w="1407" w:type="dxa"/>
            <w:vAlign w:val="center"/>
          </w:tcPr>
          <w:p w:rsidR="00733394" w:rsidRDefault="001A44BE">
            <w:pPr>
              <w:jc w:val="center"/>
            </w:pPr>
            <w:r>
              <w:rPr>
                <w:color w:val="000000"/>
                <w:sz w:val="24"/>
              </w:rPr>
              <w:t>14</w:t>
            </w:r>
            <w:r>
              <w:rPr>
                <w:color w:val="000000"/>
                <w:sz w:val="24"/>
              </w:rPr>
              <w:t>年</w:t>
            </w:r>
          </w:p>
        </w:tc>
        <w:tc>
          <w:tcPr>
            <w:tcW w:w="2673" w:type="dxa"/>
            <w:vAlign w:val="center"/>
          </w:tcPr>
          <w:p w:rsidR="00733394" w:rsidRDefault="001A44BE">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733394">
        <w:trPr>
          <w:jc w:val="center"/>
        </w:trPr>
        <w:tc>
          <w:tcPr>
            <w:tcW w:w="846" w:type="dxa"/>
            <w:vAlign w:val="center"/>
          </w:tcPr>
          <w:p w:rsidR="00733394" w:rsidRDefault="001A44BE">
            <w:pPr>
              <w:jc w:val="center"/>
            </w:pPr>
            <w:r>
              <w:rPr>
                <w:color w:val="000000"/>
                <w:sz w:val="24"/>
              </w:rPr>
              <w:t>周中</w:t>
            </w:r>
          </w:p>
        </w:tc>
        <w:tc>
          <w:tcPr>
            <w:tcW w:w="845" w:type="dxa"/>
            <w:vAlign w:val="center"/>
          </w:tcPr>
          <w:p w:rsidR="00733394" w:rsidRDefault="001A44BE">
            <w:pPr>
              <w:jc w:val="center"/>
            </w:pPr>
            <w:r>
              <w:rPr>
                <w:color w:val="000000"/>
                <w:sz w:val="24"/>
              </w:rPr>
              <w:t>交银环球精选混合</w:t>
            </w:r>
            <w:r>
              <w:rPr>
                <w:color w:val="000000"/>
                <w:sz w:val="24"/>
              </w:rPr>
              <w:t>(QDII)</w:t>
            </w:r>
            <w:r>
              <w:rPr>
                <w:color w:val="000000"/>
                <w:sz w:val="24"/>
              </w:rPr>
              <w:t>、交银创新成长混合的基金经理</w:t>
            </w:r>
          </w:p>
        </w:tc>
        <w:tc>
          <w:tcPr>
            <w:tcW w:w="1549" w:type="dxa"/>
            <w:vAlign w:val="center"/>
          </w:tcPr>
          <w:p w:rsidR="00733394" w:rsidRDefault="001A44BE">
            <w:pPr>
              <w:jc w:val="center"/>
            </w:pPr>
            <w:r>
              <w:rPr>
                <w:color w:val="000000"/>
                <w:sz w:val="24"/>
              </w:rPr>
              <w:t>2015-12-12</w:t>
            </w:r>
          </w:p>
        </w:tc>
        <w:tc>
          <w:tcPr>
            <w:tcW w:w="1548" w:type="dxa"/>
            <w:vAlign w:val="center"/>
          </w:tcPr>
          <w:p w:rsidR="00733394" w:rsidRDefault="001A44BE">
            <w:pPr>
              <w:jc w:val="center"/>
            </w:pPr>
            <w:r>
              <w:rPr>
                <w:color w:val="000000"/>
                <w:sz w:val="24"/>
              </w:rPr>
              <w:t>-</w:t>
            </w:r>
          </w:p>
        </w:tc>
        <w:tc>
          <w:tcPr>
            <w:tcW w:w="1407" w:type="dxa"/>
            <w:vAlign w:val="center"/>
          </w:tcPr>
          <w:p w:rsidR="00733394" w:rsidRDefault="001A44BE">
            <w:pPr>
              <w:jc w:val="center"/>
            </w:pPr>
            <w:r>
              <w:rPr>
                <w:color w:val="000000"/>
                <w:sz w:val="24"/>
              </w:rPr>
              <w:t>10</w:t>
            </w:r>
            <w:r>
              <w:rPr>
                <w:color w:val="000000"/>
                <w:sz w:val="24"/>
              </w:rPr>
              <w:t>年</w:t>
            </w:r>
          </w:p>
        </w:tc>
        <w:tc>
          <w:tcPr>
            <w:tcW w:w="2673" w:type="dxa"/>
            <w:vAlign w:val="center"/>
          </w:tcPr>
          <w:p w:rsidR="00733394" w:rsidRDefault="001A44BE">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733394">
        <w:trPr>
          <w:jc w:val="center"/>
        </w:trPr>
        <w:tc>
          <w:tcPr>
            <w:tcW w:w="2070" w:type="dxa"/>
            <w:vAlign w:val="center"/>
          </w:tcPr>
          <w:p w:rsidR="00733394" w:rsidRDefault="001A44BE">
            <w:pPr>
              <w:jc w:val="center"/>
            </w:pPr>
            <w:r>
              <w:rPr>
                <w:color w:val="000000"/>
                <w:sz w:val="24"/>
              </w:rPr>
              <w:t>Simon Webber</w:t>
            </w:r>
          </w:p>
        </w:tc>
        <w:tc>
          <w:tcPr>
            <w:tcW w:w="2465" w:type="dxa"/>
            <w:vAlign w:val="center"/>
          </w:tcPr>
          <w:p w:rsidR="00733394" w:rsidRDefault="001A44BE">
            <w:pPr>
              <w:jc w:val="center"/>
            </w:pPr>
            <w:r>
              <w:rPr>
                <w:color w:val="000000"/>
                <w:sz w:val="24"/>
              </w:rPr>
              <w:t>施罗德集团多区域（全球及国际）股票投资主管、全球和国际股票基金经理、全球气候变化股票基金经理</w:t>
            </w:r>
          </w:p>
        </w:tc>
        <w:tc>
          <w:tcPr>
            <w:tcW w:w="2116" w:type="dxa"/>
            <w:vAlign w:val="center"/>
          </w:tcPr>
          <w:p w:rsidR="00733394" w:rsidRDefault="001A44BE">
            <w:pPr>
              <w:jc w:val="center"/>
            </w:pPr>
            <w:r>
              <w:rPr>
                <w:color w:val="000000"/>
                <w:sz w:val="24"/>
              </w:rPr>
              <w:t>20</w:t>
            </w:r>
            <w:r>
              <w:rPr>
                <w:color w:val="000000"/>
                <w:sz w:val="24"/>
              </w:rPr>
              <w:t>年</w:t>
            </w:r>
          </w:p>
        </w:tc>
        <w:tc>
          <w:tcPr>
            <w:tcW w:w="2217" w:type="dxa"/>
            <w:vAlign w:val="center"/>
          </w:tcPr>
          <w:p w:rsidR="00733394" w:rsidRDefault="001A44BE">
            <w:pPr>
              <w:jc w:val="left"/>
            </w:pPr>
            <w:r>
              <w:rPr>
                <w:color w:val="000000"/>
                <w:sz w:val="24"/>
              </w:rPr>
              <w:t xml:space="preserve">Simon </w:t>
            </w:r>
            <w:r>
              <w:rPr>
                <w:color w:val="000000"/>
                <w:sz w:val="24"/>
              </w:rPr>
              <w:t>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733394" w:rsidRDefault="001A44B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33394" w:rsidRDefault="001A44B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733394" w:rsidRDefault="001A44B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733394" w:rsidRDefault="001A44BE">
      <w:pPr>
        <w:spacing w:before="29" w:line="288" w:lineRule="auto"/>
        <w:ind w:firstLineChars="200" w:firstLine="480"/>
        <w:rPr>
          <w:color w:val="000000"/>
          <w:sz w:val="24"/>
        </w:rPr>
      </w:pPr>
      <w:r>
        <w:rPr>
          <w:color w:val="000000"/>
          <w:sz w:val="24"/>
        </w:rPr>
        <w:t>2019</w:t>
      </w:r>
      <w:r>
        <w:rPr>
          <w:color w:val="000000"/>
          <w:sz w:val="24"/>
        </w:rPr>
        <w:t>年四季度，获益于中美贸易谈判趋缓和海外央行纷纷降息，流动性预期改善，全球股市迎来季度性上涨。发达国家股市好于发展中国家股市，科技股好于其他板块。四季度，纳斯达克涨幅为</w:t>
      </w:r>
      <w:r>
        <w:rPr>
          <w:color w:val="000000"/>
          <w:sz w:val="24"/>
        </w:rPr>
        <w:t>12.17%</w:t>
      </w:r>
      <w:r>
        <w:rPr>
          <w:color w:val="000000"/>
          <w:sz w:val="24"/>
        </w:rPr>
        <w:t>，标普上涨</w:t>
      </w:r>
      <w:r>
        <w:rPr>
          <w:color w:val="000000"/>
          <w:sz w:val="24"/>
        </w:rPr>
        <w:t>8.53%</w:t>
      </w:r>
      <w:r>
        <w:rPr>
          <w:color w:val="000000"/>
          <w:sz w:val="24"/>
        </w:rPr>
        <w:t>，港股也获得了</w:t>
      </w:r>
      <w:r>
        <w:rPr>
          <w:color w:val="000000"/>
          <w:sz w:val="24"/>
        </w:rPr>
        <w:t>8.04%</w:t>
      </w:r>
      <w:r>
        <w:rPr>
          <w:color w:val="000000"/>
          <w:sz w:val="24"/>
        </w:rPr>
        <w:t>的涨幅。</w:t>
      </w:r>
    </w:p>
    <w:p w:rsidR="00733394" w:rsidRDefault="001A44BE">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四季度，我们优化仓位结构。对于欧美股市，我们增加科技股板块持仓，减少防御性个股持仓；港股方面，我们减少地产、医药板块配置，同时增加可选消费、软件服务和金融服务类持仓。整体来看，我们为投资者获得了正收益。</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2020</w:t>
      </w:r>
      <w:r w:rsidRPr="008640AE">
        <w:rPr>
          <w:color w:val="000000"/>
          <w:sz w:val="24"/>
        </w:rPr>
        <w:t>年一季度，在海外保持流动性相对宽松等背景下，我们持谨慎乐观的态度。</w:t>
      </w:r>
      <w:r w:rsidRPr="008640AE">
        <w:rPr>
          <w:color w:val="000000"/>
          <w:sz w:val="24"/>
        </w:rPr>
        <w:t>2019</w:t>
      </w:r>
      <w:r w:rsidRPr="008640AE">
        <w:rPr>
          <w:color w:val="000000"/>
          <w:sz w:val="24"/>
        </w:rPr>
        <w:t>年九月海外央行开始降息，整体权益投资的风险偏好性提升。而</w:t>
      </w:r>
      <w:r w:rsidRPr="008640AE">
        <w:rPr>
          <w:color w:val="000000"/>
          <w:sz w:val="24"/>
        </w:rPr>
        <w:t>2020</w:t>
      </w:r>
      <w:r w:rsidRPr="008640AE">
        <w:rPr>
          <w:color w:val="000000"/>
          <w:sz w:val="24"/>
        </w:rPr>
        <w:t>年，全球</w:t>
      </w:r>
      <w:r w:rsidRPr="008640AE">
        <w:rPr>
          <w:color w:val="000000"/>
          <w:sz w:val="24"/>
        </w:rPr>
        <w:t>5G</w:t>
      </w:r>
      <w:r w:rsidRPr="008640AE">
        <w:rPr>
          <w:color w:val="000000"/>
          <w:sz w:val="24"/>
        </w:rPr>
        <w:t>商用加大，预期带来新一轮的科技创新和应用突破，科技板块仍将保持高度的活跃。香港方面，美团、阿里巴巴等国内科技服务类企业的回归上市，越来越多国内新兴的服务类企业在香港上市，必然带来港股活跃度的提升。整体来看，海外股市和香港股市的活跃度都将提升，我们认为投资机会较</w:t>
      </w:r>
      <w:r w:rsidRPr="008640AE">
        <w:rPr>
          <w:color w:val="000000"/>
          <w:sz w:val="24"/>
        </w:rPr>
        <w:t>2019</w:t>
      </w:r>
      <w:r w:rsidRPr="008640AE">
        <w:rPr>
          <w:color w:val="000000"/>
          <w:sz w:val="24"/>
        </w:rPr>
        <w:t>年或有所增多。对于海外市场，我们仍将重点关注科技龙头。对于香港市场，我们更看好两类：</w:t>
      </w:r>
      <w:r w:rsidRPr="008640AE">
        <w:rPr>
          <w:color w:val="000000"/>
          <w:sz w:val="24"/>
        </w:rPr>
        <w:t>1</w:t>
      </w:r>
      <w:r w:rsidRPr="008640AE">
        <w:rPr>
          <w:color w:val="000000"/>
          <w:sz w:val="24"/>
        </w:rPr>
        <w:t>）那些代表新兴消费服务类的龙头，这些标的在全球范围内都具备稀缺性；</w:t>
      </w:r>
      <w:r w:rsidRPr="008640AE">
        <w:rPr>
          <w:color w:val="000000"/>
          <w:sz w:val="24"/>
        </w:rPr>
        <w:t>2</w:t>
      </w:r>
      <w:r w:rsidRPr="008640AE">
        <w:rPr>
          <w:color w:val="000000"/>
          <w:sz w:val="24"/>
        </w:rPr>
        <w:t>）工业制造领域细分行业的龙头，</w:t>
      </w:r>
      <w:r w:rsidRPr="008640AE">
        <w:rPr>
          <w:color w:val="000000"/>
          <w:sz w:val="24"/>
        </w:rPr>
        <w:t>2019</w:t>
      </w:r>
      <w:r w:rsidRPr="008640AE">
        <w:rPr>
          <w:color w:val="000000"/>
          <w:sz w:val="24"/>
        </w:rPr>
        <w:t>年受港股波动影响，估值出现大幅回落，但其全球竞争力地位并未发生变化；</w:t>
      </w:r>
      <w:r w:rsidRPr="008640AE">
        <w:rPr>
          <w:color w:val="000000"/>
          <w:sz w:val="24"/>
        </w:rPr>
        <w:t>2020</w:t>
      </w:r>
      <w:r w:rsidRPr="008640AE">
        <w:rPr>
          <w:color w:val="000000"/>
          <w:sz w:val="24"/>
        </w:rPr>
        <w:t>年，伴随市场活跃度的改善，有望迎来估值修复。我们将继续在上述领域寻找投资标的，继续勤勉尽责地积极调研，努力为投资人赚取回报。</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“3.1</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 xml:space="preserve">“3.2.1 </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7977A8" w:rsidRPr="007977A8" w:rsidRDefault="007977A8" w:rsidP="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890782">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110,370,717.87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84.57</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108,843,767.35</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83.40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1,526,950.52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08226F"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19,655,407.44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15.06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482,976.44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130,509,101.75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9F647F" w:rsidRPr="009F647F" w:rsidRDefault="009F647F" w:rsidP="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733394">
        <w:trPr>
          <w:jc w:val="center"/>
        </w:trPr>
        <w:tc>
          <w:tcPr>
            <w:tcW w:w="2484" w:type="dxa"/>
            <w:vAlign w:val="center"/>
          </w:tcPr>
          <w:p w:rsidR="00733394" w:rsidRDefault="001A44BE">
            <w:pPr>
              <w:jc w:val="left"/>
            </w:pPr>
            <w:r>
              <w:rPr>
                <w:color w:val="000000"/>
                <w:sz w:val="24"/>
              </w:rPr>
              <w:t>美国</w:t>
            </w:r>
          </w:p>
        </w:tc>
        <w:tc>
          <w:tcPr>
            <w:tcW w:w="3214" w:type="dxa"/>
            <w:vAlign w:val="center"/>
          </w:tcPr>
          <w:p w:rsidR="00733394" w:rsidRDefault="001A44BE">
            <w:pPr>
              <w:jc w:val="right"/>
            </w:pPr>
            <w:r>
              <w:rPr>
                <w:color w:val="000000"/>
                <w:sz w:val="24"/>
              </w:rPr>
              <w:t>58,575,243.47</w:t>
            </w:r>
          </w:p>
        </w:tc>
        <w:tc>
          <w:tcPr>
            <w:tcW w:w="3170" w:type="dxa"/>
            <w:vAlign w:val="center"/>
          </w:tcPr>
          <w:p w:rsidR="00733394" w:rsidRDefault="001A44BE">
            <w:pPr>
              <w:jc w:val="right"/>
            </w:pPr>
            <w:r>
              <w:rPr>
                <w:color w:val="000000"/>
                <w:sz w:val="24"/>
              </w:rPr>
              <w:t>45.27</w:t>
            </w:r>
          </w:p>
        </w:tc>
      </w:tr>
      <w:tr w:rsidR="00733394">
        <w:trPr>
          <w:jc w:val="center"/>
        </w:trPr>
        <w:tc>
          <w:tcPr>
            <w:tcW w:w="2484" w:type="dxa"/>
            <w:vAlign w:val="center"/>
          </w:tcPr>
          <w:p w:rsidR="00733394" w:rsidRDefault="001A44BE">
            <w:pPr>
              <w:jc w:val="left"/>
            </w:pPr>
            <w:r>
              <w:rPr>
                <w:color w:val="000000"/>
                <w:sz w:val="24"/>
              </w:rPr>
              <w:t>香港</w:t>
            </w:r>
          </w:p>
        </w:tc>
        <w:tc>
          <w:tcPr>
            <w:tcW w:w="3214" w:type="dxa"/>
            <w:vAlign w:val="center"/>
          </w:tcPr>
          <w:p w:rsidR="00733394" w:rsidRDefault="001A44BE">
            <w:pPr>
              <w:jc w:val="right"/>
            </w:pPr>
            <w:r>
              <w:rPr>
                <w:color w:val="000000"/>
                <w:sz w:val="24"/>
              </w:rPr>
              <w:t>19,584,398.74</w:t>
            </w:r>
          </w:p>
        </w:tc>
        <w:tc>
          <w:tcPr>
            <w:tcW w:w="3170" w:type="dxa"/>
            <w:vAlign w:val="center"/>
          </w:tcPr>
          <w:p w:rsidR="00733394" w:rsidRDefault="001A44BE">
            <w:pPr>
              <w:jc w:val="right"/>
            </w:pPr>
            <w:r>
              <w:rPr>
                <w:color w:val="000000"/>
                <w:sz w:val="24"/>
              </w:rPr>
              <w:t>15.14</w:t>
            </w:r>
          </w:p>
        </w:tc>
      </w:tr>
      <w:tr w:rsidR="00733394">
        <w:trPr>
          <w:jc w:val="center"/>
        </w:trPr>
        <w:tc>
          <w:tcPr>
            <w:tcW w:w="2484" w:type="dxa"/>
            <w:vAlign w:val="center"/>
          </w:tcPr>
          <w:p w:rsidR="00733394" w:rsidRDefault="001A44BE">
            <w:pPr>
              <w:jc w:val="left"/>
            </w:pPr>
            <w:r>
              <w:rPr>
                <w:color w:val="000000"/>
                <w:sz w:val="24"/>
              </w:rPr>
              <w:t>法国</w:t>
            </w:r>
          </w:p>
        </w:tc>
        <w:tc>
          <w:tcPr>
            <w:tcW w:w="3214" w:type="dxa"/>
            <w:vAlign w:val="center"/>
          </w:tcPr>
          <w:p w:rsidR="00733394" w:rsidRDefault="001A44BE">
            <w:pPr>
              <w:jc w:val="right"/>
            </w:pPr>
            <w:r>
              <w:rPr>
                <w:color w:val="000000"/>
                <w:sz w:val="24"/>
              </w:rPr>
              <w:t>8,066,187.27</w:t>
            </w:r>
          </w:p>
        </w:tc>
        <w:tc>
          <w:tcPr>
            <w:tcW w:w="3170" w:type="dxa"/>
            <w:vAlign w:val="center"/>
          </w:tcPr>
          <w:p w:rsidR="00733394" w:rsidRDefault="001A44BE">
            <w:pPr>
              <w:jc w:val="right"/>
            </w:pPr>
            <w:r>
              <w:rPr>
                <w:color w:val="000000"/>
                <w:sz w:val="24"/>
              </w:rPr>
              <w:t>6.23</w:t>
            </w:r>
          </w:p>
        </w:tc>
      </w:tr>
      <w:tr w:rsidR="00733394">
        <w:trPr>
          <w:jc w:val="center"/>
        </w:trPr>
        <w:tc>
          <w:tcPr>
            <w:tcW w:w="2484" w:type="dxa"/>
            <w:vAlign w:val="center"/>
          </w:tcPr>
          <w:p w:rsidR="00733394" w:rsidRDefault="001A44BE">
            <w:pPr>
              <w:jc w:val="left"/>
            </w:pPr>
            <w:r>
              <w:rPr>
                <w:color w:val="000000"/>
                <w:sz w:val="24"/>
              </w:rPr>
              <w:t>瑞士</w:t>
            </w:r>
          </w:p>
        </w:tc>
        <w:tc>
          <w:tcPr>
            <w:tcW w:w="3214" w:type="dxa"/>
            <w:vAlign w:val="center"/>
          </w:tcPr>
          <w:p w:rsidR="00733394" w:rsidRDefault="001A44BE">
            <w:pPr>
              <w:jc w:val="right"/>
            </w:pPr>
            <w:r>
              <w:rPr>
                <w:color w:val="000000"/>
                <w:sz w:val="24"/>
              </w:rPr>
              <w:t>5,503,879.16</w:t>
            </w:r>
          </w:p>
        </w:tc>
        <w:tc>
          <w:tcPr>
            <w:tcW w:w="3170" w:type="dxa"/>
            <w:vAlign w:val="center"/>
          </w:tcPr>
          <w:p w:rsidR="00733394" w:rsidRDefault="001A44BE">
            <w:pPr>
              <w:jc w:val="right"/>
            </w:pPr>
            <w:r>
              <w:rPr>
                <w:color w:val="000000"/>
                <w:sz w:val="24"/>
              </w:rPr>
              <w:t>4.25</w:t>
            </w:r>
          </w:p>
        </w:tc>
      </w:tr>
      <w:tr w:rsidR="00733394">
        <w:trPr>
          <w:jc w:val="center"/>
        </w:trPr>
        <w:tc>
          <w:tcPr>
            <w:tcW w:w="2484" w:type="dxa"/>
            <w:vAlign w:val="center"/>
          </w:tcPr>
          <w:p w:rsidR="00733394" w:rsidRDefault="001A44BE">
            <w:pPr>
              <w:jc w:val="left"/>
            </w:pPr>
            <w:r>
              <w:rPr>
                <w:color w:val="000000"/>
                <w:sz w:val="24"/>
              </w:rPr>
              <w:t>德国</w:t>
            </w:r>
          </w:p>
        </w:tc>
        <w:tc>
          <w:tcPr>
            <w:tcW w:w="3214" w:type="dxa"/>
            <w:vAlign w:val="center"/>
          </w:tcPr>
          <w:p w:rsidR="00733394" w:rsidRDefault="001A44BE">
            <w:pPr>
              <w:jc w:val="right"/>
            </w:pPr>
            <w:r>
              <w:rPr>
                <w:color w:val="000000"/>
                <w:sz w:val="24"/>
              </w:rPr>
              <w:t>4,939,986.02</w:t>
            </w:r>
          </w:p>
        </w:tc>
        <w:tc>
          <w:tcPr>
            <w:tcW w:w="3170" w:type="dxa"/>
            <w:vAlign w:val="center"/>
          </w:tcPr>
          <w:p w:rsidR="00733394" w:rsidRDefault="001A44BE">
            <w:pPr>
              <w:jc w:val="right"/>
            </w:pPr>
            <w:r>
              <w:rPr>
                <w:color w:val="000000"/>
                <w:sz w:val="24"/>
              </w:rPr>
              <w:t>3.82</w:t>
            </w:r>
          </w:p>
        </w:tc>
      </w:tr>
      <w:tr w:rsidR="00733394">
        <w:trPr>
          <w:jc w:val="center"/>
        </w:trPr>
        <w:tc>
          <w:tcPr>
            <w:tcW w:w="2484" w:type="dxa"/>
            <w:vAlign w:val="center"/>
          </w:tcPr>
          <w:p w:rsidR="00733394" w:rsidRDefault="001A44BE">
            <w:pPr>
              <w:jc w:val="left"/>
            </w:pPr>
            <w:r>
              <w:rPr>
                <w:color w:val="000000"/>
                <w:sz w:val="24"/>
              </w:rPr>
              <w:t>日本</w:t>
            </w:r>
          </w:p>
        </w:tc>
        <w:tc>
          <w:tcPr>
            <w:tcW w:w="3214" w:type="dxa"/>
            <w:vAlign w:val="center"/>
          </w:tcPr>
          <w:p w:rsidR="00733394" w:rsidRDefault="001A44BE">
            <w:pPr>
              <w:jc w:val="right"/>
            </w:pPr>
            <w:r>
              <w:rPr>
                <w:color w:val="000000"/>
                <w:sz w:val="24"/>
              </w:rPr>
              <w:t>4,461,844.21</w:t>
            </w:r>
          </w:p>
        </w:tc>
        <w:tc>
          <w:tcPr>
            <w:tcW w:w="3170" w:type="dxa"/>
            <w:vAlign w:val="center"/>
          </w:tcPr>
          <w:p w:rsidR="00733394" w:rsidRDefault="001A44BE">
            <w:pPr>
              <w:jc w:val="right"/>
            </w:pPr>
            <w:r>
              <w:rPr>
                <w:color w:val="000000"/>
                <w:sz w:val="24"/>
              </w:rPr>
              <w:t>3.45</w:t>
            </w:r>
          </w:p>
        </w:tc>
      </w:tr>
      <w:tr w:rsidR="00733394">
        <w:trPr>
          <w:jc w:val="center"/>
        </w:trPr>
        <w:tc>
          <w:tcPr>
            <w:tcW w:w="2484" w:type="dxa"/>
            <w:vAlign w:val="center"/>
          </w:tcPr>
          <w:p w:rsidR="00733394" w:rsidRDefault="001A44BE">
            <w:pPr>
              <w:jc w:val="left"/>
            </w:pPr>
            <w:r>
              <w:rPr>
                <w:color w:val="000000"/>
                <w:sz w:val="24"/>
              </w:rPr>
              <w:t>荷兰</w:t>
            </w:r>
          </w:p>
        </w:tc>
        <w:tc>
          <w:tcPr>
            <w:tcW w:w="3214" w:type="dxa"/>
            <w:vAlign w:val="center"/>
          </w:tcPr>
          <w:p w:rsidR="00733394" w:rsidRDefault="001A44BE">
            <w:pPr>
              <w:jc w:val="right"/>
            </w:pPr>
            <w:r>
              <w:rPr>
                <w:color w:val="000000"/>
                <w:sz w:val="24"/>
              </w:rPr>
              <w:t>2,833,149.64</w:t>
            </w:r>
          </w:p>
        </w:tc>
        <w:tc>
          <w:tcPr>
            <w:tcW w:w="3170" w:type="dxa"/>
            <w:vAlign w:val="center"/>
          </w:tcPr>
          <w:p w:rsidR="00733394" w:rsidRDefault="001A44BE">
            <w:pPr>
              <w:jc w:val="right"/>
            </w:pPr>
            <w:r>
              <w:rPr>
                <w:color w:val="000000"/>
                <w:sz w:val="24"/>
              </w:rPr>
              <w:t>2.19</w:t>
            </w:r>
          </w:p>
        </w:tc>
      </w:tr>
      <w:tr w:rsidR="00733394">
        <w:trPr>
          <w:jc w:val="center"/>
        </w:trPr>
        <w:tc>
          <w:tcPr>
            <w:tcW w:w="2484" w:type="dxa"/>
            <w:vAlign w:val="center"/>
          </w:tcPr>
          <w:p w:rsidR="00733394" w:rsidRDefault="001A44BE">
            <w:pPr>
              <w:jc w:val="left"/>
            </w:pPr>
            <w:r>
              <w:rPr>
                <w:color w:val="000000"/>
                <w:sz w:val="24"/>
              </w:rPr>
              <w:t>韩国</w:t>
            </w:r>
          </w:p>
        </w:tc>
        <w:tc>
          <w:tcPr>
            <w:tcW w:w="3214" w:type="dxa"/>
            <w:vAlign w:val="center"/>
          </w:tcPr>
          <w:p w:rsidR="00733394" w:rsidRDefault="001A44BE">
            <w:pPr>
              <w:jc w:val="right"/>
            </w:pPr>
            <w:r>
              <w:rPr>
                <w:color w:val="000000"/>
                <w:sz w:val="24"/>
              </w:rPr>
              <w:t>2,280,123.14</w:t>
            </w:r>
          </w:p>
        </w:tc>
        <w:tc>
          <w:tcPr>
            <w:tcW w:w="3170" w:type="dxa"/>
            <w:vAlign w:val="center"/>
          </w:tcPr>
          <w:p w:rsidR="00733394" w:rsidRDefault="001A44BE">
            <w:pPr>
              <w:jc w:val="right"/>
            </w:pPr>
            <w:r>
              <w:rPr>
                <w:color w:val="000000"/>
                <w:sz w:val="24"/>
              </w:rPr>
              <w:t>1.76</w:t>
            </w:r>
          </w:p>
        </w:tc>
      </w:tr>
      <w:tr w:rsidR="00733394">
        <w:trPr>
          <w:jc w:val="center"/>
        </w:trPr>
        <w:tc>
          <w:tcPr>
            <w:tcW w:w="2484" w:type="dxa"/>
            <w:vAlign w:val="center"/>
          </w:tcPr>
          <w:p w:rsidR="00733394" w:rsidRDefault="001A44BE">
            <w:pPr>
              <w:jc w:val="left"/>
            </w:pPr>
            <w:r>
              <w:rPr>
                <w:color w:val="000000"/>
                <w:sz w:val="24"/>
              </w:rPr>
              <w:t>奥地利</w:t>
            </w:r>
          </w:p>
        </w:tc>
        <w:tc>
          <w:tcPr>
            <w:tcW w:w="3214" w:type="dxa"/>
            <w:vAlign w:val="center"/>
          </w:tcPr>
          <w:p w:rsidR="00733394" w:rsidRDefault="001A44BE">
            <w:pPr>
              <w:jc w:val="right"/>
            </w:pPr>
            <w:r>
              <w:rPr>
                <w:color w:val="000000"/>
                <w:sz w:val="24"/>
              </w:rPr>
              <w:t>1,606,240.49</w:t>
            </w:r>
          </w:p>
        </w:tc>
        <w:tc>
          <w:tcPr>
            <w:tcW w:w="3170" w:type="dxa"/>
            <w:vAlign w:val="center"/>
          </w:tcPr>
          <w:p w:rsidR="00733394" w:rsidRDefault="001A44BE">
            <w:pPr>
              <w:jc w:val="right"/>
            </w:pPr>
            <w:r>
              <w:rPr>
                <w:color w:val="000000"/>
                <w:sz w:val="24"/>
              </w:rPr>
              <w:t>1.24</w:t>
            </w:r>
          </w:p>
        </w:tc>
      </w:tr>
      <w:tr w:rsidR="00733394">
        <w:trPr>
          <w:jc w:val="center"/>
        </w:trPr>
        <w:tc>
          <w:tcPr>
            <w:tcW w:w="2484" w:type="dxa"/>
            <w:vAlign w:val="center"/>
          </w:tcPr>
          <w:p w:rsidR="00733394" w:rsidRDefault="001A44BE">
            <w:pPr>
              <w:jc w:val="left"/>
            </w:pPr>
            <w:r>
              <w:rPr>
                <w:color w:val="000000"/>
                <w:sz w:val="24"/>
              </w:rPr>
              <w:t>英国</w:t>
            </w:r>
          </w:p>
        </w:tc>
        <w:tc>
          <w:tcPr>
            <w:tcW w:w="3214" w:type="dxa"/>
            <w:vAlign w:val="center"/>
          </w:tcPr>
          <w:p w:rsidR="00733394" w:rsidRDefault="001A44BE">
            <w:pPr>
              <w:jc w:val="right"/>
            </w:pPr>
            <w:r>
              <w:rPr>
                <w:color w:val="000000"/>
                <w:sz w:val="24"/>
              </w:rPr>
              <w:t>1,499,806.29</w:t>
            </w:r>
          </w:p>
        </w:tc>
        <w:tc>
          <w:tcPr>
            <w:tcW w:w="3170" w:type="dxa"/>
            <w:vAlign w:val="center"/>
          </w:tcPr>
          <w:p w:rsidR="00733394" w:rsidRDefault="001A44BE">
            <w:pPr>
              <w:jc w:val="right"/>
            </w:pPr>
            <w:r>
              <w:rPr>
                <w:color w:val="000000"/>
                <w:sz w:val="24"/>
              </w:rPr>
              <w:t>1.16</w:t>
            </w:r>
          </w:p>
        </w:tc>
      </w:tr>
      <w:tr w:rsidR="00733394">
        <w:trPr>
          <w:jc w:val="center"/>
        </w:trPr>
        <w:tc>
          <w:tcPr>
            <w:tcW w:w="2484" w:type="dxa"/>
            <w:vAlign w:val="center"/>
          </w:tcPr>
          <w:p w:rsidR="00733394" w:rsidRDefault="001A44BE">
            <w:pPr>
              <w:jc w:val="left"/>
            </w:pPr>
            <w:r>
              <w:rPr>
                <w:color w:val="000000"/>
                <w:sz w:val="24"/>
              </w:rPr>
              <w:t>澳大利亚</w:t>
            </w:r>
          </w:p>
        </w:tc>
        <w:tc>
          <w:tcPr>
            <w:tcW w:w="3214" w:type="dxa"/>
            <w:vAlign w:val="center"/>
          </w:tcPr>
          <w:p w:rsidR="00733394" w:rsidRDefault="001A44BE">
            <w:pPr>
              <w:jc w:val="right"/>
            </w:pPr>
            <w:r>
              <w:rPr>
                <w:color w:val="000000"/>
                <w:sz w:val="24"/>
              </w:rPr>
              <w:t>1,019,859.44</w:t>
            </w:r>
          </w:p>
        </w:tc>
        <w:tc>
          <w:tcPr>
            <w:tcW w:w="3170" w:type="dxa"/>
            <w:vAlign w:val="center"/>
          </w:tcPr>
          <w:p w:rsidR="00733394" w:rsidRDefault="001A44BE">
            <w:pPr>
              <w:jc w:val="right"/>
            </w:pPr>
            <w:r>
              <w:rPr>
                <w:color w:val="000000"/>
                <w:sz w:val="24"/>
              </w:rPr>
              <w:t>0.79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110,370,717.87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85.30</w:t>
            </w:r>
          </w:p>
        </w:tc>
      </w:tr>
    </w:tbl>
    <w:p w:rsidR="00733394" w:rsidRDefault="001A44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DB3862" w:rsidRPr="00DB3862" w:rsidRDefault="00DB3862" w:rsidP="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DB3862" w:rsidP="005546C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733394">
        <w:trPr>
          <w:jc w:val="center"/>
        </w:trPr>
        <w:tc>
          <w:tcPr>
            <w:tcW w:w="2904" w:type="dxa"/>
            <w:vAlign w:val="center"/>
          </w:tcPr>
          <w:p w:rsidR="00733394" w:rsidRDefault="001A44BE">
            <w:pPr>
              <w:jc w:val="left"/>
            </w:pPr>
            <w:r>
              <w:rPr>
                <w:color w:val="000000"/>
                <w:sz w:val="24"/>
              </w:rPr>
              <w:t>信息技术</w:t>
            </w:r>
          </w:p>
        </w:tc>
        <w:tc>
          <w:tcPr>
            <w:tcW w:w="2657" w:type="dxa"/>
            <w:vAlign w:val="center"/>
          </w:tcPr>
          <w:p w:rsidR="00733394" w:rsidRDefault="001A44BE">
            <w:pPr>
              <w:jc w:val="right"/>
            </w:pPr>
            <w:r>
              <w:rPr>
                <w:color w:val="000000"/>
                <w:sz w:val="24"/>
              </w:rPr>
              <w:t>18,311,461.15</w:t>
            </w:r>
          </w:p>
        </w:tc>
        <w:tc>
          <w:tcPr>
            <w:tcW w:w="3307" w:type="dxa"/>
            <w:vAlign w:val="center"/>
          </w:tcPr>
          <w:p w:rsidR="00733394" w:rsidRDefault="001A44BE">
            <w:pPr>
              <w:jc w:val="right"/>
            </w:pPr>
            <w:r>
              <w:rPr>
                <w:color w:val="000000"/>
                <w:sz w:val="24"/>
              </w:rPr>
              <w:t>14.15</w:t>
            </w:r>
          </w:p>
        </w:tc>
      </w:tr>
      <w:tr w:rsidR="00733394">
        <w:trPr>
          <w:jc w:val="center"/>
        </w:trPr>
        <w:tc>
          <w:tcPr>
            <w:tcW w:w="2904" w:type="dxa"/>
            <w:vAlign w:val="center"/>
          </w:tcPr>
          <w:p w:rsidR="00733394" w:rsidRDefault="001A44BE">
            <w:pPr>
              <w:jc w:val="left"/>
            </w:pPr>
            <w:r>
              <w:rPr>
                <w:color w:val="000000"/>
                <w:sz w:val="24"/>
              </w:rPr>
              <w:t>保健</w:t>
            </w:r>
          </w:p>
        </w:tc>
        <w:tc>
          <w:tcPr>
            <w:tcW w:w="2657" w:type="dxa"/>
            <w:vAlign w:val="center"/>
          </w:tcPr>
          <w:p w:rsidR="00733394" w:rsidRDefault="001A44BE">
            <w:pPr>
              <w:jc w:val="right"/>
            </w:pPr>
            <w:r>
              <w:rPr>
                <w:color w:val="000000"/>
                <w:sz w:val="24"/>
              </w:rPr>
              <w:t>16,504,424.81</w:t>
            </w:r>
          </w:p>
        </w:tc>
        <w:tc>
          <w:tcPr>
            <w:tcW w:w="3307" w:type="dxa"/>
            <w:vAlign w:val="center"/>
          </w:tcPr>
          <w:p w:rsidR="00733394" w:rsidRDefault="001A44BE">
            <w:pPr>
              <w:jc w:val="right"/>
            </w:pPr>
            <w:r>
              <w:rPr>
                <w:color w:val="000000"/>
                <w:sz w:val="24"/>
              </w:rPr>
              <w:t>12.76</w:t>
            </w:r>
          </w:p>
        </w:tc>
      </w:tr>
      <w:tr w:rsidR="00733394">
        <w:trPr>
          <w:jc w:val="center"/>
        </w:trPr>
        <w:tc>
          <w:tcPr>
            <w:tcW w:w="2904" w:type="dxa"/>
            <w:vAlign w:val="center"/>
          </w:tcPr>
          <w:p w:rsidR="00733394" w:rsidRDefault="001A44BE">
            <w:pPr>
              <w:jc w:val="left"/>
            </w:pPr>
            <w:r>
              <w:rPr>
                <w:color w:val="000000"/>
                <w:sz w:val="24"/>
              </w:rPr>
              <w:t>金融业</w:t>
            </w:r>
          </w:p>
        </w:tc>
        <w:tc>
          <w:tcPr>
            <w:tcW w:w="2657" w:type="dxa"/>
            <w:vAlign w:val="center"/>
          </w:tcPr>
          <w:p w:rsidR="00733394" w:rsidRDefault="001A44BE">
            <w:pPr>
              <w:jc w:val="right"/>
            </w:pPr>
            <w:r>
              <w:rPr>
                <w:color w:val="000000"/>
                <w:sz w:val="24"/>
              </w:rPr>
              <w:t>16,500,762.12</w:t>
            </w:r>
          </w:p>
        </w:tc>
        <w:tc>
          <w:tcPr>
            <w:tcW w:w="3307" w:type="dxa"/>
            <w:vAlign w:val="center"/>
          </w:tcPr>
          <w:p w:rsidR="00733394" w:rsidRDefault="001A44BE">
            <w:pPr>
              <w:jc w:val="right"/>
            </w:pPr>
            <w:r>
              <w:rPr>
                <w:color w:val="000000"/>
                <w:sz w:val="24"/>
              </w:rPr>
              <w:t>12.75</w:t>
            </w:r>
          </w:p>
        </w:tc>
      </w:tr>
      <w:tr w:rsidR="00733394">
        <w:trPr>
          <w:jc w:val="center"/>
        </w:trPr>
        <w:tc>
          <w:tcPr>
            <w:tcW w:w="2904" w:type="dxa"/>
            <w:vAlign w:val="center"/>
          </w:tcPr>
          <w:p w:rsidR="00733394" w:rsidRDefault="001A44BE">
            <w:pPr>
              <w:jc w:val="left"/>
            </w:pPr>
            <w:r>
              <w:rPr>
                <w:color w:val="000000"/>
                <w:sz w:val="24"/>
              </w:rPr>
              <w:t>非必需消费品</w:t>
            </w:r>
          </w:p>
        </w:tc>
        <w:tc>
          <w:tcPr>
            <w:tcW w:w="2657" w:type="dxa"/>
            <w:vAlign w:val="center"/>
          </w:tcPr>
          <w:p w:rsidR="00733394" w:rsidRDefault="001A44BE">
            <w:pPr>
              <w:jc w:val="right"/>
            </w:pPr>
            <w:r>
              <w:rPr>
                <w:color w:val="000000"/>
                <w:sz w:val="24"/>
              </w:rPr>
              <w:t>14,748,054.02</w:t>
            </w:r>
          </w:p>
        </w:tc>
        <w:tc>
          <w:tcPr>
            <w:tcW w:w="3307" w:type="dxa"/>
            <w:vAlign w:val="center"/>
          </w:tcPr>
          <w:p w:rsidR="00733394" w:rsidRDefault="001A44BE">
            <w:pPr>
              <w:jc w:val="right"/>
            </w:pPr>
            <w:r>
              <w:rPr>
                <w:color w:val="000000"/>
                <w:sz w:val="24"/>
              </w:rPr>
              <w:t>11.40</w:t>
            </w:r>
          </w:p>
        </w:tc>
      </w:tr>
      <w:tr w:rsidR="00733394">
        <w:trPr>
          <w:jc w:val="center"/>
        </w:trPr>
        <w:tc>
          <w:tcPr>
            <w:tcW w:w="2904" w:type="dxa"/>
            <w:vAlign w:val="center"/>
          </w:tcPr>
          <w:p w:rsidR="00733394" w:rsidRDefault="001A44BE">
            <w:pPr>
              <w:jc w:val="left"/>
            </w:pPr>
            <w:r>
              <w:rPr>
                <w:color w:val="000000"/>
                <w:sz w:val="24"/>
              </w:rPr>
              <w:t>必需消费品</w:t>
            </w:r>
          </w:p>
        </w:tc>
        <w:tc>
          <w:tcPr>
            <w:tcW w:w="2657" w:type="dxa"/>
            <w:vAlign w:val="center"/>
          </w:tcPr>
          <w:p w:rsidR="00733394" w:rsidRDefault="001A44BE">
            <w:pPr>
              <w:jc w:val="right"/>
            </w:pPr>
            <w:r>
              <w:rPr>
                <w:color w:val="000000"/>
                <w:sz w:val="24"/>
              </w:rPr>
              <w:t>12,074,594.92</w:t>
            </w:r>
          </w:p>
        </w:tc>
        <w:tc>
          <w:tcPr>
            <w:tcW w:w="3307" w:type="dxa"/>
            <w:vAlign w:val="center"/>
          </w:tcPr>
          <w:p w:rsidR="00733394" w:rsidRDefault="001A44BE">
            <w:pPr>
              <w:jc w:val="right"/>
            </w:pPr>
            <w:r>
              <w:rPr>
                <w:color w:val="000000"/>
                <w:sz w:val="24"/>
              </w:rPr>
              <w:t>9.33</w:t>
            </w:r>
          </w:p>
        </w:tc>
      </w:tr>
      <w:tr w:rsidR="00733394">
        <w:trPr>
          <w:jc w:val="center"/>
        </w:trPr>
        <w:tc>
          <w:tcPr>
            <w:tcW w:w="2904" w:type="dxa"/>
            <w:vAlign w:val="center"/>
          </w:tcPr>
          <w:p w:rsidR="00733394" w:rsidRDefault="001A44BE">
            <w:pPr>
              <w:jc w:val="left"/>
            </w:pPr>
            <w:r>
              <w:rPr>
                <w:color w:val="000000"/>
                <w:sz w:val="24"/>
              </w:rPr>
              <w:t>工业</w:t>
            </w:r>
          </w:p>
        </w:tc>
        <w:tc>
          <w:tcPr>
            <w:tcW w:w="2657" w:type="dxa"/>
            <w:vAlign w:val="center"/>
          </w:tcPr>
          <w:p w:rsidR="00733394" w:rsidRDefault="001A44BE">
            <w:pPr>
              <w:jc w:val="right"/>
            </w:pPr>
            <w:r>
              <w:rPr>
                <w:color w:val="000000"/>
                <w:sz w:val="24"/>
              </w:rPr>
              <w:t>11,957,067.66</w:t>
            </w:r>
          </w:p>
        </w:tc>
        <w:tc>
          <w:tcPr>
            <w:tcW w:w="3307" w:type="dxa"/>
            <w:vAlign w:val="center"/>
          </w:tcPr>
          <w:p w:rsidR="00733394" w:rsidRDefault="001A44BE">
            <w:pPr>
              <w:jc w:val="right"/>
            </w:pPr>
            <w:r>
              <w:rPr>
                <w:color w:val="000000"/>
                <w:sz w:val="24"/>
              </w:rPr>
              <w:t>9.24</w:t>
            </w:r>
          </w:p>
        </w:tc>
      </w:tr>
      <w:tr w:rsidR="00733394">
        <w:trPr>
          <w:jc w:val="center"/>
        </w:trPr>
        <w:tc>
          <w:tcPr>
            <w:tcW w:w="2904" w:type="dxa"/>
            <w:vAlign w:val="center"/>
          </w:tcPr>
          <w:p w:rsidR="00733394" w:rsidRDefault="001A44BE">
            <w:pPr>
              <w:jc w:val="left"/>
            </w:pPr>
            <w:r>
              <w:rPr>
                <w:color w:val="000000"/>
                <w:sz w:val="24"/>
              </w:rPr>
              <w:t>电信服务</w:t>
            </w:r>
          </w:p>
        </w:tc>
        <w:tc>
          <w:tcPr>
            <w:tcW w:w="2657" w:type="dxa"/>
            <w:vAlign w:val="center"/>
          </w:tcPr>
          <w:p w:rsidR="00733394" w:rsidRDefault="001A44BE">
            <w:pPr>
              <w:jc w:val="right"/>
            </w:pPr>
            <w:r>
              <w:rPr>
                <w:color w:val="000000"/>
                <w:sz w:val="24"/>
              </w:rPr>
              <w:t>11,372,926.98</w:t>
            </w:r>
          </w:p>
        </w:tc>
        <w:tc>
          <w:tcPr>
            <w:tcW w:w="3307" w:type="dxa"/>
            <w:vAlign w:val="center"/>
          </w:tcPr>
          <w:p w:rsidR="00733394" w:rsidRDefault="001A44BE">
            <w:pPr>
              <w:jc w:val="right"/>
            </w:pPr>
            <w:r>
              <w:rPr>
                <w:color w:val="000000"/>
                <w:sz w:val="24"/>
              </w:rPr>
              <w:t>8.79</w:t>
            </w:r>
          </w:p>
        </w:tc>
      </w:tr>
      <w:tr w:rsidR="00733394">
        <w:trPr>
          <w:jc w:val="center"/>
        </w:trPr>
        <w:tc>
          <w:tcPr>
            <w:tcW w:w="2904" w:type="dxa"/>
            <w:vAlign w:val="center"/>
          </w:tcPr>
          <w:p w:rsidR="00733394" w:rsidRDefault="001A44BE">
            <w:pPr>
              <w:jc w:val="left"/>
            </w:pPr>
            <w:r>
              <w:rPr>
                <w:color w:val="000000"/>
                <w:sz w:val="24"/>
              </w:rPr>
              <w:t>能源</w:t>
            </w:r>
          </w:p>
        </w:tc>
        <w:tc>
          <w:tcPr>
            <w:tcW w:w="2657" w:type="dxa"/>
            <w:vAlign w:val="center"/>
          </w:tcPr>
          <w:p w:rsidR="00733394" w:rsidRDefault="001A44BE">
            <w:pPr>
              <w:jc w:val="right"/>
            </w:pPr>
            <w:r>
              <w:rPr>
                <w:color w:val="000000"/>
                <w:sz w:val="24"/>
              </w:rPr>
              <w:t>4,470,963.24</w:t>
            </w:r>
          </w:p>
        </w:tc>
        <w:tc>
          <w:tcPr>
            <w:tcW w:w="3307" w:type="dxa"/>
            <w:vAlign w:val="center"/>
          </w:tcPr>
          <w:p w:rsidR="00733394" w:rsidRDefault="001A44BE">
            <w:pPr>
              <w:jc w:val="right"/>
            </w:pPr>
            <w:r>
              <w:rPr>
                <w:color w:val="000000"/>
                <w:sz w:val="24"/>
              </w:rPr>
              <w:t>3.46</w:t>
            </w:r>
          </w:p>
        </w:tc>
      </w:tr>
      <w:tr w:rsidR="00733394">
        <w:trPr>
          <w:jc w:val="center"/>
        </w:trPr>
        <w:tc>
          <w:tcPr>
            <w:tcW w:w="2904" w:type="dxa"/>
            <w:vAlign w:val="center"/>
          </w:tcPr>
          <w:p w:rsidR="00733394" w:rsidRDefault="001A44BE">
            <w:pPr>
              <w:jc w:val="left"/>
            </w:pPr>
            <w:r>
              <w:rPr>
                <w:color w:val="000000"/>
                <w:sz w:val="24"/>
              </w:rPr>
              <w:t>材料</w:t>
            </w:r>
          </w:p>
        </w:tc>
        <w:tc>
          <w:tcPr>
            <w:tcW w:w="2657" w:type="dxa"/>
            <w:vAlign w:val="center"/>
          </w:tcPr>
          <w:p w:rsidR="00733394" w:rsidRDefault="001A44BE">
            <w:pPr>
              <w:jc w:val="right"/>
            </w:pPr>
            <w:r>
              <w:rPr>
                <w:color w:val="000000"/>
                <w:sz w:val="24"/>
              </w:rPr>
              <w:t>1,992,391.19</w:t>
            </w:r>
          </w:p>
        </w:tc>
        <w:tc>
          <w:tcPr>
            <w:tcW w:w="3307" w:type="dxa"/>
            <w:vAlign w:val="center"/>
          </w:tcPr>
          <w:p w:rsidR="00733394" w:rsidRDefault="001A44BE">
            <w:pPr>
              <w:jc w:val="right"/>
            </w:pPr>
            <w:r>
              <w:rPr>
                <w:color w:val="000000"/>
                <w:sz w:val="24"/>
              </w:rPr>
              <w:t>1.54</w:t>
            </w:r>
          </w:p>
        </w:tc>
      </w:tr>
      <w:tr w:rsidR="00733394">
        <w:trPr>
          <w:jc w:val="center"/>
        </w:trPr>
        <w:tc>
          <w:tcPr>
            <w:tcW w:w="2904" w:type="dxa"/>
            <w:vAlign w:val="center"/>
          </w:tcPr>
          <w:p w:rsidR="00733394" w:rsidRDefault="001A44BE">
            <w:pPr>
              <w:jc w:val="left"/>
            </w:pPr>
            <w:r>
              <w:rPr>
                <w:color w:val="000000"/>
                <w:sz w:val="24"/>
              </w:rPr>
              <w:t>房地产</w:t>
            </w:r>
          </w:p>
        </w:tc>
        <w:tc>
          <w:tcPr>
            <w:tcW w:w="2657" w:type="dxa"/>
            <w:vAlign w:val="center"/>
          </w:tcPr>
          <w:p w:rsidR="00733394" w:rsidRDefault="001A44BE">
            <w:pPr>
              <w:jc w:val="right"/>
            </w:pPr>
            <w:r>
              <w:rPr>
                <w:color w:val="000000"/>
                <w:sz w:val="24"/>
              </w:rPr>
              <w:t>1,945,246.22</w:t>
            </w:r>
          </w:p>
        </w:tc>
        <w:tc>
          <w:tcPr>
            <w:tcW w:w="3307" w:type="dxa"/>
            <w:vAlign w:val="center"/>
          </w:tcPr>
          <w:p w:rsidR="00733394" w:rsidRDefault="001A44BE">
            <w:pPr>
              <w:jc w:val="right"/>
            </w:pPr>
            <w:r>
              <w:rPr>
                <w:color w:val="000000"/>
                <w:sz w:val="24"/>
              </w:rPr>
              <w:t>1.50</w:t>
            </w:r>
          </w:p>
        </w:tc>
      </w:tr>
      <w:tr w:rsidR="00733394">
        <w:trPr>
          <w:jc w:val="center"/>
        </w:trPr>
        <w:tc>
          <w:tcPr>
            <w:tcW w:w="2904" w:type="dxa"/>
            <w:vAlign w:val="center"/>
          </w:tcPr>
          <w:p w:rsidR="00733394" w:rsidRDefault="001A44BE">
            <w:pPr>
              <w:jc w:val="left"/>
            </w:pPr>
            <w:r>
              <w:rPr>
                <w:color w:val="000000"/>
                <w:sz w:val="24"/>
              </w:rPr>
              <w:t>公共事业</w:t>
            </w:r>
          </w:p>
        </w:tc>
        <w:tc>
          <w:tcPr>
            <w:tcW w:w="2657" w:type="dxa"/>
            <w:vAlign w:val="center"/>
          </w:tcPr>
          <w:p w:rsidR="00733394" w:rsidRDefault="001A44BE">
            <w:pPr>
              <w:jc w:val="right"/>
            </w:pPr>
            <w:r>
              <w:rPr>
                <w:color w:val="000000"/>
                <w:sz w:val="24"/>
              </w:rPr>
              <w:t>492,825.56</w:t>
            </w:r>
          </w:p>
        </w:tc>
        <w:tc>
          <w:tcPr>
            <w:tcW w:w="3307" w:type="dxa"/>
            <w:vAlign w:val="center"/>
          </w:tcPr>
          <w:p w:rsidR="00733394" w:rsidRDefault="001A44BE">
            <w:pPr>
              <w:jc w:val="right"/>
            </w:pPr>
            <w:r>
              <w:rPr>
                <w:color w:val="000000"/>
                <w:sz w:val="24"/>
              </w:rPr>
              <w:t>0.38</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110,370,717.87</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85.30</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733394">
        <w:trPr>
          <w:jc w:val="center"/>
        </w:trPr>
        <w:tc>
          <w:tcPr>
            <w:tcW w:w="1243" w:type="dxa"/>
            <w:vAlign w:val="center"/>
          </w:tcPr>
          <w:p w:rsidR="00733394" w:rsidRDefault="001A44BE">
            <w:pPr>
              <w:jc w:val="center"/>
            </w:pPr>
            <w:r>
              <w:rPr>
                <w:color w:val="000000"/>
                <w:sz w:val="24"/>
              </w:rPr>
              <w:t>1</w:t>
            </w:r>
          </w:p>
        </w:tc>
        <w:tc>
          <w:tcPr>
            <w:tcW w:w="971" w:type="dxa"/>
            <w:vAlign w:val="center"/>
          </w:tcPr>
          <w:p w:rsidR="00733394" w:rsidRDefault="001A44BE">
            <w:pPr>
              <w:jc w:val="center"/>
            </w:pPr>
            <w:r>
              <w:rPr>
                <w:color w:val="000000"/>
                <w:sz w:val="24"/>
              </w:rPr>
              <w:t>MERCK &amp; CO. INC.</w:t>
            </w:r>
          </w:p>
        </w:tc>
        <w:tc>
          <w:tcPr>
            <w:tcW w:w="993" w:type="dxa"/>
            <w:vAlign w:val="center"/>
          </w:tcPr>
          <w:p w:rsidR="00733394" w:rsidRDefault="001A44BE">
            <w:pPr>
              <w:jc w:val="center"/>
            </w:pPr>
            <w:r>
              <w:rPr>
                <w:color w:val="000000"/>
                <w:sz w:val="24"/>
              </w:rPr>
              <w:t>默克</w:t>
            </w:r>
          </w:p>
        </w:tc>
        <w:tc>
          <w:tcPr>
            <w:tcW w:w="725" w:type="dxa"/>
            <w:vAlign w:val="center"/>
          </w:tcPr>
          <w:p w:rsidR="00733394" w:rsidRDefault="001A44BE">
            <w:pPr>
              <w:jc w:val="center"/>
            </w:pPr>
            <w:r>
              <w:rPr>
                <w:color w:val="000000"/>
                <w:sz w:val="24"/>
              </w:rPr>
              <w:t>MRK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4,995</w:t>
            </w:r>
          </w:p>
        </w:tc>
        <w:tc>
          <w:tcPr>
            <w:tcW w:w="975" w:type="dxa"/>
            <w:vAlign w:val="center"/>
          </w:tcPr>
          <w:p w:rsidR="00733394" w:rsidRDefault="001A44BE">
            <w:pPr>
              <w:jc w:val="right"/>
            </w:pPr>
            <w:r>
              <w:rPr>
                <w:color w:val="000000"/>
                <w:sz w:val="24"/>
              </w:rPr>
              <w:t>3,169,254.52</w:t>
            </w:r>
          </w:p>
        </w:tc>
        <w:tc>
          <w:tcPr>
            <w:tcW w:w="1175" w:type="dxa"/>
            <w:vAlign w:val="center"/>
          </w:tcPr>
          <w:p w:rsidR="00733394" w:rsidRDefault="001A44BE">
            <w:pPr>
              <w:jc w:val="right"/>
            </w:pPr>
            <w:r>
              <w:rPr>
                <w:color w:val="000000"/>
                <w:sz w:val="24"/>
              </w:rPr>
              <w:t>2.45</w:t>
            </w:r>
          </w:p>
        </w:tc>
      </w:tr>
      <w:tr w:rsidR="00733394">
        <w:trPr>
          <w:jc w:val="center"/>
        </w:trPr>
        <w:tc>
          <w:tcPr>
            <w:tcW w:w="1243" w:type="dxa"/>
            <w:vAlign w:val="center"/>
          </w:tcPr>
          <w:p w:rsidR="00733394" w:rsidRDefault="001A44BE">
            <w:pPr>
              <w:jc w:val="center"/>
            </w:pPr>
            <w:r>
              <w:rPr>
                <w:color w:val="000000"/>
                <w:sz w:val="24"/>
              </w:rPr>
              <w:t>2</w:t>
            </w:r>
          </w:p>
        </w:tc>
        <w:tc>
          <w:tcPr>
            <w:tcW w:w="971" w:type="dxa"/>
            <w:vAlign w:val="center"/>
          </w:tcPr>
          <w:p w:rsidR="00733394" w:rsidRDefault="001A44BE">
            <w:pPr>
              <w:jc w:val="center"/>
            </w:pPr>
            <w:r>
              <w:rPr>
                <w:color w:val="000000"/>
                <w:sz w:val="24"/>
              </w:rPr>
              <w:t>UNITEDHEALTH GROUP I</w:t>
            </w:r>
          </w:p>
        </w:tc>
        <w:tc>
          <w:tcPr>
            <w:tcW w:w="993" w:type="dxa"/>
            <w:vAlign w:val="center"/>
          </w:tcPr>
          <w:p w:rsidR="00733394" w:rsidRDefault="001A44BE">
            <w:pPr>
              <w:jc w:val="center"/>
            </w:pPr>
            <w:r>
              <w:rPr>
                <w:color w:val="000000"/>
                <w:sz w:val="24"/>
              </w:rPr>
              <w:t>联合健康</w:t>
            </w:r>
          </w:p>
        </w:tc>
        <w:tc>
          <w:tcPr>
            <w:tcW w:w="725" w:type="dxa"/>
            <w:vAlign w:val="center"/>
          </w:tcPr>
          <w:p w:rsidR="00733394" w:rsidRDefault="001A44BE">
            <w:pPr>
              <w:jc w:val="center"/>
            </w:pPr>
            <w:r>
              <w:rPr>
                <w:color w:val="000000"/>
                <w:sz w:val="24"/>
              </w:rPr>
              <w:t>UNH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1,422</w:t>
            </w:r>
          </w:p>
        </w:tc>
        <w:tc>
          <w:tcPr>
            <w:tcW w:w="975" w:type="dxa"/>
            <w:vAlign w:val="center"/>
          </w:tcPr>
          <w:p w:rsidR="00733394" w:rsidRDefault="001A44BE">
            <w:pPr>
              <w:jc w:val="right"/>
            </w:pPr>
            <w:r>
              <w:rPr>
                <w:color w:val="000000"/>
                <w:sz w:val="24"/>
              </w:rPr>
              <w:t>2,916,327.58</w:t>
            </w:r>
          </w:p>
        </w:tc>
        <w:tc>
          <w:tcPr>
            <w:tcW w:w="1175" w:type="dxa"/>
            <w:vAlign w:val="center"/>
          </w:tcPr>
          <w:p w:rsidR="00733394" w:rsidRDefault="001A44BE">
            <w:pPr>
              <w:jc w:val="right"/>
            </w:pPr>
            <w:r>
              <w:rPr>
                <w:color w:val="000000"/>
                <w:sz w:val="24"/>
              </w:rPr>
              <w:t>2.25</w:t>
            </w:r>
          </w:p>
        </w:tc>
      </w:tr>
      <w:tr w:rsidR="00733394">
        <w:trPr>
          <w:jc w:val="center"/>
        </w:trPr>
        <w:tc>
          <w:tcPr>
            <w:tcW w:w="1243" w:type="dxa"/>
            <w:vAlign w:val="center"/>
          </w:tcPr>
          <w:p w:rsidR="00733394" w:rsidRDefault="001A44BE">
            <w:pPr>
              <w:jc w:val="center"/>
            </w:pPr>
            <w:r>
              <w:rPr>
                <w:color w:val="000000"/>
                <w:sz w:val="24"/>
              </w:rPr>
              <w:t>3</w:t>
            </w:r>
          </w:p>
        </w:tc>
        <w:tc>
          <w:tcPr>
            <w:tcW w:w="971" w:type="dxa"/>
            <w:vAlign w:val="center"/>
          </w:tcPr>
          <w:p w:rsidR="00733394" w:rsidRDefault="001A44BE">
            <w:pPr>
              <w:jc w:val="center"/>
            </w:pPr>
            <w:r>
              <w:rPr>
                <w:color w:val="000000"/>
                <w:sz w:val="24"/>
              </w:rPr>
              <w:t>ROCHE HOLDING AG-GEN</w:t>
            </w:r>
          </w:p>
        </w:tc>
        <w:tc>
          <w:tcPr>
            <w:tcW w:w="993" w:type="dxa"/>
            <w:vAlign w:val="center"/>
          </w:tcPr>
          <w:p w:rsidR="00733394" w:rsidRDefault="001A44BE">
            <w:pPr>
              <w:jc w:val="center"/>
            </w:pPr>
            <w:r>
              <w:rPr>
                <w:color w:val="000000"/>
                <w:sz w:val="24"/>
              </w:rPr>
              <w:t>罗氏</w:t>
            </w:r>
          </w:p>
        </w:tc>
        <w:tc>
          <w:tcPr>
            <w:tcW w:w="725" w:type="dxa"/>
            <w:vAlign w:val="center"/>
          </w:tcPr>
          <w:p w:rsidR="00733394" w:rsidRDefault="001A44BE">
            <w:pPr>
              <w:jc w:val="center"/>
            </w:pPr>
            <w:r>
              <w:rPr>
                <w:color w:val="000000"/>
                <w:sz w:val="24"/>
              </w:rPr>
              <w:t>ROG SW</w:t>
            </w:r>
          </w:p>
        </w:tc>
        <w:tc>
          <w:tcPr>
            <w:tcW w:w="747" w:type="dxa"/>
            <w:vAlign w:val="center"/>
          </w:tcPr>
          <w:p w:rsidR="00733394" w:rsidRDefault="001A44BE">
            <w:pPr>
              <w:jc w:val="center"/>
            </w:pPr>
            <w:r>
              <w:rPr>
                <w:color w:val="000000"/>
                <w:sz w:val="24"/>
              </w:rPr>
              <w:t>瑞士证券交易所</w:t>
            </w:r>
          </w:p>
        </w:tc>
        <w:tc>
          <w:tcPr>
            <w:tcW w:w="975" w:type="dxa"/>
            <w:vAlign w:val="center"/>
          </w:tcPr>
          <w:p w:rsidR="00733394" w:rsidRDefault="001A44BE">
            <w:pPr>
              <w:jc w:val="center"/>
            </w:pPr>
            <w:r>
              <w:rPr>
                <w:color w:val="000000"/>
                <w:sz w:val="24"/>
              </w:rPr>
              <w:t>瑞士</w:t>
            </w:r>
          </w:p>
        </w:tc>
        <w:tc>
          <w:tcPr>
            <w:tcW w:w="1175" w:type="dxa"/>
            <w:vAlign w:val="center"/>
          </w:tcPr>
          <w:p w:rsidR="00733394" w:rsidRDefault="001A44BE">
            <w:pPr>
              <w:jc w:val="right"/>
            </w:pPr>
            <w:r>
              <w:rPr>
                <w:color w:val="000000"/>
                <w:sz w:val="24"/>
              </w:rPr>
              <w:t>1,270</w:t>
            </w:r>
          </w:p>
        </w:tc>
        <w:tc>
          <w:tcPr>
            <w:tcW w:w="975" w:type="dxa"/>
            <w:vAlign w:val="center"/>
          </w:tcPr>
          <w:p w:rsidR="00733394" w:rsidRDefault="001A44BE">
            <w:pPr>
              <w:jc w:val="right"/>
            </w:pPr>
            <w:r>
              <w:rPr>
                <w:color w:val="000000"/>
                <w:sz w:val="24"/>
              </w:rPr>
              <w:t>2,872,661.23</w:t>
            </w:r>
          </w:p>
        </w:tc>
        <w:tc>
          <w:tcPr>
            <w:tcW w:w="1175" w:type="dxa"/>
            <w:vAlign w:val="center"/>
          </w:tcPr>
          <w:p w:rsidR="00733394" w:rsidRDefault="001A44BE">
            <w:pPr>
              <w:jc w:val="right"/>
            </w:pPr>
            <w:r>
              <w:rPr>
                <w:color w:val="000000"/>
                <w:sz w:val="24"/>
              </w:rPr>
              <w:t>2.22</w:t>
            </w:r>
          </w:p>
        </w:tc>
      </w:tr>
      <w:tr w:rsidR="00733394">
        <w:trPr>
          <w:jc w:val="center"/>
        </w:trPr>
        <w:tc>
          <w:tcPr>
            <w:tcW w:w="1243" w:type="dxa"/>
            <w:vAlign w:val="center"/>
          </w:tcPr>
          <w:p w:rsidR="00733394" w:rsidRDefault="001A44BE">
            <w:pPr>
              <w:jc w:val="center"/>
            </w:pPr>
            <w:r>
              <w:rPr>
                <w:color w:val="000000"/>
                <w:sz w:val="24"/>
              </w:rPr>
              <w:t>4</w:t>
            </w:r>
          </w:p>
        </w:tc>
        <w:tc>
          <w:tcPr>
            <w:tcW w:w="971" w:type="dxa"/>
            <w:vAlign w:val="center"/>
          </w:tcPr>
          <w:p w:rsidR="00733394" w:rsidRDefault="001A44BE">
            <w:pPr>
              <w:jc w:val="center"/>
            </w:pPr>
            <w:r>
              <w:rPr>
                <w:color w:val="000000"/>
                <w:sz w:val="24"/>
              </w:rPr>
              <w:t>ASML HOLDING NV</w:t>
            </w:r>
          </w:p>
        </w:tc>
        <w:tc>
          <w:tcPr>
            <w:tcW w:w="993" w:type="dxa"/>
            <w:vAlign w:val="center"/>
          </w:tcPr>
          <w:p w:rsidR="00733394" w:rsidRDefault="001A44BE">
            <w:pPr>
              <w:jc w:val="center"/>
            </w:pPr>
            <w:r>
              <w:rPr>
                <w:color w:val="000000"/>
                <w:sz w:val="24"/>
              </w:rPr>
              <w:t>阿斯麦控股公司</w:t>
            </w:r>
          </w:p>
        </w:tc>
        <w:tc>
          <w:tcPr>
            <w:tcW w:w="725" w:type="dxa"/>
            <w:vAlign w:val="center"/>
          </w:tcPr>
          <w:p w:rsidR="00733394" w:rsidRDefault="001A44BE">
            <w:pPr>
              <w:jc w:val="center"/>
            </w:pPr>
            <w:r>
              <w:rPr>
                <w:color w:val="000000"/>
                <w:sz w:val="24"/>
              </w:rPr>
              <w:t>ASML NA</w:t>
            </w:r>
          </w:p>
        </w:tc>
        <w:tc>
          <w:tcPr>
            <w:tcW w:w="747" w:type="dxa"/>
            <w:vAlign w:val="center"/>
          </w:tcPr>
          <w:p w:rsidR="00733394" w:rsidRDefault="001A44BE">
            <w:pPr>
              <w:jc w:val="center"/>
            </w:pPr>
            <w:r>
              <w:rPr>
                <w:color w:val="000000"/>
                <w:sz w:val="24"/>
              </w:rPr>
              <w:t>荷兰证券交易所</w:t>
            </w:r>
          </w:p>
        </w:tc>
        <w:tc>
          <w:tcPr>
            <w:tcW w:w="975" w:type="dxa"/>
            <w:vAlign w:val="center"/>
          </w:tcPr>
          <w:p w:rsidR="00733394" w:rsidRDefault="001A44BE">
            <w:pPr>
              <w:jc w:val="center"/>
            </w:pPr>
            <w:r>
              <w:rPr>
                <w:color w:val="000000"/>
                <w:sz w:val="24"/>
              </w:rPr>
              <w:t>荷兰</w:t>
            </w:r>
          </w:p>
        </w:tc>
        <w:tc>
          <w:tcPr>
            <w:tcW w:w="1175" w:type="dxa"/>
            <w:vAlign w:val="center"/>
          </w:tcPr>
          <w:p w:rsidR="00733394" w:rsidRDefault="001A44BE">
            <w:pPr>
              <w:jc w:val="right"/>
            </w:pPr>
            <w:r>
              <w:rPr>
                <w:color w:val="000000"/>
                <w:sz w:val="24"/>
              </w:rPr>
              <w:t>1,372</w:t>
            </w:r>
          </w:p>
        </w:tc>
        <w:tc>
          <w:tcPr>
            <w:tcW w:w="975" w:type="dxa"/>
            <w:vAlign w:val="center"/>
          </w:tcPr>
          <w:p w:rsidR="00733394" w:rsidRDefault="001A44BE">
            <w:pPr>
              <w:jc w:val="right"/>
            </w:pPr>
            <w:r>
              <w:rPr>
                <w:color w:val="000000"/>
                <w:sz w:val="24"/>
              </w:rPr>
              <w:t>2,833,149.64</w:t>
            </w:r>
          </w:p>
        </w:tc>
        <w:tc>
          <w:tcPr>
            <w:tcW w:w="1175" w:type="dxa"/>
            <w:vAlign w:val="center"/>
          </w:tcPr>
          <w:p w:rsidR="00733394" w:rsidRDefault="001A44BE">
            <w:pPr>
              <w:jc w:val="right"/>
            </w:pPr>
            <w:r>
              <w:rPr>
                <w:color w:val="000000"/>
                <w:sz w:val="24"/>
              </w:rPr>
              <w:t>2.19</w:t>
            </w:r>
          </w:p>
        </w:tc>
      </w:tr>
      <w:tr w:rsidR="00733394">
        <w:trPr>
          <w:jc w:val="center"/>
        </w:trPr>
        <w:tc>
          <w:tcPr>
            <w:tcW w:w="1243" w:type="dxa"/>
            <w:vAlign w:val="center"/>
          </w:tcPr>
          <w:p w:rsidR="00733394" w:rsidRDefault="001A44BE">
            <w:pPr>
              <w:jc w:val="center"/>
            </w:pPr>
            <w:r>
              <w:rPr>
                <w:color w:val="000000"/>
                <w:sz w:val="24"/>
              </w:rPr>
              <w:t>5</w:t>
            </w:r>
          </w:p>
        </w:tc>
        <w:tc>
          <w:tcPr>
            <w:tcW w:w="971" w:type="dxa"/>
            <w:vAlign w:val="center"/>
          </w:tcPr>
          <w:p w:rsidR="00733394" w:rsidRDefault="001A44BE">
            <w:pPr>
              <w:jc w:val="center"/>
            </w:pPr>
            <w:r>
              <w:rPr>
                <w:color w:val="000000"/>
                <w:sz w:val="24"/>
              </w:rPr>
              <w:t>AMAZON.COM INC</w:t>
            </w:r>
          </w:p>
        </w:tc>
        <w:tc>
          <w:tcPr>
            <w:tcW w:w="993" w:type="dxa"/>
            <w:vAlign w:val="center"/>
          </w:tcPr>
          <w:p w:rsidR="00733394" w:rsidRDefault="001A44BE">
            <w:pPr>
              <w:jc w:val="center"/>
            </w:pPr>
            <w:r>
              <w:rPr>
                <w:color w:val="000000"/>
                <w:sz w:val="24"/>
              </w:rPr>
              <w:t>亚马逊公司</w:t>
            </w:r>
          </w:p>
        </w:tc>
        <w:tc>
          <w:tcPr>
            <w:tcW w:w="725" w:type="dxa"/>
            <w:vAlign w:val="center"/>
          </w:tcPr>
          <w:p w:rsidR="00733394" w:rsidRDefault="001A44BE">
            <w:pPr>
              <w:jc w:val="center"/>
            </w:pPr>
            <w:r>
              <w:rPr>
                <w:color w:val="000000"/>
                <w:sz w:val="24"/>
              </w:rPr>
              <w:t>AMZN</w:t>
            </w:r>
            <w:r>
              <w:rPr>
                <w:color w:val="000000"/>
                <w:sz w:val="24"/>
              </w:rPr>
              <w:t xml:space="preserve">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212</w:t>
            </w:r>
          </w:p>
        </w:tc>
        <w:tc>
          <w:tcPr>
            <w:tcW w:w="975" w:type="dxa"/>
            <w:vAlign w:val="center"/>
          </w:tcPr>
          <w:p w:rsidR="00733394" w:rsidRDefault="001A44BE">
            <w:pPr>
              <w:jc w:val="right"/>
            </w:pPr>
            <w:r>
              <w:rPr>
                <w:color w:val="000000"/>
                <w:sz w:val="24"/>
              </w:rPr>
              <w:t>2,732,871.10</w:t>
            </w:r>
          </w:p>
        </w:tc>
        <w:tc>
          <w:tcPr>
            <w:tcW w:w="1175" w:type="dxa"/>
            <w:vAlign w:val="center"/>
          </w:tcPr>
          <w:p w:rsidR="00733394" w:rsidRDefault="001A44BE">
            <w:pPr>
              <w:jc w:val="right"/>
            </w:pPr>
            <w:r>
              <w:rPr>
                <w:color w:val="000000"/>
                <w:sz w:val="24"/>
              </w:rPr>
              <w:t>2.11</w:t>
            </w:r>
          </w:p>
        </w:tc>
      </w:tr>
      <w:tr w:rsidR="00733394">
        <w:trPr>
          <w:jc w:val="center"/>
        </w:trPr>
        <w:tc>
          <w:tcPr>
            <w:tcW w:w="1243" w:type="dxa"/>
            <w:vAlign w:val="center"/>
          </w:tcPr>
          <w:p w:rsidR="00733394" w:rsidRDefault="001A44BE">
            <w:pPr>
              <w:jc w:val="center"/>
            </w:pPr>
            <w:r>
              <w:rPr>
                <w:color w:val="000000"/>
                <w:sz w:val="24"/>
              </w:rPr>
              <w:t>6</w:t>
            </w:r>
          </w:p>
        </w:tc>
        <w:tc>
          <w:tcPr>
            <w:tcW w:w="971" w:type="dxa"/>
            <w:vAlign w:val="center"/>
          </w:tcPr>
          <w:p w:rsidR="00733394" w:rsidRDefault="001A44BE">
            <w:pPr>
              <w:jc w:val="center"/>
            </w:pPr>
            <w:r>
              <w:rPr>
                <w:color w:val="000000"/>
                <w:sz w:val="24"/>
              </w:rPr>
              <w:t>TOTAL SA</w:t>
            </w:r>
          </w:p>
        </w:tc>
        <w:tc>
          <w:tcPr>
            <w:tcW w:w="993" w:type="dxa"/>
            <w:vAlign w:val="center"/>
          </w:tcPr>
          <w:p w:rsidR="00733394" w:rsidRDefault="001A44BE">
            <w:pPr>
              <w:jc w:val="center"/>
            </w:pPr>
            <w:r>
              <w:rPr>
                <w:color w:val="000000"/>
                <w:sz w:val="24"/>
              </w:rPr>
              <w:t>道达尔</w:t>
            </w:r>
          </w:p>
        </w:tc>
        <w:tc>
          <w:tcPr>
            <w:tcW w:w="725" w:type="dxa"/>
            <w:vAlign w:val="center"/>
          </w:tcPr>
          <w:p w:rsidR="00733394" w:rsidRDefault="001A44BE">
            <w:pPr>
              <w:jc w:val="center"/>
            </w:pPr>
            <w:r>
              <w:rPr>
                <w:color w:val="000000"/>
                <w:sz w:val="24"/>
              </w:rPr>
              <w:t xml:space="preserve">FP </w:t>
            </w:r>
            <w:proofErr w:type="spellStart"/>
            <w:r>
              <w:rPr>
                <w:color w:val="000000"/>
                <w:sz w:val="24"/>
              </w:rPr>
              <w:t>FP</w:t>
            </w:r>
            <w:proofErr w:type="spellEnd"/>
          </w:p>
        </w:tc>
        <w:tc>
          <w:tcPr>
            <w:tcW w:w="747" w:type="dxa"/>
            <w:vAlign w:val="center"/>
          </w:tcPr>
          <w:p w:rsidR="00733394" w:rsidRDefault="001A44BE">
            <w:pPr>
              <w:jc w:val="center"/>
            </w:pPr>
            <w:r>
              <w:rPr>
                <w:color w:val="000000"/>
                <w:sz w:val="24"/>
              </w:rPr>
              <w:t>法国证券交易所</w:t>
            </w:r>
          </w:p>
        </w:tc>
        <w:tc>
          <w:tcPr>
            <w:tcW w:w="975" w:type="dxa"/>
            <w:vAlign w:val="center"/>
          </w:tcPr>
          <w:p w:rsidR="00733394" w:rsidRDefault="001A44BE">
            <w:pPr>
              <w:jc w:val="center"/>
            </w:pPr>
            <w:r>
              <w:rPr>
                <w:color w:val="000000"/>
                <w:sz w:val="24"/>
              </w:rPr>
              <w:t>法国</w:t>
            </w:r>
          </w:p>
        </w:tc>
        <w:tc>
          <w:tcPr>
            <w:tcW w:w="1175" w:type="dxa"/>
            <w:vAlign w:val="center"/>
          </w:tcPr>
          <w:p w:rsidR="00733394" w:rsidRDefault="001A44BE">
            <w:pPr>
              <w:jc w:val="right"/>
            </w:pPr>
            <w:r>
              <w:rPr>
                <w:color w:val="000000"/>
                <w:sz w:val="24"/>
              </w:rPr>
              <w:t>6,852</w:t>
            </w:r>
          </w:p>
        </w:tc>
        <w:tc>
          <w:tcPr>
            <w:tcW w:w="975" w:type="dxa"/>
            <w:vAlign w:val="center"/>
          </w:tcPr>
          <w:p w:rsidR="00733394" w:rsidRDefault="001A44BE">
            <w:pPr>
              <w:jc w:val="right"/>
            </w:pPr>
            <w:r>
              <w:rPr>
                <w:color w:val="000000"/>
                <w:sz w:val="24"/>
              </w:rPr>
              <w:t>2,639,901.54</w:t>
            </w:r>
          </w:p>
        </w:tc>
        <w:tc>
          <w:tcPr>
            <w:tcW w:w="1175" w:type="dxa"/>
            <w:vAlign w:val="center"/>
          </w:tcPr>
          <w:p w:rsidR="00733394" w:rsidRDefault="001A44BE">
            <w:pPr>
              <w:jc w:val="right"/>
            </w:pPr>
            <w:r>
              <w:rPr>
                <w:color w:val="000000"/>
                <w:sz w:val="24"/>
              </w:rPr>
              <w:t>2.04</w:t>
            </w:r>
          </w:p>
        </w:tc>
      </w:tr>
      <w:tr w:rsidR="00733394">
        <w:trPr>
          <w:jc w:val="center"/>
        </w:trPr>
        <w:tc>
          <w:tcPr>
            <w:tcW w:w="1243" w:type="dxa"/>
            <w:vAlign w:val="center"/>
          </w:tcPr>
          <w:p w:rsidR="00733394" w:rsidRDefault="001A44BE">
            <w:pPr>
              <w:jc w:val="center"/>
            </w:pPr>
            <w:r>
              <w:rPr>
                <w:color w:val="000000"/>
                <w:sz w:val="24"/>
              </w:rPr>
              <w:t>7</w:t>
            </w:r>
          </w:p>
        </w:tc>
        <w:tc>
          <w:tcPr>
            <w:tcW w:w="971" w:type="dxa"/>
            <w:vAlign w:val="center"/>
          </w:tcPr>
          <w:p w:rsidR="00733394" w:rsidRDefault="001A44BE">
            <w:pPr>
              <w:jc w:val="center"/>
            </w:pPr>
            <w:r>
              <w:rPr>
                <w:color w:val="000000"/>
                <w:sz w:val="24"/>
              </w:rPr>
              <w:t>NESTLE SA-REG</w:t>
            </w:r>
          </w:p>
        </w:tc>
        <w:tc>
          <w:tcPr>
            <w:tcW w:w="993" w:type="dxa"/>
            <w:vAlign w:val="center"/>
          </w:tcPr>
          <w:p w:rsidR="00733394" w:rsidRDefault="001A44BE">
            <w:pPr>
              <w:jc w:val="center"/>
            </w:pPr>
            <w:r>
              <w:rPr>
                <w:color w:val="000000"/>
                <w:sz w:val="24"/>
              </w:rPr>
              <w:t>雀巢</w:t>
            </w:r>
          </w:p>
        </w:tc>
        <w:tc>
          <w:tcPr>
            <w:tcW w:w="725" w:type="dxa"/>
            <w:vAlign w:val="center"/>
          </w:tcPr>
          <w:p w:rsidR="00733394" w:rsidRDefault="001A44BE">
            <w:pPr>
              <w:jc w:val="center"/>
            </w:pPr>
            <w:r>
              <w:rPr>
                <w:color w:val="000000"/>
                <w:sz w:val="24"/>
              </w:rPr>
              <w:t>NESN SW</w:t>
            </w:r>
          </w:p>
        </w:tc>
        <w:tc>
          <w:tcPr>
            <w:tcW w:w="747" w:type="dxa"/>
            <w:vAlign w:val="center"/>
          </w:tcPr>
          <w:p w:rsidR="00733394" w:rsidRDefault="001A44BE">
            <w:pPr>
              <w:jc w:val="center"/>
            </w:pPr>
            <w:r>
              <w:rPr>
                <w:color w:val="000000"/>
                <w:sz w:val="24"/>
              </w:rPr>
              <w:t>瑞士证券交易所</w:t>
            </w:r>
          </w:p>
        </w:tc>
        <w:tc>
          <w:tcPr>
            <w:tcW w:w="975" w:type="dxa"/>
            <w:vAlign w:val="center"/>
          </w:tcPr>
          <w:p w:rsidR="00733394" w:rsidRDefault="001A44BE">
            <w:pPr>
              <w:jc w:val="center"/>
            </w:pPr>
            <w:r>
              <w:rPr>
                <w:color w:val="000000"/>
                <w:sz w:val="24"/>
              </w:rPr>
              <w:t>瑞士</w:t>
            </w:r>
          </w:p>
        </w:tc>
        <w:tc>
          <w:tcPr>
            <w:tcW w:w="1175" w:type="dxa"/>
            <w:vAlign w:val="center"/>
          </w:tcPr>
          <w:p w:rsidR="00733394" w:rsidRDefault="001A44BE">
            <w:pPr>
              <w:jc w:val="right"/>
            </w:pPr>
            <w:r>
              <w:rPr>
                <w:color w:val="000000"/>
                <w:sz w:val="24"/>
              </w:rPr>
              <w:t>3,486</w:t>
            </w:r>
          </w:p>
        </w:tc>
        <w:tc>
          <w:tcPr>
            <w:tcW w:w="975" w:type="dxa"/>
            <w:vAlign w:val="center"/>
          </w:tcPr>
          <w:p w:rsidR="00733394" w:rsidRDefault="001A44BE">
            <w:pPr>
              <w:jc w:val="right"/>
            </w:pPr>
            <w:r>
              <w:rPr>
                <w:color w:val="000000"/>
                <w:sz w:val="24"/>
              </w:rPr>
              <w:t>2,631,217.93</w:t>
            </w:r>
          </w:p>
        </w:tc>
        <w:tc>
          <w:tcPr>
            <w:tcW w:w="1175" w:type="dxa"/>
            <w:vAlign w:val="center"/>
          </w:tcPr>
          <w:p w:rsidR="00733394" w:rsidRDefault="001A44BE">
            <w:pPr>
              <w:jc w:val="right"/>
            </w:pPr>
            <w:r>
              <w:rPr>
                <w:color w:val="000000"/>
                <w:sz w:val="24"/>
              </w:rPr>
              <w:t>2.03</w:t>
            </w:r>
          </w:p>
        </w:tc>
      </w:tr>
      <w:tr w:rsidR="00733394">
        <w:trPr>
          <w:jc w:val="center"/>
        </w:trPr>
        <w:tc>
          <w:tcPr>
            <w:tcW w:w="1243" w:type="dxa"/>
            <w:vAlign w:val="center"/>
          </w:tcPr>
          <w:p w:rsidR="00733394" w:rsidRDefault="001A44BE">
            <w:pPr>
              <w:jc w:val="center"/>
            </w:pPr>
            <w:r>
              <w:rPr>
                <w:color w:val="000000"/>
                <w:sz w:val="24"/>
              </w:rPr>
              <w:t>8</w:t>
            </w:r>
          </w:p>
        </w:tc>
        <w:tc>
          <w:tcPr>
            <w:tcW w:w="971" w:type="dxa"/>
            <w:vAlign w:val="center"/>
          </w:tcPr>
          <w:p w:rsidR="00733394" w:rsidRDefault="001A44BE">
            <w:pPr>
              <w:jc w:val="center"/>
            </w:pPr>
            <w:r>
              <w:rPr>
                <w:color w:val="000000"/>
                <w:sz w:val="24"/>
              </w:rPr>
              <w:t>JPMORGAN CHASE &amp; CO</w:t>
            </w:r>
          </w:p>
        </w:tc>
        <w:tc>
          <w:tcPr>
            <w:tcW w:w="993" w:type="dxa"/>
            <w:vAlign w:val="center"/>
          </w:tcPr>
          <w:p w:rsidR="00733394" w:rsidRDefault="001A44BE">
            <w:pPr>
              <w:jc w:val="center"/>
            </w:pPr>
            <w:r>
              <w:rPr>
                <w:color w:val="000000"/>
                <w:sz w:val="24"/>
              </w:rPr>
              <w:t>摩根大通</w:t>
            </w:r>
          </w:p>
        </w:tc>
        <w:tc>
          <w:tcPr>
            <w:tcW w:w="725" w:type="dxa"/>
            <w:vAlign w:val="center"/>
          </w:tcPr>
          <w:p w:rsidR="00733394" w:rsidRDefault="001A44BE">
            <w:pPr>
              <w:jc w:val="center"/>
            </w:pPr>
            <w:r>
              <w:rPr>
                <w:color w:val="000000"/>
                <w:sz w:val="24"/>
              </w:rPr>
              <w:t>JPM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2,697</w:t>
            </w:r>
          </w:p>
        </w:tc>
        <w:tc>
          <w:tcPr>
            <w:tcW w:w="975" w:type="dxa"/>
            <w:vAlign w:val="center"/>
          </w:tcPr>
          <w:p w:rsidR="00733394" w:rsidRDefault="001A44BE">
            <w:pPr>
              <w:jc w:val="right"/>
            </w:pPr>
            <w:r>
              <w:rPr>
                <w:color w:val="000000"/>
                <w:sz w:val="24"/>
              </w:rPr>
              <w:t>2,622,784.71</w:t>
            </w:r>
          </w:p>
        </w:tc>
        <w:tc>
          <w:tcPr>
            <w:tcW w:w="1175" w:type="dxa"/>
            <w:vAlign w:val="center"/>
          </w:tcPr>
          <w:p w:rsidR="00733394" w:rsidRDefault="001A44BE">
            <w:pPr>
              <w:jc w:val="right"/>
            </w:pPr>
            <w:r>
              <w:rPr>
                <w:color w:val="000000"/>
                <w:sz w:val="24"/>
              </w:rPr>
              <w:t>2.03</w:t>
            </w:r>
          </w:p>
        </w:tc>
      </w:tr>
      <w:tr w:rsidR="00733394">
        <w:trPr>
          <w:jc w:val="center"/>
        </w:trPr>
        <w:tc>
          <w:tcPr>
            <w:tcW w:w="1243" w:type="dxa"/>
            <w:vAlign w:val="center"/>
          </w:tcPr>
          <w:p w:rsidR="00733394" w:rsidRDefault="001A44BE">
            <w:pPr>
              <w:jc w:val="center"/>
            </w:pPr>
            <w:r>
              <w:rPr>
                <w:color w:val="000000"/>
                <w:sz w:val="24"/>
              </w:rPr>
              <w:t>9</w:t>
            </w:r>
          </w:p>
        </w:tc>
        <w:tc>
          <w:tcPr>
            <w:tcW w:w="971" w:type="dxa"/>
            <w:vAlign w:val="center"/>
          </w:tcPr>
          <w:p w:rsidR="00733394" w:rsidRDefault="001A44BE">
            <w:pPr>
              <w:jc w:val="center"/>
            </w:pPr>
            <w:r>
              <w:rPr>
                <w:color w:val="000000"/>
                <w:sz w:val="24"/>
              </w:rPr>
              <w:t>COMCAST CORP-CL A</w:t>
            </w:r>
          </w:p>
        </w:tc>
        <w:tc>
          <w:tcPr>
            <w:tcW w:w="993" w:type="dxa"/>
            <w:vAlign w:val="center"/>
          </w:tcPr>
          <w:p w:rsidR="00733394" w:rsidRDefault="001A44BE">
            <w:pPr>
              <w:jc w:val="center"/>
            </w:pPr>
            <w:r>
              <w:rPr>
                <w:color w:val="000000"/>
                <w:sz w:val="24"/>
              </w:rPr>
              <w:t>康卡斯特</w:t>
            </w:r>
          </w:p>
        </w:tc>
        <w:tc>
          <w:tcPr>
            <w:tcW w:w="725" w:type="dxa"/>
            <w:vAlign w:val="center"/>
          </w:tcPr>
          <w:p w:rsidR="00733394" w:rsidRDefault="001A44BE">
            <w:pPr>
              <w:jc w:val="center"/>
            </w:pPr>
            <w:r>
              <w:rPr>
                <w:color w:val="000000"/>
                <w:sz w:val="24"/>
              </w:rPr>
              <w:t>CMCSA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8,340</w:t>
            </w:r>
          </w:p>
        </w:tc>
        <w:tc>
          <w:tcPr>
            <w:tcW w:w="975" w:type="dxa"/>
            <w:vAlign w:val="center"/>
          </w:tcPr>
          <w:p w:rsidR="00733394" w:rsidRDefault="001A44BE">
            <w:pPr>
              <w:jc w:val="right"/>
            </w:pPr>
            <w:r>
              <w:rPr>
                <w:color w:val="000000"/>
                <w:sz w:val="24"/>
              </w:rPr>
              <w:t>2,616,422.41</w:t>
            </w:r>
          </w:p>
        </w:tc>
        <w:tc>
          <w:tcPr>
            <w:tcW w:w="1175" w:type="dxa"/>
            <w:vAlign w:val="center"/>
          </w:tcPr>
          <w:p w:rsidR="00733394" w:rsidRDefault="001A44BE">
            <w:pPr>
              <w:jc w:val="right"/>
            </w:pPr>
            <w:r>
              <w:rPr>
                <w:color w:val="000000"/>
                <w:sz w:val="24"/>
              </w:rPr>
              <w:t>2.02</w:t>
            </w:r>
          </w:p>
        </w:tc>
      </w:tr>
      <w:tr w:rsidR="00733394">
        <w:trPr>
          <w:jc w:val="center"/>
        </w:trPr>
        <w:tc>
          <w:tcPr>
            <w:tcW w:w="1243" w:type="dxa"/>
            <w:vAlign w:val="center"/>
          </w:tcPr>
          <w:p w:rsidR="00733394" w:rsidRDefault="001A44BE">
            <w:pPr>
              <w:jc w:val="center"/>
            </w:pPr>
            <w:r>
              <w:rPr>
                <w:color w:val="000000"/>
                <w:sz w:val="24"/>
              </w:rPr>
              <w:t>10</w:t>
            </w:r>
          </w:p>
        </w:tc>
        <w:tc>
          <w:tcPr>
            <w:tcW w:w="971" w:type="dxa"/>
            <w:vAlign w:val="center"/>
          </w:tcPr>
          <w:p w:rsidR="00733394" w:rsidRDefault="001A44BE">
            <w:pPr>
              <w:jc w:val="center"/>
            </w:pPr>
            <w:r>
              <w:rPr>
                <w:color w:val="000000"/>
                <w:sz w:val="24"/>
              </w:rPr>
              <w:t xml:space="preserve">Facebook </w:t>
            </w:r>
            <w:proofErr w:type="spellStart"/>
            <w:r>
              <w:rPr>
                <w:color w:val="000000"/>
                <w:sz w:val="24"/>
              </w:rPr>
              <w:t>Inc</w:t>
            </w:r>
            <w:proofErr w:type="spellEnd"/>
          </w:p>
        </w:tc>
        <w:tc>
          <w:tcPr>
            <w:tcW w:w="993" w:type="dxa"/>
            <w:vAlign w:val="center"/>
          </w:tcPr>
          <w:p w:rsidR="00733394" w:rsidRDefault="001A44BE" w:rsidP="007A607A">
            <w:pPr>
              <w:jc w:val="center"/>
            </w:pPr>
            <w:proofErr w:type="gramStart"/>
            <w:r>
              <w:rPr>
                <w:rFonts w:hint="eastAsia"/>
                <w:color w:val="000000"/>
                <w:sz w:val="24"/>
              </w:rPr>
              <w:t>脸</w:t>
            </w:r>
            <w:r w:rsidR="007A607A">
              <w:rPr>
                <w:rFonts w:hint="eastAsia"/>
                <w:color w:val="000000"/>
                <w:sz w:val="24"/>
              </w:rPr>
              <w:t>书</w:t>
            </w:r>
            <w:proofErr w:type="gramEnd"/>
          </w:p>
        </w:tc>
        <w:tc>
          <w:tcPr>
            <w:tcW w:w="725" w:type="dxa"/>
            <w:vAlign w:val="center"/>
          </w:tcPr>
          <w:p w:rsidR="00733394" w:rsidRDefault="001A44BE">
            <w:pPr>
              <w:jc w:val="center"/>
            </w:pPr>
            <w:r>
              <w:rPr>
                <w:color w:val="000000"/>
                <w:sz w:val="24"/>
              </w:rPr>
              <w:t>F</w:t>
            </w:r>
            <w:r>
              <w:rPr>
                <w:color w:val="000000"/>
                <w:sz w:val="24"/>
              </w:rPr>
              <w:t>B US</w:t>
            </w:r>
          </w:p>
        </w:tc>
        <w:tc>
          <w:tcPr>
            <w:tcW w:w="747" w:type="dxa"/>
            <w:vAlign w:val="center"/>
          </w:tcPr>
          <w:p w:rsidR="00733394" w:rsidRDefault="001A44BE">
            <w:pPr>
              <w:jc w:val="center"/>
            </w:pPr>
            <w:r>
              <w:rPr>
                <w:color w:val="000000"/>
                <w:sz w:val="24"/>
              </w:rPr>
              <w:t>美国证券交易所</w:t>
            </w:r>
          </w:p>
        </w:tc>
        <w:tc>
          <w:tcPr>
            <w:tcW w:w="975" w:type="dxa"/>
            <w:vAlign w:val="center"/>
          </w:tcPr>
          <w:p w:rsidR="00733394" w:rsidRDefault="001A44BE">
            <w:pPr>
              <w:jc w:val="center"/>
            </w:pPr>
            <w:r>
              <w:rPr>
                <w:color w:val="000000"/>
                <w:sz w:val="24"/>
              </w:rPr>
              <w:t>美国</w:t>
            </w:r>
          </w:p>
        </w:tc>
        <w:tc>
          <w:tcPr>
            <w:tcW w:w="1175" w:type="dxa"/>
            <w:vAlign w:val="center"/>
          </w:tcPr>
          <w:p w:rsidR="00733394" w:rsidRDefault="001A44BE">
            <w:pPr>
              <w:jc w:val="right"/>
            </w:pPr>
            <w:r>
              <w:rPr>
                <w:color w:val="000000"/>
                <w:sz w:val="24"/>
              </w:rPr>
              <w:t>1,825</w:t>
            </w:r>
          </w:p>
        </w:tc>
        <w:tc>
          <w:tcPr>
            <w:tcW w:w="975" w:type="dxa"/>
            <w:vAlign w:val="center"/>
          </w:tcPr>
          <w:p w:rsidR="00733394" w:rsidRDefault="001A44BE">
            <w:pPr>
              <w:jc w:val="right"/>
            </w:pPr>
            <w:r>
              <w:rPr>
                <w:color w:val="000000"/>
                <w:sz w:val="24"/>
              </w:rPr>
              <w:t>2,613,153.72</w:t>
            </w:r>
          </w:p>
        </w:tc>
        <w:tc>
          <w:tcPr>
            <w:tcW w:w="1175" w:type="dxa"/>
            <w:vAlign w:val="center"/>
          </w:tcPr>
          <w:p w:rsidR="00733394" w:rsidRDefault="001A44BE">
            <w:pPr>
              <w:jc w:val="right"/>
            </w:pPr>
            <w:r>
              <w:rPr>
                <w:color w:val="000000"/>
                <w:sz w:val="24"/>
              </w:rPr>
              <w:t>2.02</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bookmarkStart w:id="0" w:name="_GoBack"/>
      <w:bookmarkEnd w:id="0"/>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090DB5">
          <w:rPr>
            <w:b/>
            <w:color w:val="000000"/>
            <w:kern w:val="0"/>
            <w:sz w:val="24"/>
          </w:rPr>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R="00B93C3A" w:rsidRPr="008640AE" w:rsidRDefault="00B93C3A" w:rsidP="00B93C3A">
      <w:pPr>
        <w:autoSpaceDE w:val="0"/>
        <w:autoSpaceDN w:val="0"/>
        <w:adjustRightInd w:val="0"/>
        <w:spacing w:before="29" w:line="288" w:lineRule="auto"/>
        <w:jc w:val="right"/>
        <w:rPr>
          <w:color w:val="000000"/>
          <w:kern w:val="0"/>
          <w:sz w:val="24"/>
        </w:rPr>
      </w:pPr>
      <w:r w:rsidRPr="00B93C3A">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78,840.93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1,066.53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403,068.98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482,976.44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90DB5">
          <w:rPr>
            <w:b/>
            <w:color w:val="000000"/>
            <w:kern w:val="0"/>
            <w:sz w:val="24"/>
          </w:rPr>
          <w:t>5.10.5</w:t>
        </w:r>
      </w:smartTag>
      <w:r w:rsidRPr="00090DB5">
        <w:rPr>
          <w:b/>
          <w:color w:val="000000"/>
          <w:kern w:val="0"/>
          <w:sz w:val="24"/>
        </w:rPr>
        <w:t>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5.10.6</w:t>
      </w:r>
      <w:r w:rsidR="001C46E1" w:rsidRPr="00090DB5">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60,346,524.38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3,910,747.81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4,243,440.53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60,013,831.66</w:t>
            </w:r>
          </w:p>
        </w:tc>
      </w:tr>
    </w:tbl>
    <w:p w:rsidR="00733394" w:rsidRDefault="001A44B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w:t>
      </w:r>
      <w:r w:rsidRPr="008640AE">
        <w:rPr>
          <w:color w:val="000000"/>
          <w:sz w:val="24"/>
        </w:rPr>
        <w:t>27,024,464.49</w:t>
      </w:r>
      <w:r w:rsidRPr="008640AE">
        <w:rPr>
          <w:color w:val="000000"/>
          <w:sz w:val="24"/>
        </w:rPr>
        <w:t>份，占本基金期末总份额的</w:t>
      </w:r>
      <w:r w:rsidRPr="008640AE">
        <w:rPr>
          <w:color w:val="000000"/>
          <w:sz w:val="24"/>
        </w:rPr>
        <w:t>45.03%</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33394">
        <w:tc>
          <w:tcPr>
            <w:tcW w:w="992" w:type="dxa"/>
            <w:vMerge w:val="restart"/>
          </w:tcPr>
          <w:p w:rsidR="00733394" w:rsidRDefault="00733394"/>
          <w:p w:rsidR="00733394" w:rsidRDefault="001A44BE">
            <w:r>
              <w:rPr>
                <w:rFonts w:ascii="宋体" w:hAnsi="宋体" w:hint="eastAsia"/>
                <w:bCs/>
                <w:color w:val="000000"/>
                <w:kern w:val="0"/>
                <w:szCs w:val="21"/>
              </w:rPr>
              <w:t>机构</w:t>
            </w:r>
          </w:p>
        </w:tc>
        <w:tc>
          <w:tcPr>
            <w:tcW w:w="991" w:type="dxa"/>
            <w:vAlign w:val="center"/>
          </w:tcPr>
          <w:p w:rsidR="00733394" w:rsidRDefault="001A44BE">
            <w:pPr>
              <w:jc w:val="center"/>
            </w:pPr>
            <w:r>
              <w:rPr>
                <w:rFonts w:ascii="宋体" w:hAnsi="宋体" w:hint="eastAsia"/>
                <w:color w:val="000000"/>
                <w:kern w:val="0"/>
                <w:szCs w:val="21"/>
              </w:rPr>
              <w:t>1</w:t>
            </w:r>
          </w:p>
        </w:tc>
        <w:tc>
          <w:tcPr>
            <w:tcW w:w="1843" w:type="dxa"/>
            <w:vAlign w:val="center"/>
          </w:tcPr>
          <w:p w:rsidR="00733394" w:rsidRDefault="001A44BE">
            <w:pPr>
              <w:jc w:val="center"/>
            </w:pPr>
            <w:r>
              <w:rPr>
                <w:rFonts w:ascii="宋体" w:hAnsi="宋体" w:hint="eastAsia"/>
                <w:color w:val="000000"/>
                <w:kern w:val="0"/>
                <w:szCs w:val="21"/>
              </w:rPr>
              <w:t>2019/10/1-2019/12/31</w:t>
            </w:r>
          </w:p>
        </w:tc>
        <w:tc>
          <w:tcPr>
            <w:tcW w:w="851" w:type="dxa"/>
            <w:vAlign w:val="center"/>
          </w:tcPr>
          <w:p w:rsidR="00733394" w:rsidRDefault="001A44BE">
            <w:pPr>
              <w:jc w:val="center"/>
            </w:pPr>
            <w:r>
              <w:rPr>
                <w:rFonts w:ascii="宋体" w:hAnsi="宋体" w:hint="eastAsia"/>
                <w:color w:val="000000"/>
                <w:kern w:val="0"/>
                <w:szCs w:val="21"/>
              </w:rPr>
              <w:t>27,024,464.49</w:t>
            </w:r>
          </w:p>
        </w:tc>
        <w:tc>
          <w:tcPr>
            <w:tcW w:w="850" w:type="dxa"/>
            <w:vAlign w:val="center"/>
          </w:tcPr>
          <w:p w:rsidR="00733394" w:rsidRDefault="001A44BE">
            <w:pPr>
              <w:jc w:val="center"/>
            </w:pPr>
            <w:r>
              <w:rPr>
                <w:rFonts w:ascii="宋体" w:hAnsi="宋体" w:hint="eastAsia"/>
                <w:color w:val="000000"/>
                <w:kern w:val="0"/>
                <w:szCs w:val="21"/>
              </w:rPr>
              <w:t>-</w:t>
            </w:r>
          </w:p>
        </w:tc>
        <w:tc>
          <w:tcPr>
            <w:tcW w:w="1134" w:type="dxa"/>
            <w:vAlign w:val="center"/>
          </w:tcPr>
          <w:p w:rsidR="00733394" w:rsidRDefault="001A44BE">
            <w:pPr>
              <w:jc w:val="center"/>
            </w:pPr>
            <w:r>
              <w:rPr>
                <w:rFonts w:ascii="宋体" w:hAnsi="宋体" w:hint="eastAsia"/>
                <w:color w:val="000000"/>
                <w:kern w:val="0"/>
                <w:szCs w:val="21"/>
              </w:rPr>
              <w:t>-</w:t>
            </w:r>
          </w:p>
        </w:tc>
        <w:tc>
          <w:tcPr>
            <w:tcW w:w="1419" w:type="dxa"/>
            <w:vAlign w:val="center"/>
          </w:tcPr>
          <w:p w:rsidR="00733394" w:rsidRDefault="001A44BE">
            <w:pPr>
              <w:jc w:val="center"/>
            </w:pPr>
            <w:r>
              <w:rPr>
                <w:rFonts w:ascii="宋体" w:hAnsi="宋体" w:hint="eastAsia"/>
                <w:color w:val="000000"/>
                <w:kern w:val="0"/>
                <w:szCs w:val="21"/>
              </w:rPr>
              <w:t>27,024,464.49</w:t>
            </w:r>
          </w:p>
        </w:tc>
        <w:tc>
          <w:tcPr>
            <w:tcW w:w="1130" w:type="dxa"/>
            <w:vAlign w:val="center"/>
          </w:tcPr>
          <w:p w:rsidR="00733394" w:rsidRDefault="001A44BE">
            <w:pPr>
              <w:jc w:val="center"/>
            </w:pPr>
            <w:r>
              <w:rPr>
                <w:rFonts w:ascii="宋体" w:hAnsi="宋体" w:hint="eastAsia"/>
                <w:color w:val="000000"/>
                <w:kern w:val="0"/>
                <w:szCs w:val="21"/>
              </w:rPr>
              <w:t>45.03%</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ED3DCF" w:rsidRDefault="00ED3DCF" w:rsidP="00ED3DCF">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CF0249" w:rsidRPr="008640AE" w:rsidRDefault="00CF0249"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733394" w:rsidRDefault="001A44BE">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733394" w:rsidRDefault="001A44BE">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733394" w:rsidRDefault="001A44BE">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733394" w:rsidRDefault="001A44BE">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733394" w:rsidRDefault="001A44B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33394" w:rsidRDefault="001A44B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733394" w:rsidRDefault="001A44B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1A" w:rsidRDefault="0045691A">
      <w:r>
        <w:separator/>
      </w:r>
    </w:p>
  </w:endnote>
  <w:endnote w:type="continuationSeparator" w:id="0">
    <w:p w:rsidR="0045691A" w:rsidRDefault="0045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1A44BE">
      <w:rPr>
        <w:noProof/>
        <w:kern w:val="0"/>
        <w:szCs w:val="21"/>
      </w:rPr>
      <w:t>13</w:t>
    </w:r>
    <w:r w:rsidR="00DB2A0D">
      <w:rPr>
        <w:kern w:val="0"/>
        <w:szCs w:val="21"/>
      </w:rPr>
      <w:fldChar w:fldCharType="end"/>
    </w:r>
    <w:proofErr w:type="gramStart"/>
    <w:r>
      <w:rPr>
        <w:rFonts w:hint="eastAsia"/>
        <w:kern w:val="0"/>
        <w:szCs w:val="21"/>
      </w:rPr>
      <w:t>页共</w:t>
    </w:r>
    <w:proofErr w:type="gramEnd"/>
    <w:r w:rsidR="00DB2A0D">
      <w:rPr>
        <w:kern w:val="0"/>
        <w:szCs w:val="21"/>
      </w:rPr>
      <w:fldChar w:fldCharType="begin"/>
    </w:r>
    <w:r>
      <w:rPr>
        <w:kern w:val="0"/>
        <w:szCs w:val="21"/>
      </w:rPr>
      <w:instrText xml:space="preserve"> NUMPAGES </w:instrText>
    </w:r>
    <w:r w:rsidR="00DB2A0D">
      <w:rPr>
        <w:kern w:val="0"/>
        <w:szCs w:val="21"/>
      </w:rPr>
      <w:fldChar w:fldCharType="separate"/>
    </w:r>
    <w:r w:rsidR="001A44BE">
      <w:rPr>
        <w:noProof/>
        <w:kern w:val="0"/>
        <w:szCs w:val="21"/>
      </w:rPr>
      <w:t>13</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1A" w:rsidRDefault="0045691A">
      <w:r>
        <w:separator/>
      </w:r>
    </w:p>
  </w:footnote>
  <w:footnote w:type="continuationSeparator" w:id="0">
    <w:p w:rsidR="0045691A" w:rsidRDefault="0045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4BE"/>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394"/>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607A"/>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13</Pages>
  <Words>1195</Words>
  <Characters>6814</Characters>
  <Application>Microsoft Office Word</Application>
  <DocSecurity>0</DocSecurity>
  <Lines>56</Lines>
  <Paragraphs>15</Paragraphs>
  <ScaleCrop>false</ScaleCrop>
  <Company>TRT. Ltd. Co.</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253</cp:revision>
  <cp:lastPrinted>2007-07-19T00:46:00Z</cp:lastPrinted>
  <dcterms:created xsi:type="dcterms:W3CDTF">2013-08-01T05:26:00Z</dcterms:created>
  <dcterms:modified xsi:type="dcterms:W3CDTF">2020-01-14T02:37:00Z</dcterms:modified>
</cp:coreProperties>
</file>