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交银施罗德裕通纯债债券型证券投资基金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兴业银行股份有限公司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基金托管人兴业银行股份有限公司根据本基金合同规定，于2020年1月20日复核了本报告中的财务指标、净值表现和投资组合报告等内容，保证复核内容不存在虚假记载、误导性陈述或者重大遗漏。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交银裕通纯债债券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2015年12月29日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2,230,610,273.66</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交银裕通纯债债券A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交银裕通纯债债券C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519762</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519763</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2,227,529,544.57</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3,080,729.09</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(2019年10月1日-2019年12月31日)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交银裕通纯债债券A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交银裕通纯债债券C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10,962,281.42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1,308,165.09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15,330,986.47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88,047.25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0.0099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0.0004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2,294,488,352.71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3,189,629.93</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1.030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1.035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交银裕通纯债债券A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0.88%</w:t>
            </w:r>
          </w:p>
        </w:tc>
        <w:tc>
          <w:tcPr>
            <w:vAlign w:val="center"/>
          </w:tcPr>
          <w:p>
            <w:pPr>
              <w:jc w:val="center"/>
            </w:pPr>
            <w:r>
              <w:rPr>
                <w:color w:val="000000"/>
                <w:sz w:val="24"/>
              </w:rPr>
              <w:t>0.06%</w:t>
            </w:r>
          </w:p>
        </w:tc>
        <w:tc>
          <w:tcPr>
            <w:vAlign w:val="center"/>
          </w:tcPr>
          <w:p>
            <w:pPr>
              <w:jc w:val="center"/>
            </w:pPr>
            <w:r>
              <w:rPr>
                <w:color w:val="000000"/>
                <w:sz w:val="24"/>
              </w:rPr>
              <w:t>0.62%</w:t>
            </w:r>
          </w:p>
        </w:tc>
        <w:tc>
          <w:tcPr>
            <w:vAlign w:val="center"/>
          </w:tcPr>
          <w:p>
            <w:pPr>
              <w:jc w:val="center"/>
            </w:pPr>
            <w:r>
              <w:rPr>
                <w:color w:val="000000"/>
                <w:sz w:val="24"/>
              </w:rPr>
              <w:t>0.04%</w:t>
            </w:r>
          </w:p>
        </w:tc>
        <w:tc>
          <w:tcPr>
            <w:vAlign w:val="center"/>
          </w:tcPr>
          <w:p>
            <w:pPr>
              <w:jc w:val="center"/>
            </w:pPr>
            <w:r>
              <w:rPr>
                <w:color w:val="000000"/>
                <w:sz w:val="24"/>
              </w:rPr>
              <w:t>0.26%</w:t>
            </w:r>
          </w:p>
        </w:tc>
        <w:tc>
          <w:tcPr>
            <w:vAlign w:val="center"/>
          </w:tcPr>
          <w:p>
            <w:pPr>
              <w:jc w:val="center"/>
            </w:pPr>
            <w:r>
              <w:rPr>
                <w:color w:val="000000"/>
                <w:sz w:val="24"/>
              </w:rPr>
              <w:t>0.02%</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交银裕通纯债债券C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0.49%</w:t>
            </w:r>
          </w:p>
        </w:tc>
        <w:tc>
          <w:tcPr>
            <w:vAlign w:val="center"/>
          </w:tcPr>
          <w:p>
            <w:pPr>
              <w:jc w:val="center"/>
            </w:pPr>
            <w:r>
              <w:rPr>
                <w:color w:val="000000"/>
                <w:sz w:val="24"/>
              </w:rPr>
              <w:t>0.07%</w:t>
            </w:r>
          </w:p>
        </w:tc>
        <w:tc>
          <w:tcPr>
            <w:vAlign w:val="center"/>
          </w:tcPr>
          <w:p>
            <w:pPr>
              <w:jc w:val="center"/>
            </w:pPr>
            <w:r>
              <w:rPr>
                <w:color w:val="000000"/>
                <w:sz w:val="24"/>
              </w:rPr>
              <w:t>0.62%</w:t>
            </w:r>
          </w:p>
        </w:tc>
        <w:tc>
          <w:tcPr>
            <w:vAlign w:val="center"/>
          </w:tcPr>
          <w:p>
            <w:pPr>
              <w:jc w:val="center"/>
            </w:pPr>
            <w:r>
              <w:rPr>
                <w:color w:val="000000"/>
                <w:sz w:val="24"/>
              </w:rPr>
              <w:t>0.04%</w:t>
            </w:r>
          </w:p>
        </w:tc>
        <w:tc>
          <w:tcPr>
            <w:vAlign w:val="center"/>
          </w:tcPr>
          <w:p>
            <w:pPr>
              <w:jc w:val="center"/>
            </w:pPr>
            <w:r>
              <w:rPr>
                <w:color w:val="000000"/>
                <w:sz w:val="24"/>
              </w:rPr>
              <w:t>-0.13%</w:t>
            </w:r>
          </w:p>
        </w:tc>
        <w:tc>
          <w:tcPr>
            <w:vAlign w:val="center"/>
          </w:tcPr>
          <w:p>
            <w:pPr>
              <w:jc w:val="center"/>
            </w:pPr>
            <w:r>
              <w:rPr>
                <w:color w:val="000000"/>
                <w:sz w:val="24"/>
              </w:rPr>
              <w:t>0.03%</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交银施罗德裕通纯债债券型证券投资基金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2015年12月29日</w:t>
      </w:r>
      <w:r w:rsidR="009A045B" w:rsidRPr="007F52FA">
        <w:rPr>
          <w:rFonts w:ascii="Times New Roman" w:hAnsi="Times New Roman"/>
          <w:sz w:val="24"/>
          <w:szCs w:val="24"/>
        </w:rPr>
        <w:t>至</w:t>
      </w:r>
      <w:r w:rsidRPr="007F52FA">
        <w:rPr>
          <w:rFonts w:ascii="Times New Roman" w:hAnsi="Times New Roman"/>
          <w:sz w:val="24"/>
          <w:szCs w:val="24"/>
        </w:rPr>
        <w:t>2019年12月31日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交银裕通纯债债券C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2015-12-29</w:t>
            </w:r>
          </w:p>
        </w:tc>
        <w:tc>
          <w:tcPr>
            <w:vAlign w:val="center"/>
          </w:tcPr>
          <w:p>
            <w:pPr>
              <w:jc w:val="center"/>
            </w:pPr>
            <w:r>
              <w:rPr>
                <w:color w:val="000000"/>
                <w:sz w:val="24"/>
              </w:rPr>
              <w:t>2019-10-24</w:t>
            </w:r>
          </w:p>
        </w:tc>
        <w:tc>
          <w:tcPr>
            <w:vAlign w:val="center"/>
          </w:tcPr>
          <w:p>
            <w:pPr>
              <w:jc w:val="center"/>
            </w:pPr>
            <w:r>
              <w:rPr>
                <w:color w:val="000000"/>
                <w:sz w:val="24"/>
              </w:rPr>
              <w:t>11年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r>
        <w:tc>
          <w:tcPr>
            <w:vAlign w:val="center"/>
          </w:tcPr>
          <w:p>
            <w:pPr>
              <w:jc w:val="center"/>
            </w:pPr>
            <w:r>
              <w:rPr>
                <w:color w:val="000000"/>
                <w:sz w:val="24"/>
              </w:rPr>
              <w:t>唐赟</w:t>
            </w:r>
          </w:p>
        </w:tc>
        <w:tc>
          <w:tcPr>
            <w:vAlign w:val="center"/>
          </w:tcPr>
          <w:p>
            <w:pPr>
              <w:jc w:val="center"/>
            </w:pPr>
            <w:r>
              <w:rPr>
                <w:color w:val="000000"/>
                <w:sz w:val="24"/>
              </w:rPr>
              <w:t>交银信用添利债券(LOF)、交银双利债券、交银双轮动债券、交银裕通纯债债券、交银安心收益债券、交银荣鑫灵活配置混合的基金经理</w:t>
            </w:r>
          </w:p>
        </w:tc>
        <w:tc>
          <w:tcPr>
            <w:vAlign w:val="center"/>
          </w:tcPr>
          <w:p>
            <w:pPr>
              <w:jc w:val="center"/>
            </w:pPr>
            <w:r>
              <w:rPr>
                <w:color w:val="000000"/>
                <w:sz w:val="24"/>
              </w:rPr>
              <w:t>2017-03-31</w:t>
            </w:r>
          </w:p>
        </w:tc>
        <w:tc>
          <w:tcPr>
            <w:vAlign w:val="center"/>
          </w:tcPr>
          <w:p>
            <w:pPr>
              <w:jc w:val="center"/>
            </w:pPr>
            <w:r>
              <w:rPr>
                <w:color w:val="000000"/>
                <w:sz w:val="24"/>
              </w:rPr>
              <w:t>2019-10-24</w:t>
            </w:r>
          </w:p>
        </w:tc>
        <w:tc>
          <w:tcPr>
            <w:vAlign w:val="center"/>
          </w:tcPr>
          <w:p>
            <w:pPr>
              <w:jc w:val="center"/>
            </w:pPr>
            <w:r>
              <w:rPr>
                <w:color w:val="000000"/>
                <w:sz w:val="24"/>
              </w:rPr>
              <w:t>9年</w:t>
            </w:r>
          </w:p>
        </w:tc>
        <w:tc>
          <w:tcPr>
            <w:vAlign w:val="center"/>
          </w:tcPr>
          <w:p>
            <w:pPr>
              <w:jc w:val="both"/>
            </w:pPr>
            <w:r>
              <w:rPr>
                <w:color w:val="000000"/>
                <w:sz w:val="24"/>
              </w:rPr>
              <w:t>唐赟先生，香港城市大学电子工程硕士。历任渣打银行环球企业部助理客户经理、平安资产管理公司信用分析员。2012年加入交银施罗德基金管理有限公司，历任固定收益研究员、基金经理助理。2015年11月7日至2018年6月1日担任转型前的交银施罗德荣和保本混合型证券投资基金的基金经理。2017年3月31日至2019年10月23日担任交银施罗德裕通纯债债券型证券投资基金的基金经理。2018年6月2日至2019年12月13日担任交银施罗德安心收益债券型证券投资基金的基金经理。</w:t>
            </w:r>
          </w:p>
        </w:tc>
      </w:tr>
      <w:tr>
        <w:tc>
          <w:tcPr>
            <w:vAlign w:val="center"/>
          </w:tcPr>
          <w:p>
            <w:pPr>
              <w:jc w:val="center"/>
            </w:pPr>
            <w:r>
              <w:rPr>
                <w:color w:val="000000"/>
                <w:sz w:val="24"/>
              </w:rPr>
              <w:t>季参平</w:t>
            </w:r>
          </w:p>
        </w:tc>
        <w:tc>
          <w:tcPr>
            <w:vAlign w:val="center"/>
          </w:tcPr>
          <w:p>
            <w:pPr>
              <w:jc w:val="center"/>
            </w:pPr>
            <w:r>
              <w:rPr>
                <w:color w:val="000000"/>
                <w:sz w:val="24"/>
              </w:rPr>
              <w:t>交银货币、交银裕通纯债债券、交银现金宝货币、交银天鑫宝货币的基金经理</w:t>
            </w:r>
          </w:p>
        </w:tc>
        <w:tc>
          <w:tcPr>
            <w:vAlign w:val="center"/>
          </w:tcPr>
          <w:p>
            <w:pPr>
              <w:jc w:val="center"/>
            </w:pPr>
            <w:r>
              <w:rPr>
                <w:color w:val="000000"/>
                <w:sz w:val="24"/>
              </w:rPr>
              <w:t>2019-10-12</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季参平先生，美国密歇根大学金融工程硕士、对外经济贸易大学经济学学士。2012年3月至2017年7月任瑞士银行外汇和利率交易员、联席董事。2017年加入交银施罗德基金管理有限公司，历任基金经理助理。2019年7月26日至2019年9月18日担任交银施罗德天运宝货币市场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四季度债券收益率呈现出十月上行，十一月下行，十二月震荡的格局。整体来看，四季度债券市场的交易逻辑从三季度的“类衰退”逐步转化为“类复苏”。十月利空债市的因素层出不穷，中美贸易摩擦缓和、通胀上行以及金融数据超预期等，导致市场在前期超涨的状态下出现快速调整，十年期国债收益率调整到3.34%的年内次高。进入十一月，央行超预期的下调MLF、逆回购利率5BP，消除了市场对货币政策收紧的担忧，虽然CPI数据达到3.8%，大超市场预期，但市场对利空的反应逐步钝化，多头情绪浓厚。到十二月，央行大额投放短期资金，银行间隔夜利率低至1%的水平，且降准预期再起，加之年末配置资金的入场，利率曲线呈现牛陡变化。市场截止至2019年12月27日，十年国债收益率下行至3.13%，十年国开收益率下行至3.57%。</w:t>
      </w:r>
    </w:p>
    <w:p>
      <w:pPr>
        <w:spacing w:before="29" w:line="288" w:lineRule="auto"/>
        <w:ind w:firstLine="480" w:firstLineChars="200"/>
        <w:rPr>
          <w:color w:val="000000"/>
          <w:sz w:val="24"/>
        </w:rPr>
      </w:pPr>
      <w:r>
        <w:rPr>
          <w:color w:val="000000"/>
          <w:sz w:val="24"/>
        </w:rPr>
        <w:t>报告期内，基于对经济基本面和政策的把握，并考虑组合收益的稳定性，组合主要配置了中短久期的利率债，同时根据市场情况适时调整了组合久期。随着四季度末资金分层的持续，组合利率债融资仍有优势，组合通过杠杆操作维持了平稳的资金成本，增厚了组合收益。</w:t>
      </w:r>
    </w:p>
    <w:p>
      <w:pPr>
        <w:spacing w:before="29" w:line="288" w:lineRule="auto"/>
        <w:ind w:firstLine="480" w:firstLineChars="200"/>
        <w:rPr>
          <w:color w:val="000000"/>
          <w:sz w:val="24"/>
        </w:rPr>
      </w:pPr>
      <w:r>
        <w:rPr>
          <w:color w:val="000000"/>
          <w:sz w:val="24"/>
        </w:rPr>
        <w:t>展望2020年一季度，宏观经济内生动力羸弱，叠加政策以稳为主、托而不举，经济面临一定下行压力。一方面全球经济前景难言复苏，而中国扩大对美进口对净出口形成拖累，地产投资在“房住不炒”的定位下预计逐步回落。另一方面，稳增长政策发力对基建投资形成拉动，制造业投资和消费在长期下行之后对经济的拖累减弱。我们预计通胀在年初录得高点之后将逐渐回落，虽然猪肉和油价供给弹性会影响通胀预期，但结构性通胀对货币政策掣肘有限。整体来看，2020年一季度债券市场的长端利率将维持区间震荡格局，我们建议维持久期策略，加强票息策略和杠杆策略。</w:t>
      </w:r>
    </w:p>
    <w:p w:rsidP="007C14DF" w:rsidR="00952A72" w:rsidRDefault="00323F25" w:rsidRPr="007F52FA">
      <w:pPr>
        <w:spacing w:before="29" w:line="288" w:lineRule="auto"/>
        <w:ind w:firstLine="480" w:firstLineChars="200"/>
        <w:rPr>
          <w:color w:val="000000"/>
          <w:sz w:val="24"/>
        </w:rPr>
      </w:pPr>
      <w:r w:rsidRPr="007F52FA">
        <w:rPr>
          <w:color w:val="000000"/>
          <w:sz w:val="24"/>
        </w:rPr>
        <w:t>操作策略方面，组合将继续以利率债投资为主要策略，关注利率品种的骑乘收益，做好券种轮换和中短久期品种的精选配置，同时积极进行灵活的组合久期波段操作，以期增厚组合收益。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2,256,299,500.00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91.89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2,256,299,500.00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91.89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160,634,965.50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6.54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38,616,024.57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2,455,550,490.07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2,157,729,500.00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93.91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2,157,729,500.00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93.91</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98,570,000.00</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4.29</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2,256,299,500.00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98.20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180212</w:t>
            </w:r>
          </w:p>
        </w:tc>
        <w:tc>
          <w:tcPr>
            <w:vAlign w:val="center"/>
          </w:tcPr>
          <w:p>
            <w:pPr>
              <w:jc w:val="center"/>
            </w:pPr>
            <w:r>
              <w:rPr>
                <w:color w:val="000000"/>
                <w:sz w:val="24"/>
              </w:rPr>
              <w:t>18国开12</w:t>
            </w:r>
          </w:p>
        </w:tc>
        <w:tc>
          <w:tcPr>
            <w:vAlign w:val="center"/>
          </w:tcPr>
          <w:p>
            <w:pPr>
              <w:jc w:val="right"/>
            </w:pPr>
            <w:r>
              <w:rPr>
                <w:color w:val="000000"/>
                <w:sz w:val="24"/>
              </w:rPr>
              <w:t>4,300,000</w:t>
            </w:r>
          </w:p>
        </w:tc>
        <w:tc>
          <w:tcPr>
            <w:vAlign w:val="center"/>
          </w:tcPr>
          <w:p>
            <w:pPr>
              <w:jc w:val="right"/>
            </w:pPr>
            <w:r>
              <w:rPr>
                <w:color w:val="000000"/>
                <w:sz w:val="24"/>
              </w:rPr>
              <w:t>436,579,000.00</w:t>
            </w:r>
          </w:p>
        </w:tc>
        <w:tc>
          <w:tcPr>
            <w:vAlign w:val="center"/>
          </w:tcPr>
          <w:p>
            <w:pPr>
              <w:jc w:val="right"/>
            </w:pPr>
            <w:r>
              <w:rPr>
                <w:color w:val="000000"/>
                <w:sz w:val="24"/>
              </w:rPr>
              <w:t>19.00</w:t>
            </w:r>
          </w:p>
        </w:tc>
      </w:tr>
      <w:tr>
        <w:tc>
          <w:tcPr>
            <w:vAlign w:val="center"/>
          </w:tcPr>
          <w:p>
            <w:pPr>
              <w:jc w:val="center"/>
            </w:pPr>
            <w:r>
              <w:rPr>
                <w:color w:val="000000"/>
                <w:sz w:val="24"/>
              </w:rPr>
              <w:t>2</w:t>
            </w:r>
          </w:p>
        </w:tc>
        <w:tc>
          <w:tcPr>
            <w:vAlign w:val="center"/>
          </w:tcPr>
          <w:p>
            <w:pPr>
              <w:jc w:val="center"/>
            </w:pPr>
            <w:r>
              <w:rPr>
                <w:color w:val="000000"/>
                <w:sz w:val="24"/>
              </w:rPr>
              <w:t>180412</w:t>
            </w:r>
          </w:p>
        </w:tc>
        <w:tc>
          <w:tcPr>
            <w:vAlign w:val="center"/>
          </w:tcPr>
          <w:p>
            <w:pPr>
              <w:jc w:val="center"/>
            </w:pPr>
            <w:r>
              <w:rPr>
                <w:color w:val="000000"/>
                <w:sz w:val="24"/>
              </w:rPr>
              <w:t>18农发12</w:t>
            </w:r>
          </w:p>
        </w:tc>
        <w:tc>
          <w:tcPr>
            <w:vAlign w:val="center"/>
          </w:tcPr>
          <w:p>
            <w:pPr>
              <w:jc w:val="right"/>
            </w:pPr>
            <w:r>
              <w:rPr>
                <w:color w:val="000000"/>
                <w:sz w:val="24"/>
              </w:rPr>
              <w:t>4,000,000</w:t>
            </w:r>
          </w:p>
        </w:tc>
        <w:tc>
          <w:tcPr>
            <w:vAlign w:val="center"/>
          </w:tcPr>
          <w:p>
            <w:pPr>
              <w:jc w:val="right"/>
            </w:pPr>
            <w:r>
              <w:rPr>
                <w:color w:val="000000"/>
                <w:sz w:val="24"/>
              </w:rPr>
              <w:t>404,040,000.00</w:t>
            </w:r>
          </w:p>
        </w:tc>
        <w:tc>
          <w:tcPr>
            <w:vAlign w:val="center"/>
          </w:tcPr>
          <w:p>
            <w:pPr>
              <w:jc w:val="right"/>
            </w:pPr>
            <w:r>
              <w:rPr>
                <w:color w:val="000000"/>
                <w:sz w:val="24"/>
              </w:rPr>
              <w:t>17.58</w:t>
            </w:r>
          </w:p>
        </w:tc>
      </w:tr>
      <w:tr>
        <w:tc>
          <w:tcPr>
            <w:vAlign w:val="center"/>
          </w:tcPr>
          <w:p>
            <w:pPr>
              <w:jc w:val="center"/>
            </w:pPr>
            <w:r>
              <w:rPr>
                <w:color w:val="000000"/>
                <w:sz w:val="24"/>
              </w:rPr>
              <w:t>3</w:t>
            </w:r>
          </w:p>
        </w:tc>
        <w:tc>
          <w:tcPr>
            <w:vAlign w:val="center"/>
          </w:tcPr>
          <w:p>
            <w:pPr>
              <w:jc w:val="center"/>
            </w:pPr>
            <w:r>
              <w:rPr>
                <w:color w:val="000000"/>
                <w:sz w:val="24"/>
              </w:rPr>
              <w:t>190208</w:t>
            </w:r>
          </w:p>
        </w:tc>
        <w:tc>
          <w:tcPr>
            <w:vAlign w:val="center"/>
          </w:tcPr>
          <w:p>
            <w:pPr>
              <w:jc w:val="center"/>
            </w:pPr>
            <w:r>
              <w:rPr>
                <w:color w:val="000000"/>
                <w:sz w:val="24"/>
              </w:rPr>
              <w:t>19国开08</w:t>
            </w:r>
          </w:p>
        </w:tc>
        <w:tc>
          <w:tcPr>
            <w:vAlign w:val="center"/>
          </w:tcPr>
          <w:p>
            <w:pPr>
              <w:jc w:val="right"/>
            </w:pPr>
            <w:r>
              <w:rPr>
                <w:color w:val="000000"/>
                <w:sz w:val="24"/>
              </w:rPr>
              <w:t>3,600,000</w:t>
            </w:r>
          </w:p>
        </w:tc>
        <w:tc>
          <w:tcPr>
            <w:vAlign w:val="center"/>
          </w:tcPr>
          <w:p>
            <w:pPr>
              <w:jc w:val="right"/>
            </w:pPr>
            <w:r>
              <w:rPr>
                <w:color w:val="000000"/>
                <w:sz w:val="24"/>
              </w:rPr>
              <w:t>362,160,000.00</w:t>
            </w:r>
          </w:p>
        </w:tc>
        <w:tc>
          <w:tcPr>
            <w:vAlign w:val="center"/>
          </w:tcPr>
          <w:p>
            <w:pPr>
              <w:jc w:val="right"/>
            </w:pPr>
            <w:r>
              <w:rPr>
                <w:color w:val="000000"/>
                <w:sz w:val="24"/>
              </w:rPr>
              <w:t>15.76</w:t>
            </w:r>
          </w:p>
        </w:tc>
      </w:tr>
      <w:tr>
        <w:tc>
          <w:tcPr>
            <w:vAlign w:val="center"/>
          </w:tcPr>
          <w:p>
            <w:pPr>
              <w:jc w:val="center"/>
            </w:pPr>
            <w:r>
              <w:rPr>
                <w:color w:val="000000"/>
                <w:sz w:val="24"/>
              </w:rPr>
              <w:t>4</w:t>
            </w:r>
          </w:p>
        </w:tc>
        <w:tc>
          <w:tcPr>
            <w:vAlign w:val="center"/>
          </w:tcPr>
          <w:p>
            <w:pPr>
              <w:jc w:val="center"/>
            </w:pPr>
            <w:r>
              <w:rPr>
                <w:color w:val="000000"/>
                <w:sz w:val="24"/>
              </w:rPr>
              <w:t>190202</w:t>
            </w:r>
          </w:p>
        </w:tc>
        <w:tc>
          <w:tcPr>
            <w:vAlign w:val="center"/>
          </w:tcPr>
          <w:p>
            <w:pPr>
              <w:jc w:val="center"/>
            </w:pPr>
            <w:r>
              <w:rPr>
                <w:color w:val="000000"/>
                <w:sz w:val="24"/>
              </w:rPr>
              <w:t>19国开02</w:t>
            </w:r>
          </w:p>
        </w:tc>
        <w:tc>
          <w:tcPr>
            <w:vAlign w:val="center"/>
          </w:tcPr>
          <w:p>
            <w:pPr>
              <w:jc w:val="right"/>
            </w:pPr>
            <w:r>
              <w:rPr>
                <w:color w:val="000000"/>
                <w:sz w:val="24"/>
              </w:rPr>
              <w:t>2,700,000</w:t>
            </w:r>
          </w:p>
        </w:tc>
        <w:tc>
          <w:tcPr>
            <w:vAlign w:val="center"/>
          </w:tcPr>
          <w:p>
            <w:pPr>
              <w:jc w:val="right"/>
            </w:pPr>
            <w:r>
              <w:rPr>
                <w:color w:val="000000"/>
                <w:sz w:val="24"/>
              </w:rPr>
              <w:t>271,269,000.00</w:t>
            </w:r>
          </w:p>
        </w:tc>
        <w:tc>
          <w:tcPr>
            <w:vAlign w:val="center"/>
          </w:tcPr>
          <w:p>
            <w:pPr>
              <w:jc w:val="right"/>
            </w:pPr>
            <w:r>
              <w:rPr>
                <w:color w:val="000000"/>
                <w:sz w:val="24"/>
              </w:rPr>
              <w:t>11.81</w:t>
            </w:r>
          </w:p>
        </w:tc>
      </w:tr>
      <w:tr>
        <w:tc>
          <w:tcPr>
            <w:vAlign w:val="center"/>
          </w:tcPr>
          <w:p>
            <w:pPr>
              <w:jc w:val="center"/>
            </w:pPr>
            <w:r>
              <w:rPr>
                <w:color w:val="000000"/>
                <w:sz w:val="24"/>
              </w:rPr>
              <w:t>5</w:t>
            </w:r>
          </w:p>
        </w:tc>
        <w:tc>
          <w:tcPr>
            <w:vAlign w:val="center"/>
          </w:tcPr>
          <w:p>
            <w:pPr>
              <w:jc w:val="center"/>
            </w:pPr>
            <w:r>
              <w:rPr>
                <w:color w:val="000000"/>
                <w:sz w:val="24"/>
              </w:rPr>
              <w:t>180208</w:t>
            </w:r>
          </w:p>
        </w:tc>
        <w:tc>
          <w:tcPr>
            <w:vAlign w:val="center"/>
          </w:tcPr>
          <w:p>
            <w:pPr>
              <w:jc w:val="center"/>
            </w:pPr>
            <w:r>
              <w:rPr>
                <w:color w:val="000000"/>
                <w:sz w:val="24"/>
              </w:rPr>
              <w:t>18国开08</w:t>
            </w:r>
          </w:p>
        </w:tc>
        <w:tc>
          <w:tcPr>
            <w:vAlign w:val="center"/>
          </w:tcPr>
          <w:p>
            <w:pPr>
              <w:jc w:val="right"/>
            </w:pPr>
            <w:r>
              <w:rPr>
                <w:color w:val="000000"/>
                <w:sz w:val="24"/>
              </w:rPr>
              <w:t>2,000,000</w:t>
            </w:r>
          </w:p>
        </w:tc>
        <w:tc>
          <w:tcPr>
            <w:vAlign w:val="center"/>
          </w:tcPr>
          <w:p>
            <w:pPr>
              <w:jc w:val="right"/>
            </w:pPr>
            <w:r>
              <w:rPr>
                <w:color w:val="000000"/>
                <w:sz w:val="24"/>
              </w:rPr>
              <w:t>203,600,000.00</w:t>
            </w:r>
          </w:p>
        </w:tc>
        <w:tc>
          <w:tcPr>
            <w:vAlign w:val="center"/>
          </w:tcPr>
          <w:p>
            <w:pPr>
              <w:jc w:val="right"/>
            </w:pPr>
            <w:r>
              <w:rPr>
                <w:color w:val="000000"/>
                <w:sz w:val="24"/>
              </w:rPr>
              <w:t>8.86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7F52FA">
        <w:rPr>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2,738.95</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38,613,284.63</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0.99</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38,616,024.57</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交银裕通纯债债券A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交银裕通纯债债券C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1,552,687,141.12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474,138,871.17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871,190,168.77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61,971.43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196,347,765.32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471,120,113.51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2,227,529,544.57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3,080,729.09</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490,677,134.45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196,270,853.78</w:t>
            </w:r>
          </w:p>
        </w:tc>
        <w:tc>
          <w:tcPr>
            <w:vAlign w:val="center"/>
          </w:tcPr>
          <w:p>
            <w:pPr>
              <w:jc w:val="center"/>
            </w:pPr>
            <w:r>
              <w:rPr>
                <w:rFonts w:ascii="宋体" w:hAnsi="宋体" w:hint="eastAsia"/>
                <w:color w:val="000000"/>
                <w:kern w:val="0"/>
                <w:szCs w:val="21"/>
              </w:rPr>
              <w:t>294,406,280.67</w:t>
            </w:r>
          </w:p>
        </w:tc>
        <w:tc>
          <w:tcPr>
            <w:vAlign w:val="center"/>
          </w:tcPr>
          <w:p>
            <w:pPr>
              <w:jc w:val="center"/>
            </w:pPr>
            <w:r>
              <w:rPr>
                <w:rFonts w:ascii="宋体" w:hAnsi="宋体" w:hint="eastAsia"/>
                <w:color w:val="000000"/>
                <w:kern w:val="0"/>
                <w:szCs w:val="21"/>
              </w:rPr>
              <w:t>13.20%</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473,429,951.69</w:t>
            </w:r>
          </w:p>
        </w:tc>
        <w:tc>
          <w:tcPr>
            <w:vAlign w:val="center"/>
          </w:tcPr>
          <w:p>
            <w:pPr>
              <w:jc w:val="center"/>
            </w:pPr>
            <w:r>
              <w:rPr>
                <w:rFonts w:ascii="宋体" w:hAnsi="宋体" w:hint="eastAsia"/>
                <w:color w:val="000000"/>
                <w:kern w:val="0"/>
                <w:szCs w:val="21"/>
              </w:rPr>
              <w:t>482,455,165.69</w:t>
            </w:r>
          </w:p>
        </w:tc>
        <w:tc>
          <w:tcPr>
            <w:vAlign w:val="center"/>
          </w:tcPr>
          <w:p>
            <w:pPr>
              <w:jc w:val="center"/>
            </w:pPr>
            <w:r>
              <w:rPr>
                <w:rFonts w:ascii="宋体" w:hAnsi="宋体" w:hint="eastAsia"/>
                <w:color w:val="000000"/>
                <w:kern w:val="0"/>
                <w:szCs w:val="21"/>
              </w:rPr>
              <w:t>471,005,000.00</w:t>
            </w:r>
          </w:p>
        </w:tc>
        <w:tc>
          <w:tcPr>
            <w:vAlign w:val="center"/>
          </w:tcPr>
          <w:p>
            <w:pPr>
              <w:jc w:val="center"/>
            </w:pPr>
            <w:r>
              <w:rPr>
                <w:rFonts w:ascii="宋体" w:hAnsi="宋体" w:hint="eastAsia"/>
                <w:color w:val="000000"/>
                <w:kern w:val="0"/>
                <w:szCs w:val="21"/>
              </w:rPr>
              <w:t>484,880,117.38</w:t>
            </w:r>
          </w:p>
        </w:tc>
        <w:tc>
          <w:tcPr>
            <w:vAlign w:val="center"/>
          </w:tcPr>
          <w:p>
            <w:pPr>
              <w:jc w:val="center"/>
            </w:pPr>
            <w:r>
              <w:rPr>
                <w:rFonts w:ascii="宋体" w:hAnsi="宋体" w:hint="eastAsia"/>
                <w:color w:val="000000"/>
                <w:kern w:val="0"/>
                <w:szCs w:val="21"/>
              </w:rPr>
              <w:t>21.74%</w:t>
            </w:r>
          </w:p>
        </w:tc>
      </w:tr>
      <w:tr>
        <w:tc>
          <w:tcPr>
            <w:vMerge/>
          </w:tcPr>
          <w:p/>
        </w:tc>
        <w:tc>
          <w:tcPr>
            <w:vAlign w:val="center"/>
          </w:tcPr>
          <w:p>
            <w:pPr>
              <w:jc w:val="center"/>
            </w:pPr>
            <w:r>
              <w:rPr>
                <w:rFonts w:ascii="宋体" w:hAnsi="宋体" w:hint="eastAsia"/>
                <w:color w:val="000000"/>
                <w:kern w:val="0"/>
                <w:szCs w:val="21"/>
              </w:rPr>
              <w:t>3</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392,926,326.13</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392,926,326.13</w:t>
            </w:r>
          </w:p>
        </w:tc>
        <w:tc>
          <w:tcPr>
            <w:vAlign w:val="center"/>
          </w:tcPr>
          <w:p>
            <w:pPr>
              <w:jc w:val="center"/>
            </w:pPr>
            <w:r>
              <w:rPr>
                <w:rFonts w:ascii="宋体" w:hAnsi="宋体" w:hint="eastAsia"/>
                <w:color w:val="000000"/>
                <w:kern w:val="0"/>
                <w:szCs w:val="21"/>
              </w:rPr>
              <w:t>17.62%</w:t>
            </w:r>
          </w:p>
        </w:tc>
      </w:tr>
      <w:tr>
        <w:tc>
          <w:tcPr>
            <w:vMerge/>
          </w:tcPr>
          <w:p/>
        </w:tc>
        <w:tc>
          <w:tcPr>
            <w:vAlign w:val="center"/>
          </w:tcPr>
          <w:p>
            <w:pPr>
              <w:jc w:val="center"/>
            </w:pPr>
            <w:r>
              <w:rPr>
                <w:rFonts w:ascii="宋体" w:hAnsi="宋体" w:hint="eastAsia"/>
                <w:color w:val="000000"/>
                <w:kern w:val="0"/>
                <w:szCs w:val="21"/>
              </w:rPr>
              <w:t>4</w:t>
            </w:r>
          </w:p>
        </w:tc>
        <w:tc>
          <w:tcPr>
            <w:vAlign w:val="center"/>
          </w:tcPr>
          <w:p>
            <w:pPr>
              <w:jc w:val="center"/>
            </w:pPr>
            <w:r>
              <w:rPr>
                <w:rFonts w:ascii="宋体" w:hAnsi="宋体" w:hint="eastAsia"/>
                <w:color w:val="000000"/>
                <w:kern w:val="0"/>
                <w:szCs w:val="21"/>
              </w:rPr>
              <w:t>2019/10/1-2019/12/31</w:t>
            </w:r>
          </w:p>
        </w:tc>
        <w:tc>
          <w:tcPr>
            <w:vAlign w:val="center"/>
          </w:tcPr>
          <w:p>
            <w:pPr>
              <w:jc w:val="center"/>
            </w:pPr>
            <w:r>
              <w:rPr>
                <w:rFonts w:ascii="宋体" w:hAnsi="宋体" w:hint="eastAsia"/>
                <w:color w:val="000000"/>
                <w:kern w:val="0"/>
                <w:szCs w:val="21"/>
              </w:rPr>
              <w:t>476,189,523.81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476,189,523.81</w:t>
            </w:r>
          </w:p>
        </w:tc>
        <w:tc>
          <w:tcPr>
            <w:vAlign w:val="center"/>
          </w:tcPr>
          <w:p>
            <w:pPr>
              <w:jc w:val="center"/>
            </w:pPr>
            <w:r>
              <w:rPr>
                <w:rFonts w:ascii="宋体" w:hAnsi="宋体" w:hint="eastAsia"/>
                <w:color w:val="000000"/>
                <w:kern w:val="0"/>
                <w:szCs w:val="21"/>
              </w:rPr>
              <w:t>21.35%</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8.2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1、中国证监会准予交银施罗德裕通纯债债券型证券投资基金募集注册的文件；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2、《交银施罗德裕通纯债债券型证券投资基金基金合同》；</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3、《交银施罗德裕通纯债债券型证券投资基金招募说明书》；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4、《交银施罗德裕通纯债债券型证券投资基金托管协议》；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5、基金管理人业务资格批件、营业执照；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6、基金托管人业务资格批件、营业执照；</w:t>
      </w:r>
    </w:p>
    <w:p>
      <w:pPr>
        <w:spacing w:before="29" w:line="288" w:lineRule="auto"/>
        <w:ind w:firstLine="480" w:firstLineChars="200"/>
        <w:rPr>
          <w:rFonts w:eastAsiaTheme="minorEastAsia"/>
          <w:color w:val="000000"/>
          <w:sz w:val="24"/>
        </w:rPr>
      </w:pPr>
      <w:r>
        <w:rPr>
          <w:rFonts w:eastAsiaTheme="minorEastAsia"/>
          <w:color w:val="000000"/>
          <w:sz w:val="24"/>
        </w:rPr>
        <w:t>7、关于申请募集注册交银施罗德裕通纯债债券型证券投资基金的法律意见书；</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8、报告期内交银施罗德裕通纯债债券型证券投资基金在指定报刊上各项公告的原稿。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963" w:rsidRDefault="006A0963">
      <w:r>
        <w:separator/>
      </w:r>
    </w:p>
  </w:endnote>
  <w:endnote w:type="continuationSeparator" w:id="0">
    <w:p w:rsidR="006A0963" w:rsidRDefault="006A0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10F55">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10F55">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A0963" w:rsidRDefault="006A0963">
      <w:r>
        <w:separator/>
      </w:r>
    </w:p>
  </w:footnote>
  <w:footnote w:id="0" w:type="continuationSeparator">
    <w:p w:rsidR="006A0963" w:rsidRDefault="006A0963">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交银施罗德裕通纯债债券型证券投资基金2019年第4季度报告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44E0A-9053-45FF-AFA1-C8F6CF3BC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251</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2019-10-16T02:01:00Z</dcterms:modified>
  <cp:revision>403</cp:revision>
</cp:coreProperties>
</file>