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二〇二〇年一月二十一日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159C0" w:rsidRDefault="00195E9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159C0" w:rsidRDefault="00195E95">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159C0" w:rsidRDefault="00195E9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159C0" w:rsidRDefault="00195E9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159C0" w:rsidRDefault="00195E9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13,914,076,098.19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13,727,194,808.96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186,881,289.23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70,497,002.41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1,523,797.56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70,497,002.41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1,523,797.56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13,727,194,808.96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186,881,289.23</w:t>
            </w:r>
          </w:p>
        </w:tc>
      </w:tr>
    </w:tbl>
    <w:p w:rsidR="007159C0" w:rsidRDefault="00195E9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159C0">
        <w:trPr>
          <w:jc w:val="center"/>
        </w:trPr>
        <w:tc>
          <w:tcPr>
            <w:tcW w:w="1266" w:type="dxa"/>
            <w:vAlign w:val="center"/>
          </w:tcPr>
          <w:p w:rsidR="007159C0" w:rsidRDefault="00195E95">
            <w:pPr>
              <w:jc w:val="left"/>
            </w:pPr>
            <w:r>
              <w:rPr>
                <w:color w:val="000000"/>
              </w:rPr>
              <w:t>过去三个月</w:t>
            </w:r>
          </w:p>
        </w:tc>
        <w:tc>
          <w:tcPr>
            <w:tcW w:w="1267" w:type="dxa"/>
            <w:vAlign w:val="center"/>
          </w:tcPr>
          <w:p w:rsidR="007159C0" w:rsidRDefault="00195E95">
            <w:pPr>
              <w:jc w:val="center"/>
            </w:pPr>
            <w:r>
              <w:rPr>
                <w:color w:val="000000"/>
              </w:rPr>
              <w:t>0.6269%</w:t>
            </w:r>
          </w:p>
        </w:tc>
        <w:tc>
          <w:tcPr>
            <w:tcW w:w="1267" w:type="dxa"/>
            <w:vAlign w:val="center"/>
          </w:tcPr>
          <w:p w:rsidR="007159C0" w:rsidRDefault="00195E95">
            <w:pPr>
              <w:jc w:val="center"/>
            </w:pPr>
            <w:r>
              <w:rPr>
                <w:color w:val="000000"/>
              </w:rPr>
              <w:t>0.0016%</w:t>
            </w:r>
          </w:p>
        </w:tc>
        <w:tc>
          <w:tcPr>
            <w:tcW w:w="1267" w:type="dxa"/>
            <w:vAlign w:val="center"/>
          </w:tcPr>
          <w:p w:rsidR="007159C0" w:rsidRDefault="00195E95">
            <w:pPr>
              <w:jc w:val="center"/>
            </w:pPr>
            <w:r>
              <w:rPr>
                <w:color w:val="000000"/>
              </w:rPr>
              <w:t>0.0882%</w:t>
            </w:r>
          </w:p>
        </w:tc>
        <w:tc>
          <w:tcPr>
            <w:tcW w:w="1267" w:type="dxa"/>
            <w:vAlign w:val="center"/>
          </w:tcPr>
          <w:p w:rsidR="007159C0" w:rsidRDefault="00195E95">
            <w:pPr>
              <w:jc w:val="center"/>
            </w:pPr>
            <w:r>
              <w:rPr>
                <w:color w:val="000000"/>
              </w:rPr>
              <w:t>0.0000%</w:t>
            </w:r>
          </w:p>
        </w:tc>
        <w:tc>
          <w:tcPr>
            <w:tcW w:w="1267" w:type="dxa"/>
            <w:vAlign w:val="center"/>
          </w:tcPr>
          <w:p w:rsidR="007159C0" w:rsidRDefault="00195E95">
            <w:pPr>
              <w:jc w:val="center"/>
            </w:pPr>
            <w:r>
              <w:rPr>
                <w:color w:val="000000"/>
              </w:rPr>
              <w:t>0.5387%</w:t>
            </w:r>
          </w:p>
        </w:tc>
        <w:tc>
          <w:tcPr>
            <w:tcW w:w="1267" w:type="dxa"/>
            <w:vAlign w:val="center"/>
          </w:tcPr>
          <w:p w:rsidR="007159C0" w:rsidRDefault="00195E95">
            <w:pPr>
              <w:jc w:val="center"/>
            </w:pPr>
            <w:r>
              <w:rPr>
                <w:color w:val="000000"/>
              </w:rPr>
              <w:t>0.0016%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159C0">
        <w:trPr>
          <w:jc w:val="center"/>
        </w:trPr>
        <w:tc>
          <w:tcPr>
            <w:tcW w:w="1266" w:type="dxa"/>
            <w:vAlign w:val="center"/>
          </w:tcPr>
          <w:p w:rsidR="007159C0" w:rsidRDefault="00195E95">
            <w:pPr>
              <w:jc w:val="left"/>
            </w:pPr>
            <w:r>
              <w:rPr>
                <w:color w:val="000000"/>
              </w:rPr>
              <w:t>过去三个月</w:t>
            </w:r>
          </w:p>
        </w:tc>
        <w:tc>
          <w:tcPr>
            <w:tcW w:w="1267" w:type="dxa"/>
            <w:vAlign w:val="center"/>
          </w:tcPr>
          <w:p w:rsidR="007159C0" w:rsidRDefault="00195E95">
            <w:pPr>
              <w:jc w:val="center"/>
            </w:pPr>
            <w:r>
              <w:rPr>
                <w:color w:val="000000"/>
              </w:rPr>
              <w:t>0.6874%</w:t>
            </w:r>
          </w:p>
        </w:tc>
        <w:tc>
          <w:tcPr>
            <w:tcW w:w="1267" w:type="dxa"/>
            <w:vAlign w:val="center"/>
          </w:tcPr>
          <w:p w:rsidR="007159C0" w:rsidRDefault="00195E95">
            <w:pPr>
              <w:jc w:val="center"/>
            </w:pPr>
            <w:r>
              <w:rPr>
                <w:color w:val="000000"/>
              </w:rPr>
              <w:t>0.0016%</w:t>
            </w:r>
          </w:p>
        </w:tc>
        <w:tc>
          <w:tcPr>
            <w:tcW w:w="1267" w:type="dxa"/>
            <w:vAlign w:val="center"/>
          </w:tcPr>
          <w:p w:rsidR="007159C0" w:rsidRDefault="00195E95">
            <w:pPr>
              <w:jc w:val="center"/>
            </w:pPr>
            <w:r>
              <w:rPr>
                <w:color w:val="000000"/>
              </w:rPr>
              <w:t>0.0882%</w:t>
            </w:r>
          </w:p>
        </w:tc>
        <w:tc>
          <w:tcPr>
            <w:tcW w:w="1267" w:type="dxa"/>
            <w:vAlign w:val="center"/>
          </w:tcPr>
          <w:p w:rsidR="007159C0" w:rsidRDefault="00195E95">
            <w:pPr>
              <w:jc w:val="center"/>
            </w:pPr>
            <w:r>
              <w:rPr>
                <w:color w:val="000000"/>
              </w:rPr>
              <w:t>0.0000%</w:t>
            </w:r>
          </w:p>
        </w:tc>
        <w:tc>
          <w:tcPr>
            <w:tcW w:w="1267" w:type="dxa"/>
            <w:vAlign w:val="center"/>
          </w:tcPr>
          <w:p w:rsidR="007159C0" w:rsidRDefault="00195E95">
            <w:pPr>
              <w:jc w:val="center"/>
            </w:pPr>
            <w:r>
              <w:rPr>
                <w:color w:val="000000"/>
              </w:rPr>
              <w:t>0.5992%</w:t>
            </w:r>
          </w:p>
        </w:tc>
        <w:tc>
          <w:tcPr>
            <w:tcW w:w="1267" w:type="dxa"/>
            <w:vAlign w:val="center"/>
          </w:tcPr>
          <w:p w:rsidR="007159C0" w:rsidRDefault="00195E95">
            <w:pPr>
              <w:jc w:val="center"/>
            </w:pPr>
            <w:r>
              <w:rPr>
                <w:color w:val="000000"/>
              </w:rPr>
              <w:t>0.0016%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159C0">
        <w:trPr>
          <w:jc w:val="center"/>
        </w:trPr>
        <w:tc>
          <w:tcPr>
            <w:tcW w:w="945" w:type="dxa"/>
            <w:vAlign w:val="center"/>
          </w:tcPr>
          <w:p w:rsidR="007159C0" w:rsidRDefault="00195E95">
            <w:pPr>
              <w:jc w:val="center"/>
            </w:pPr>
            <w:r>
              <w:rPr>
                <w:color w:val="000000"/>
                <w:sz w:val="24"/>
              </w:rPr>
              <w:t>季参平</w:t>
            </w:r>
          </w:p>
        </w:tc>
        <w:tc>
          <w:tcPr>
            <w:tcW w:w="1589" w:type="dxa"/>
            <w:vAlign w:val="center"/>
          </w:tcPr>
          <w:p w:rsidR="007159C0" w:rsidRDefault="00195E95">
            <w:pPr>
              <w:jc w:val="center"/>
            </w:pPr>
            <w:r>
              <w:rPr>
                <w:color w:val="000000"/>
                <w:sz w:val="24"/>
              </w:rPr>
              <w:t>交银货币、交银裕通纯债债券、交银现金宝货币、交银天鑫宝货币的基金经理</w:t>
            </w:r>
          </w:p>
        </w:tc>
        <w:tc>
          <w:tcPr>
            <w:tcW w:w="1478" w:type="dxa"/>
            <w:vAlign w:val="center"/>
          </w:tcPr>
          <w:p w:rsidR="007159C0" w:rsidRDefault="00195E95">
            <w:pPr>
              <w:jc w:val="center"/>
            </w:pPr>
            <w:r>
              <w:rPr>
                <w:color w:val="000000"/>
                <w:sz w:val="24"/>
              </w:rPr>
              <w:t>2019-07-26</w:t>
            </w:r>
          </w:p>
        </w:tc>
        <w:tc>
          <w:tcPr>
            <w:tcW w:w="1478" w:type="dxa"/>
            <w:vAlign w:val="center"/>
          </w:tcPr>
          <w:p w:rsidR="007159C0" w:rsidRDefault="00195E95">
            <w:pPr>
              <w:jc w:val="center"/>
            </w:pPr>
            <w:r>
              <w:rPr>
                <w:color w:val="000000"/>
                <w:sz w:val="24"/>
              </w:rPr>
              <w:t>-</w:t>
            </w:r>
          </w:p>
        </w:tc>
        <w:tc>
          <w:tcPr>
            <w:tcW w:w="986" w:type="dxa"/>
            <w:vAlign w:val="center"/>
          </w:tcPr>
          <w:p w:rsidR="007159C0" w:rsidRDefault="00195E95">
            <w:pPr>
              <w:jc w:val="center"/>
            </w:pPr>
            <w:r>
              <w:rPr>
                <w:color w:val="000000"/>
                <w:sz w:val="24"/>
              </w:rPr>
              <w:t>7</w:t>
            </w:r>
            <w:r>
              <w:rPr>
                <w:color w:val="000000"/>
                <w:sz w:val="24"/>
              </w:rPr>
              <w:t>年</w:t>
            </w:r>
          </w:p>
        </w:tc>
        <w:tc>
          <w:tcPr>
            <w:tcW w:w="2392" w:type="dxa"/>
            <w:vAlign w:val="center"/>
          </w:tcPr>
          <w:p w:rsidR="007159C0" w:rsidRDefault="00195E95">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7159C0" w:rsidRDefault="00195E9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159C0" w:rsidRDefault="00195E9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159C0" w:rsidRDefault="00195E9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159C0" w:rsidRDefault="00195E9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159C0" w:rsidRDefault="00195E9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159C0" w:rsidRDefault="00195E95">
      <w:pPr>
        <w:spacing w:before="29" w:line="288" w:lineRule="auto"/>
        <w:ind w:firstLineChars="200" w:firstLine="480"/>
        <w:rPr>
          <w:color w:val="000000"/>
          <w:sz w:val="24"/>
        </w:rPr>
      </w:pPr>
      <w:r>
        <w:rPr>
          <w:color w:val="000000"/>
          <w:sz w:val="24"/>
        </w:rPr>
        <w:t>本报告期内，货币市场资金水平总体保持平衡偏宽松的态势。由于缴税因素的影响，十月的隔夜回购价格在四季度处于相对高位，平均在</w:t>
      </w:r>
      <w:r>
        <w:rPr>
          <w:color w:val="000000"/>
          <w:sz w:val="24"/>
        </w:rPr>
        <w:t>2.39%</w:t>
      </w:r>
      <w:r>
        <w:rPr>
          <w:color w:val="000000"/>
          <w:sz w:val="24"/>
        </w:rPr>
        <w:t>附近，随着央行公开市场操作</w:t>
      </w:r>
      <w:r>
        <w:rPr>
          <w:color w:val="000000"/>
          <w:sz w:val="24"/>
        </w:rPr>
        <w:t>“</w:t>
      </w:r>
      <w:r>
        <w:rPr>
          <w:color w:val="000000"/>
          <w:sz w:val="24"/>
        </w:rPr>
        <w:t>削峰填谷</w:t>
      </w:r>
      <w:r>
        <w:rPr>
          <w:color w:val="000000"/>
          <w:sz w:val="24"/>
        </w:rPr>
        <w:t>”</w:t>
      </w:r>
      <w:r>
        <w:rPr>
          <w:color w:val="000000"/>
          <w:sz w:val="24"/>
        </w:rPr>
        <w:t>以及</w:t>
      </w:r>
      <w:r>
        <w:rPr>
          <w:color w:val="000000"/>
          <w:sz w:val="24"/>
        </w:rPr>
        <w:t>OMO</w:t>
      </w:r>
      <w:r>
        <w:rPr>
          <w:color w:val="000000"/>
          <w:sz w:val="24"/>
        </w:rPr>
        <w:t>、</w:t>
      </w:r>
      <w:r>
        <w:rPr>
          <w:color w:val="000000"/>
          <w:sz w:val="24"/>
        </w:rPr>
        <w:t>MLF</w:t>
      </w:r>
      <w:r>
        <w:rPr>
          <w:color w:val="000000"/>
          <w:sz w:val="24"/>
        </w:rPr>
        <w:t>利率的下调，隔夜利率逐步走低至十二月的</w:t>
      </w:r>
      <w:r>
        <w:rPr>
          <w:color w:val="000000"/>
          <w:sz w:val="24"/>
        </w:rPr>
        <w:t>2.16%</w:t>
      </w:r>
      <w:r>
        <w:rPr>
          <w:color w:val="000000"/>
          <w:sz w:val="24"/>
        </w:rPr>
        <w:t>水平。四季度由于大量银行存单到期，整体的存单市场价格较前期上涨，三个月国有股份制银行存单最高</w:t>
      </w:r>
      <w:r>
        <w:rPr>
          <w:color w:val="000000"/>
          <w:sz w:val="24"/>
        </w:rPr>
        <w:t>3.15%</w:t>
      </w:r>
      <w:r>
        <w:rPr>
          <w:color w:val="000000"/>
          <w:sz w:val="24"/>
        </w:rPr>
        <w:t>附近，但存单信用分层依然明显，城商行和</w:t>
      </w:r>
      <w:r>
        <w:rPr>
          <w:color w:val="000000"/>
          <w:sz w:val="24"/>
        </w:rPr>
        <w:t>AA+</w:t>
      </w:r>
      <w:r>
        <w:rPr>
          <w:color w:val="000000"/>
          <w:sz w:val="24"/>
        </w:rPr>
        <w:t>银行继续和国有股份制大行保持了明显的利差水平。</w:t>
      </w:r>
      <w:r>
        <w:rPr>
          <w:color w:val="000000"/>
          <w:sz w:val="24"/>
        </w:rPr>
        <w:t>货币政策角度来看，央行在稳健中性的基调下略偏宽松，除了下调七天、十四天逆回购利率</w:t>
      </w:r>
      <w:r>
        <w:rPr>
          <w:color w:val="000000"/>
          <w:sz w:val="24"/>
        </w:rPr>
        <w:t>5bps</w:t>
      </w:r>
      <w:r>
        <w:rPr>
          <w:color w:val="000000"/>
          <w:sz w:val="24"/>
        </w:rPr>
        <w:t>外，对于税期、季节性时点的短期资金支持也较为及时，银行间狭义流动性整体保持偏宽松状态。报告期内，三个月上海银行间拆借利率上行约</w:t>
      </w:r>
      <w:r>
        <w:rPr>
          <w:color w:val="000000"/>
          <w:sz w:val="24"/>
        </w:rPr>
        <w:t>30bps</w:t>
      </w:r>
      <w:r>
        <w:rPr>
          <w:color w:val="000000"/>
          <w:sz w:val="24"/>
        </w:rPr>
        <w:t>到</w:t>
      </w:r>
      <w:r>
        <w:rPr>
          <w:color w:val="000000"/>
          <w:sz w:val="24"/>
        </w:rPr>
        <w:t>3.03%</w:t>
      </w:r>
      <w:r>
        <w:rPr>
          <w:color w:val="000000"/>
          <w:sz w:val="24"/>
        </w:rPr>
        <w:t>。</w:t>
      </w:r>
    </w:p>
    <w:p w:rsidR="007159C0" w:rsidRDefault="00195E95">
      <w:pPr>
        <w:spacing w:before="29" w:line="288" w:lineRule="auto"/>
        <w:ind w:firstLineChars="200" w:firstLine="480"/>
        <w:rPr>
          <w:color w:val="000000"/>
          <w:sz w:val="24"/>
        </w:rPr>
      </w:pPr>
      <w:r>
        <w:rPr>
          <w:color w:val="000000"/>
          <w:sz w:val="24"/>
        </w:rPr>
        <w:t>基金操作方面，我们维持低杠杆、短久期的操作思路，多投资于估值波动较小的银行存款与回购等，组合整体流动性良好。十二月末我们视组合流动性和市场情况，增配了高评级的同业存单、同业存款等，提高组合收益水平。</w:t>
      </w:r>
    </w:p>
    <w:p w:rsidR="007159C0" w:rsidRDefault="00195E95">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年一季度，我们将密切关注年初信贷开门红后的库存周期和地产投资</w:t>
      </w:r>
      <w:r>
        <w:rPr>
          <w:color w:val="000000"/>
          <w:sz w:val="24"/>
        </w:rPr>
        <w:t>走势，警惕结构性猪肉通胀向全面通胀扩散的可能性，同时我们将继续观察银行理财子公司的发展以及现金管理型理财产品对行业生态的影响。我们认为，未来名义</w:t>
      </w:r>
      <w:r>
        <w:rPr>
          <w:color w:val="000000"/>
          <w:sz w:val="24"/>
        </w:rPr>
        <w:t>GDP</w:t>
      </w:r>
      <w:r>
        <w:rPr>
          <w:color w:val="000000"/>
          <w:sz w:val="24"/>
        </w:rPr>
        <w:t>的增长和通胀的不确定性，可能将增加利率的波动性，而狭义资金面的宽松可能相对较为确定。</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7,837,549,924.32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49.11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7,807,549,924.32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48.92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0.19</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2,118,195,297.30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13.27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5,950,653,800.72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37.29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52,588,913.91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15,958,987,936.25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13.73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2,036,050,711.97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14.63</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14.46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14.63</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18.54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24.00</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7.14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50.18</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114.32</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14.63</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119,616,766.84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0.86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590,434,727.34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590,434,727.34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2,060,221,575.25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14.81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5,037,276,854.89</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36.20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7,807,549,924.32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56.11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857"/>
        <w:gridCol w:w="1351"/>
        <w:gridCol w:w="2274"/>
        <w:gridCol w:w="1484"/>
        <w:gridCol w:w="1716"/>
        <w:gridCol w:w="1620"/>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159C0">
        <w:trPr>
          <w:jc w:val="center"/>
        </w:trPr>
        <w:tc>
          <w:tcPr>
            <w:tcW w:w="0" w:type="auto"/>
            <w:vAlign w:val="center"/>
          </w:tcPr>
          <w:p w:rsidR="007159C0" w:rsidRDefault="00195E95">
            <w:pPr>
              <w:jc w:val="center"/>
            </w:pPr>
            <w:r>
              <w:rPr>
                <w:color w:val="000000"/>
                <w:sz w:val="24"/>
              </w:rPr>
              <w:t>1</w:t>
            </w:r>
          </w:p>
        </w:tc>
        <w:tc>
          <w:tcPr>
            <w:tcW w:w="0" w:type="auto"/>
            <w:vAlign w:val="center"/>
          </w:tcPr>
          <w:p w:rsidR="007159C0" w:rsidRDefault="00195E95">
            <w:pPr>
              <w:jc w:val="center"/>
            </w:pPr>
            <w:r>
              <w:rPr>
                <w:color w:val="000000"/>
                <w:sz w:val="24"/>
              </w:rPr>
              <w:t>111914113</w:t>
            </w:r>
          </w:p>
        </w:tc>
        <w:tc>
          <w:tcPr>
            <w:tcW w:w="0" w:type="auto"/>
            <w:vAlign w:val="center"/>
          </w:tcPr>
          <w:p w:rsidR="007159C0" w:rsidRDefault="00195E95">
            <w:pPr>
              <w:jc w:val="center"/>
            </w:pPr>
            <w:r>
              <w:rPr>
                <w:color w:val="000000"/>
                <w:sz w:val="24"/>
              </w:rPr>
              <w:t>19</w:t>
            </w:r>
            <w:r>
              <w:rPr>
                <w:color w:val="000000"/>
                <w:sz w:val="24"/>
              </w:rPr>
              <w:t>江苏银行</w:t>
            </w:r>
            <w:r>
              <w:rPr>
                <w:color w:val="000000"/>
                <w:sz w:val="24"/>
              </w:rPr>
              <w:t>CD113</w:t>
            </w:r>
          </w:p>
        </w:tc>
        <w:tc>
          <w:tcPr>
            <w:tcW w:w="0" w:type="auto"/>
            <w:vAlign w:val="center"/>
          </w:tcPr>
          <w:p w:rsidR="007159C0" w:rsidRDefault="00195E95">
            <w:pPr>
              <w:jc w:val="right"/>
            </w:pPr>
            <w:r>
              <w:rPr>
                <w:color w:val="000000"/>
                <w:sz w:val="24"/>
              </w:rPr>
              <w:t>5,000,000</w:t>
            </w:r>
          </w:p>
        </w:tc>
        <w:tc>
          <w:tcPr>
            <w:tcW w:w="0" w:type="auto"/>
            <w:vAlign w:val="center"/>
          </w:tcPr>
          <w:p w:rsidR="007159C0" w:rsidRDefault="00195E95">
            <w:pPr>
              <w:jc w:val="right"/>
            </w:pPr>
            <w:r>
              <w:rPr>
                <w:color w:val="000000"/>
                <w:sz w:val="24"/>
              </w:rPr>
              <w:t>496,412,518.30</w:t>
            </w:r>
          </w:p>
        </w:tc>
        <w:tc>
          <w:tcPr>
            <w:tcW w:w="0" w:type="auto"/>
            <w:vAlign w:val="center"/>
          </w:tcPr>
          <w:p w:rsidR="007159C0" w:rsidRDefault="00195E95">
            <w:pPr>
              <w:jc w:val="right"/>
            </w:pPr>
            <w:r>
              <w:rPr>
                <w:color w:val="000000"/>
                <w:sz w:val="24"/>
              </w:rPr>
              <w:t>3.57</w:t>
            </w:r>
          </w:p>
        </w:tc>
      </w:tr>
      <w:tr w:rsidR="007159C0">
        <w:trPr>
          <w:jc w:val="center"/>
        </w:trPr>
        <w:tc>
          <w:tcPr>
            <w:tcW w:w="0" w:type="auto"/>
            <w:vAlign w:val="center"/>
          </w:tcPr>
          <w:p w:rsidR="007159C0" w:rsidRDefault="00195E95">
            <w:pPr>
              <w:jc w:val="center"/>
            </w:pPr>
            <w:r>
              <w:rPr>
                <w:color w:val="000000"/>
                <w:sz w:val="24"/>
              </w:rPr>
              <w:t>2</w:t>
            </w:r>
          </w:p>
        </w:tc>
        <w:tc>
          <w:tcPr>
            <w:tcW w:w="0" w:type="auto"/>
            <w:vAlign w:val="center"/>
          </w:tcPr>
          <w:p w:rsidR="007159C0" w:rsidRDefault="00195E95">
            <w:pPr>
              <w:jc w:val="center"/>
            </w:pPr>
            <w:r>
              <w:rPr>
                <w:color w:val="000000"/>
                <w:sz w:val="24"/>
              </w:rPr>
              <w:t>111981185</w:t>
            </w:r>
          </w:p>
        </w:tc>
        <w:tc>
          <w:tcPr>
            <w:tcW w:w="0" w:type="auto"/>
            <w:vAlign w:val="center"/>
          </w:tcPr>
          <w:p w:rsidR="007159C0" w:rsidRDefault="00195E95">
            <w:pPr>
              <w:jc w:val="center"/>
            </w:pPr>
            <w:r>
              <w:rPr>
                <w:color w:val="000000"/>
                <w:sz w:val="24"/>
              </w:rPr>
              <w:t>19</w:t>
            </w:r>
            <w:r>
              <w:rPr>
                <w:color w:val="000000"/>
                <w:sz w:val="24"/>
              </w:rPr>
              <w:t>广州农村商业银行</w:t>
            </w:r>
            <w:r>
              <w:rPr>
                <w:color w:val="000000"/>
                <w:sz w:val="24"/>
              </w:rPr>
              <w:t>CD082</w:t>
            </w:r>
          </w:p>
        </w:tc>
        <w:tc>
          <w:tcPr>
            <w:tcW w:w="0" w:type="auto"/>
            <w:vAlign w:val="center"/>
          </w:tcPr>
          <w:p w:rsidR="007159C0" w:rsidRDefault="00195E95">
            <w:pPr>
              <w:jc w:val="right"/>
            </w:pPr>
            <w:r>
              <w:rPr>
                <w:color w:val="000000"/>
                <w:sz w:val="24"/>
              </w:rPr>
              <w:t>4,000,000</w:t>
            </w:r>
          </w:p>
        </w:tc>
        <w:tc>
          <w:tcPr>
            <w:tcW w:w="0" w:type="auto"/>
            <w:vAlign w:val="center"/>
          </w:tcPr>
          <w:p w:rsidR="007159C0" w:rsidRDefault="00195E95">
            <w:pPr>
              <w:jc w:val="right"/>
            </w:pPr>
            <w:r>
              <w:rPr>
                <w:color w:val="000000"/>
                <w:sz w:val="24"/>
              </w:rPr>
              <w:t>397,199,319.49</w:t>
            </w:r>
          </w:p>
        </w:tc>
        <w:tc>
          <w:tcPr>
            <w:tcW w:w="0" w:type="auto"/>
            <w:vAlign w:val="center"/>
          </w:tcPr>
          <w:p w:rsidR="007159C0" w:rsidRDefault="00195E95">
            <w:pPr>
              <w:jc w:val="right"/>
            </w:pPr>
            <w:r>
              <w:rPr>
                <w:color w:val="000000"/>
                <w:sz w:val="24"/>
              </w:rPr>
              <w:t>2.85</w:t>
            </w:r>
          </w:p>
        </w:tc>
      </w:tr>
      <w:tr w:rsidR="007159C0">
        <w:trPr>
          <w:jc w:val="center"/>
        </w:trPr>
        <w:tc>
          <w:tcPr>
            <w:tcW w:w="0" w:type="auto"/>
            <w:vAlign w:val="center"/>
          </w:tcPr>
          <w:p w:rsidR="007159C0" w:rsidRDefault="00195E95">
            <w:pPr>
              <w:jc w:val="center"/>
            </w:pPr>
            <w:r>
              <w:rPr>
                <w:color w:val="000000"/>
                <w:sz w:val="24"/>
              </w:rPr>
              <w:t>3</w:t>
            </w:r>
          </w:p>
        </w:tc>
        <w:tc>
          <w:tcPr>
            <w:tcW w:w="0" w:type="auto"/>
            <w:vAlign w:val="center"/>
          </w:tcPr>
          <w:p w:rsidR="007159C0" w:rsidRDefault="00195E95">
            <w:pPr>
              <w:jc w:val="center"/>
            </w:pPr>
            <w:r>
              <w:rPr>
                <w:color w:val="000000"/>
                <w:sz w:val="24"/>
              </w:rPr>
              <w:t>170302</w:t>
            </w:r>
          </w:p>
        </w:tc>
        <w:tc>
          <w:tcPr>
            <w:tcW w:w="0" w:type="auto"/>
            <w:vAlign w:val="center"/>
          </w:tcPr>
          <w:p w:rsidR="007159C0" w:rsidRDefault="00195E95">
            <w:pPr>
              <w:jc w:val="center"/>
            </w:pPr>
            <w:r>
              <w:rPr>
                <w:color w:val="000000"/>
                <w:sz w:val="24"/>
              </w:rPr>
              <w:t>17</w:t>
            </w:r>
            <w:r>
              <w:rPr>
                <w:color w:val="000000"/>
                <w:sz w:val="24"/>
              </w:rPr>
              <w:t>进出</w:t>
            </w:r>
            <w:r>
              <w:rPr>
                <w:color w:val="000000"/>
                <w:sz w:val="24"/>
              </w:rPr>
              <w:t>02</w:t>
            </w:r>
          </w:p>
        </w:tc>
        <w:tc>
          <w:tcPr>
            <w:tcW w:w="0" w:type="auto"/>
            <w:vAlign w:val="center"/>
          </w:tcPr>
          <w:p w:rsidR="007159C0" w:rsidRDefault="00195E95">
            <w:pPr>
              <w:jc w:val="right"/>
            </w:pPr>
            <w:r>
              <w:rPr>
                <w:color w:val="000000"/>
                <w:sz w:val="24"/>
              </w:rPr>
              <w:t>2,100,000</w:t>
            </w:r>
          </w:p>
        </w:tc>
        <w:tc>
          <w:tcPr>
            <w:tcW w:w="0" w:type="auto"/>
            <w:vAlign w:val="center"/>
          </w:tcPr>
          <w:p w:rsidR="007159C0" w:rsidRDefault="00195E95">
            <w:pPr>
              <w:jc w:val="right"/>
            </w:pPr>
            <w:r>
              <w:rPr>
                <w:color w:val="000000"/>
                <w:sz w:val="24"/>
              </w:rPr>
              <w:t>210,393,838.70</w:t>
            </w:r>
          </w:p>
        </w:tc>
        <w:tc>
          <w:tcPr>
            <w:tcW w:w="0" w:type="auto"/>
            <w:vAlign w:val="center"/>
          </w:tcPr>
          <w:p w:rsidR="007159C0" w:rsidRDefault="00195E95">
            <w:pPr>
              <w:jc w:val="right"/>
            </w:pPr>
            <w:r>
              <w:rPr>
                <w:color w:val="000000"/>
                <w:sz w:val="24"/>
              </w:rPr>
              <w:t>1.51</w:t>
            </w:r>
          </w:p>
        </w:tc>
      </w:tr>
      <w:tr w:rsidR="007159C0">
        <w:trPr>
          <w:jc w:val="center"/>
        </w:trPr>
        <w:tc>
          <w:tcPr>
            <w:tcW w:w="0" w:type="auto"/>
            <w:vAlign w:val="center"/>
          </w:tcPr>
          <w:p w:rsidR="007159C0" w:rsidRDefault="00195E95">
            <w:pPr>
              <w:jc w:val="center"/>
            </w:pPr>
            <w:r>
              <w:rPr>
                <w:color w:val="000000"/>
                <w:sz w:val="24"/>
              </w:rPr>
              <w:t>4</w:t>
            </w:r>
          </w:p>
        </w:tc>
        <w:tc>
          <w:tcPr>
            <w:tcW w:w="0" w:type="auto"/>
            <w:vAlign w:val="center"/>
          </w:tcPr>
          <w:p w:rsidR="007159C0" w:rsidRDefault="00195E95">
            <w:pPr>
              <w:jc w:val="center"/>
            </w:pPr>
            <w:r>
              <w:rPr>
                <w:color w:val="000000"/>
                <w:sz w:val="24"/>
              </w:rPr>
              <w:t>071900159</w:t>
            </w:r>
          </w:p>
        </w:tc>
        <w:tc>
          <w:tcPr>
            <w:tcW w:w="0" w:type="auto"/>
            <w:vAlign w:val="center"/>
          </w:tcPr>
          <w:p w:rsidR="007159C0" w:rsidRDefault="00195E95">
            <w:pPr>
              <w:jc w:val="center"/>
            </w:pPr>
            <w:r>
              <w:rPr>
                <w:color w:val="000000"/>
                <w:sz w:val="24"/>
              </w:rPr>
              <w:t>19</w:t>
            </w:r>
            <w:r>
              <w:rPr>
                <w:color w:val="000000"/>
                <w:sz w:val="24"/>
              </w:rPr>
              <w:t>国元证券</w:t>
            </w:r>
            <w:r>
              <w:rPr>
                <w:color w:val="000000"/>
                <w:sz w:val="24"/>
              </w:rPr>
              <w:t>CP003</w:t>
            </w:r>
          </w:p>
        </w:tc>
        <w:tc>
          <w:tcPr>
            <w:tcW w:w="0" w:type="auto"/>
            <w:vAlign w:val="center"/>
          </w:tcPr>
          <w:p w:rsidR="007159C0" w:rsidRDefault="00195E95">
            <w:pPr>
              <w:jc w:val="right"/>
            </w:pPr>
            <w:r>
              <w:rPr>
                <w:color w:val="000000"/>
                <w:sz w:val="24"/>
              </w:rPr>
              <w:t>2,000,000</w:t>
            </w:r>
          </w:p>
        </w:tc>
        <w:tc>
          <w:tcPr>
            <w:tcW w:w="0" w:type="auto"/>
            <w:vAlign w:val="center"/>
          </w:tcPr>
          <w:p w:rsidR="007159C0" w:rsidRDefault="00195E95">
            <w:pPr>
              <w:jc w:val="right"/>
            </w:pPr>
            <w:r>
              <w:rPr>
                <w:color w:val="000000"/>
                <w:sz w:val="24"/>
              </w:rPr>
              <w:t>200,002,795.22</w:t>
            </w:r>
          </w:p>
        </w:tc>
        <w:tc>
          <w:tcPr>
            <w:tcW w:w="0" w:type="auto"/>
            <w:vAlign w:val="center"/>
          </w:tcPr>
          <w:p w:rsidR="007159C0" w:rsidRDefault="00195E95">
            <w:pPr>
              <w:jc w:val="right"/>
            </w:pPr>
            <w:r>
              <w:rPr>
                <w:color w:val="000000"/>
                <w:sz w:val="24"/>
              </w:rPr>
              <w:t>1.44</w:t>
            </w:r>
          </w:p>
        </w:tc>
      </w:tr>
      <w:tr w:rsidR="007159C0">
        <w:trPr>
          <w:jc w:val="center"/>
        </w:trPr>
        <w:tc>
          <w:tcPr>
            <w:tcW w:w="0" w:type="auto"/>
            <w:vAlign w:val="center"/>
          </w:tcPr>
          <w:p w:rsidR="007159C0" w:rsidRDefault="00195E95">
            <w:pPr>
              <w:jc w:val="center"/>
            </w:pPr>
            <w:r>
              <w:rPr>
                <w:color w:val="000000"/>
                <w:sz w:val="24"/>
              </w:rPr>
              <w:t>5</w:t>
            </w:r>
          </w:p>
        </w:tc>
        <w:tc>
          <w:tcPr>
            <w:tcW w:w="0" w:type="auto"/>
            <w:vAlign w:val="center"/>
          </w:tcPr>
          <w:p w:rsidR="007159C0" w:rsidRDefault="00195E95">
            <w:pPr>
              <w:jc w:val="center"/>
            </w:pPr>
            <w:r>
              <w:rPr>
                <w:color w:val="000000"/>
                <w:sz w:val="24"/>
              </w:rPr>
              <w:t>071900173</w:t>
            </w:r>
          </w:p>
        </w:tc>
        <w:tc>
          <w:tcPr>
            <w:tcW w:w="0" w:type="auto"/>
            <w:vAlign w:val="center"/>
          </w:tcPr>
          <w:p w:rsidR="007159C0" w:rsidRDefault="00195E95">
            <w:pPr>
              <w:jc w:val="center"/>
            </w:pPr>
            <w:r>
              <w:rPr>
                <w:color w:val="000000"/>
                <w:sz w:val="24"/>
              </w:rPr>
              <w:t>19</w:t>
            </w:r>
            <w:r>
              <w:rPr>
                <w:color w:val="000000"/>
                <w:sz w:val="24"/>
              </w:rPr>
              <w:t>中信</w:t>
            </w:r>
            <w:r>
              <w:rPr>
                <w:color w:val="000000"/>
                <w:sz w:val="24"/>
              </w:rPr>
              <w:t>CP012</w:t>
            </w:r>
          </w:p>
        </w:tc>
        <w:tc>
          <w:tcPr>
            <w:tcW w:w="0" w:type="auto"/>
            <w:vAlign w:val="center"/>
          </w:tcPr>
          <w:p w:rsidR="007159C0" w:rsidRDefault="00195E95">
            <w:pPr>
              <w:jc w:val="right"/>
            </w:pPr>
            <w:r>
              <w:rPr>
                <w:color w:val="000000"/>
                <w:sz w:val="24"/>
              </w:rPr>
              <w:t>2,000,000</w:t>
            </w:r>
          </w:p>
        </w:tc>
        <w:tc>
          <w:tcPr>
            <w:tcW w:w="0" w:type="auto"/>
            <w:vAlign w:val="center"/>
          </w:tcPr>
          <w:p w:rsidR="007159C0" w:rsidRDefault="00195E95">
            <w:pPr>
              <w:jc w:val="right"/>
            </w:pPr>
            <w:r>
              <w:rPr>
                <w:color w:val="000000"/>
                <w:sz w:val="24"/>
              </w:rPr>
              <w:t>200,000,118.40</w:t>
            </w:r>
          </w:p>
        </w:tc>
        <w:tc>
          <w:tcPr>
            <w:tcW w:w="0" w:type="auto"/>
            <w:vAlign w:val="center"/>
          </w:tcPr>
          <w:p w:rsidR="007159C0" w:rsidRDefault="00195E95">
            <w:pPr>
              <w:jc w:val="right"/>
            </w:pPr>
            <w:r>
              <w:rPr>
                <w:color w:val="000000"/>
                <w:sz w:val="24"/>
              </w:rPr>
              <w:t>1.44</w:t>
            </w:r>
          </w:p>
        </w:tc>
      </w:tr>
      <w:tr w:rsidR="007159C0">
        <w:trPr>
          <w:jc w:val="center"/>
        </w:trPr>
        <w:tc>
          <w:tcPr>
            <w:tcW w:w="0" w:type="auto"/>
            <w:vAlign w:val="center"/>
          </w:tcPr>
          <w:p w:rsidR="007159C0" w:rsidRDefault="00195E95">
            <w:pPr>
              <w:jc w:val="center"/>
            </w:pPr>
            <w:r>
              <w:rPr>
                <w:color w:val="000000"/>
                <w:sz w:val="24"/>
              </w:rPr>
              <w:t>6</w:t>
            </w:r>
          </w:p>
        </w:tc>
        <w:tc>
          <w:tcPr>
            <w:tcW w:w="0" w:type="auto"/>
            <w:vAlign w:val="center"/>
          </w:tcPr>
          <w:p w:rsidR="007159C0" w:rsidRDefault="00195E95">
            <w:pPr>
              <w:jc w:val="center"/>
            </w:pPr>
            <w:r>
              <w:rPr>
                <w:color w:val="000000"/>
                <w:sz w:val="24"/>
              </w:rPr>
              <w:t>071900158</w:t>
            </w:r>
          </w:p>
        </w:tc>
        <w:tc>
          <w:tcPr>
            <w:tcW w:w="0" w:type="auto"/>
            <w:vAlign w:val="center"/>
          </w:tcPr>
          <w:p w:rsidR="007159C0" w:rsidRDefault="00195E95">
            <w:pPr>
              <w:jc w:val="center"/>
            </w:pPr>
            <w:r>
              <w:rPr>
                <w:color w:val="000000"/>
                <w:sz w:val="24"/>
              </w:rPr>
              <w:t>19</w:t>
            </w:r>
            <w:r>
              <w:rPr>
                <w:color w:val="000000"/>
                <w:sz w:val="24"/>
              </w:rPr>
              <w:t>国信证券</w:t>
            </w:r>
            <w:r>
              <w:rPr>
                <w:color w:val="000000"/>
                <w:sz w:val="24"/>
              </w:rPr>
              <w:t>CP011</w:t>
            </w:r>
          </w:p>
        </w:tc>
        <w:tc>
          <w:tcPr>
            <w:tcW w:w="0" w:type="auto"/>
            <w:vAlign w:val="center"/>
          </w:tcPr>
          <w:p w:rsidR="007159C0" w:rsidRDefault="00195E95">
            <w:pPr>
              <w:jc w:val="right"/>
            </w:pPr>
            <w:r>
              <w:rPr>
                <w:color w:val="000000"/>
                <w:sz w:val="24"/>
              </w:rPr>
              <w:t>2,000,000</w:t>
            </w:r>
          </w:p>
        </w:tc>
        <w:tc>
          <w:tcPr>
            <w:tcW w:w="0" w:type="auto"/>
            <w:vAlign w:val="center"/>
          </w:tcPr>
          <w:p w:rsidR="007159C0" w:rsidRDefault="00195E95">
            <w:pPr>
              <w:jc w:val="right"/>
            </w:pPr>
            <w:r>
              <w:rPr>
                <w:color w:val="000000"/>
                <w:sz w:val="24"/>
              </w:rPr>
              <w:t>200,000,091.72</w:t>
            </w:r>
          </w:p>
        </w:tc>
        <w:tc>
          <w:tcPr>
            <w:tcW w:w="0" w:type="auto"/>
            <w:vAlign w:val="center"/>
          </w:tcPr>
          <w:p w:rsidR="007159C0" w:rsidRDefault="00195E95">
            <w:pPr>
              <w:jc w:val="right"/>
            </w:pPr>
            <w:r>
              <w:rPr>
                <w:color w:val="000000"/>
                <w:sz w:val="24"/>
              </w:rPr>
              <w:t>1.44</w:t>
            </w:r>
          </w:p>
        </w:tc>
      </w:tr>
      <w:tr w:rsidR="007159C0">
        <w:trPr>
          <w:jc w:val="center"/>
        </w:trPr>
        <w:tc>
          <w:tcPr>
            <w:tcW w:w="0" w:type="auto"/>
            <w:vAlign w:val="center"/>
          </w:tcPr>
          <w:p w:rsidR="007159C0" w:rsidRDefault="00195E95">
            <w:pPr>
              <w:jc w:val="center"/>
            </w:pPr>
            <w:r>
              <w:rPr>
                <w:color w:val="000000"/>
                <w:sz w:val="24"/>
              </w:rPr>
              <w:t>7</w:t>
            </w:r>
          </w:p>
        </w:tc>
        <w:tc>
          <w:tcPr>
            <w:tcW w:w="0" w:type="auto"/>
            <w:vAlign w:val="center"/>
          </w:tcPr>
          <w:p w:rsidR="007159C0" w:rsidRDefault="00195E95">
            <w:pPr>
              <w:jc w:val="center"/>
            </w:pPr>
            <w:r>
              <w:rPr>
                <w:color w:val="000000"/>
                <w:sz w:val="24"/>
              </w:rPr>
              <w:t>071900155</w:t>
            </w:r>
          </w:p>
        </w:tc>
        <w:tc>
          <w:tcPr>
            <w:tcW w:w="0" w:type="auto"/>
            <w:vAlign w:val="center"/>
          </w:tcPr>
          <w:p w:rsidR="007159C0" w:rsidRDefault="00195E95">
            <w:pPr>
              <w:jc w:val="center"/>
            </w:pPr>
            <w:r>
              <w:rPr>
                <w:color w:val="000000"/>
                <w:sz w:val="24"/>
              </w:rPr>
              <w:t>19</w:t>
            </w:r>
            <w:r>
              <w:rPr>
                <w:color w:val="000000"/>
                <w:sz w:val="24"/>
              </w:rPr>
              <w:t>招商</w:t>
            </w:r>
            <w:r>
              <w:rPr>
                <w:color w:val="000000"/>
                <w:sz w:val="24"/>
              </w:rPr>
              <w:t>CP017BC</w:t>
            </w:r>
          </w:p>
        </w:tc>
        <w:tc>
          <w:tcPr>
            <w:tcW w:w="0" w:type="auto"/>
            <w:vAlign w:val="center"/>
          </w:tcPr>
          <w:p w:rsidR="007159C0" w:rsidRDefault="00195E95">
            <w:pPr>
              <w:jc w:val="right"/>
            </w:pPr>
            <w:r>
              <w:rPr>
                <w:color w:val="000000"/>
                <w:sz w:val="24"/>
              </w:rPr>
              <w:t>2,000,000</w:t>
            </w:r>
          </w:p>
        </w:tc>
        <w:tc>
          <w:tcPr>
            <w:tcW w:w="0" w:type="auto"/>
            <w:vAlign w:val="center"/>
          </w:tcPr>
          <w:p w:rsidR="007159C0" w:rsidRDefault="00195E95">
            <w:pPr>
              <w:jc w:val="right"/>
            </w:pPr>
            <w:r>
              <w:rPr>
                <w:color w:val="000000"/>
                <w:sz w:val="24"/>
              </w:rPr>
              <w:t>200,000,084.78</w:t>
            </w:r>
          </w:p>
        </w:tc>
        <w:tc>
          <w:tcPr>
            <w:tcW w:w="0" w:type="auto"/>
            <w:vAlign w:val="center"/>
          </w:tcPr>
          <w:p w:rsidR="007159C0" w:rsidRDefault="00195E95">
            <w:pPr>
              <w:jc w:val="right"/>
            </w:pPr>
            <w:r>
              <w:rPr>
                <w:color w:val="000000"/>
                <w:sz w:val="24"/>
              </w:rPr>
              <w:t>1.44</w:t>
            </w:r>
          </w:p>
        </w:tc>
      </w:tr>
      <w:tr w:rsidR="007159C0">
        <w:trPr>
          <w:jc w:val="center"/>
        </w:trPr>
        <w:tc>
          <w:tcPr>
            <w:tcW w:w="0" w:type="auto"/>
            <w:vAlign w:val="center"/>
          </w:tcPr>
          <w:p w:rsidR="007159C0" w:rsidRDefault="00195E95">
            <w:pPr>
              <w:jc w:val="center"/>
            </w:pPr>
            <w:r>
              <w:rPr>
                <w:color w:val="000000"/>
                <w:sz w:val="24"/>
              </w:rPr>
              <w:t>8</w:t>
            </w:r>
          </w:p>
        </w:tc>
        <w:tc>
          <w:tcPr>
            <w:tcW w:w="0" w:type="auto"/>
            <w:vAlign w:val="center"/>
          </w:tcPr>
          <w:p w:rsidR="007159C0" w:rsidRDefault="00195E95">
            <w:pPr>
              <w:jc w:val="center"/>
            </w:pPr>
            <w:r>
              <w:rPr>
                <w:color w:val="000000"/>
                <w:sz w:val="24"/>
              </w:rPr>
              <w:t>071900151</w:t>
            </w:r>
          </w:p>
        </w:tc>
        <w:tc>
          <w:tcPr>
            <w:tcW w:w="0" w:type="auto"/>
            <w:vAlign w:val="center"/>
          </w:tcPr>
          <w:p w:rsidR="007159C0" w:rsidRDefault="00195E95">
            <w:pPr>
              <w:jc w:val="center"/>
            </w:pPr>
            <w:r>
              <w:rPr>
                <w:color w:val="000000"/>
                <w:sz w:val="24"/>
              </w:rPr>
              <w:t>19</w:t>
            </w:r>
            <w:r>
              <w:rPr>
                <w:color w:val="000000"/>
                <w:sz w:val="24"/>
              </w:rPr>
              <w:t>银河证券</w:t>
            </w:r>
            <w:r>
              <w:rPr>
                <w:color w:val="000000"/>
                <w:sz w:val="24"/>
              </w:rPr>
              <w:t>CP002</w:t>
            </w:r>
          </w:p>
        </w:tc>
        <w:tc>
          <w:tcPr>
            <w:tcW w:w="0" w:type="auto"/>
            <w:vAlign w:val="center"/>
          </w:tcPr>
          <w:p w:rsidR="007159C0" w:rsidRDefault="00195E95">
            <w:pPr>
              <w:jc w:val="right"/>
            </w:pPr>
            <w:r>
              <w:rPr>
                <w:color w:val="000000"/>
                <w:sz w:val="24"/>
              </w:rPr>
              <w:t>2,000,000</w:t>
            </w:r>
          </w:p>
        </w:tc>
        <w:tc>
          <w:tcPr>
            <w:tcW w:w="0" w:type="auto"/>
            <w:vAlign w:val="center"/>
          </w:tcPr>
          <w:p w:rsidR="007159C0" w:rsidRDefault="00195E95">
            <w:pPr>
              <w:jc w:val="right"/>
            </w:pPr>
            <w:r>
              <w:rPr>
                <w:color w:val="000000"/>
                <w:sz w:val="24"/>
              </w:rPr>
              <w:t>200,000,081.68</w:t>
            </w:r>
          </w:p>
        </w:tc>
        <w:tc>
          <w:tcPr>
            <w:tcW w:w="0" w:type="auto"/>
            <w:vAlign w:val="center"/>
          </w:tcPr>
          <w:p w:rsidR="007159C0" w:rsidRDefault="00195E95">
            <w:pPr>
              <w:jc w:val="right"/>
            </w:pPr>
            <w:r>
              <w:rPr>
                <w:color w:val="000000"/>
                <w:sz w:val="24"/>
              </w:rPr>
              <w:t>1.44</w:t>
            </w:r>
          </w:p>
        </w:tc>
      </w:tr>
      <w:tr w:rsidR="007159C0">
        <w:trPr>
          <w:jc w:val="center"/>
        </w:trPr>
        <w:tc>
          <w:tcPr>
            <w:tcW w:w="0" w:type="auto"/>
            <w:vAlign w:val="center"/>
          </w:tcPr>
          <w:p w:rsidR="007159C0" w:rsidRDefault="00195E95">
            <w:pPr>
              <w:jc w:val="center"/>
            </w:pPr>
            <w:r>
              <w:rPr>
                <w:color w:val="000000"/>
                <w:sz w:val="24"/>
              </w:rPr>
              <w:t>9</w:t>
            </w:r>
          </w:p>
        </w:tc>
        <w:tc>
          <w:tcPr>
            <w:tcW w:w="0" w:type="auto"/>
            <w:vAlign w:val="center"/>
          </w:tcPr>
          <w:p w:rsidR="007159C0" w:rsidRDefault="00195E95">
            <w:pPr>
              <w:jc w:val="center"/>
            </w:pPr>
            <w:r>
              <w:rPr>
                <w:color w:val="000000"/>
                <w:sz w:val="24"/>
              </w:rPr>
              <w:t>111981036</w:t>
            </w:r>
          </w:p>
        </w:tc>
        <w:tc>
          <w:tcPr>
            <w:tcW w:w="0" w:type="auto"/>
            <w:vAlign w:val="center"/>
          </w:tcPr>
          <w:p w:rsidR="007159C0" w:rsidRDefault="00195E95">
            <w:pPr>
              <w:jc w:val="center"/>
            </w:pPr>
            <w:r>
              <w:rPr>
                <w:color w:val="000000"/>
                <w:sz w:val="24"/>
              </w:rPr>
              <w:t>19</w:t>
            </w:r>
            <w:r>
              <w:rPr>
                <w:color w:val="000000"/>
                <w:sz w:val="24"/>
              </w:rPr>
              <w:t>宁波银行</w:t>
            </w:r>
            <w:r>
              <w:rPr>
                <w:color w:val="000000"/>
                <w:sz w:val="24"/>
              </w:rPr>
              <w:t>CD116</w:t>
            </w:r>
          </w:p>
        </w:tc>
        <w:tc>
          <w:tcPr>
            <w:tcW w:w="0" w:type="auto"/>
            <w:vAlign w:val="center"/>
          </w:tcPr>
          <w:p w:rsidR="007159C0" w:rsidRDefault="00195E95">
            <w:pPr>
              <w:jc w:val="right"/>
            </w:pPr>
            <w:r>
              <w:rPr>
                <w:color w:val="000000"/>
                <w:sz w:val="24"/>
              </w:rPr>
              <w:t>2,000,000</w:t>
            </w:r>
          </w:p>
        </w:tc>
        <w:tc>
          <w:tcPr>
            <w:tcW w:w="0" w:type="auto"/>
            <w:vAlign w:val="center"/>
          </w:tcPr>
          <w:p w:rsidR="007159C0" w:rsidRDefault="00195E95">
            <w:pPr>
              <w:jc w:val="right"/>
            </w:pPr>
            <w:r>
              <w:rPr>
                <w:color w:val="000000"/>
                <w:sz w:val="24"/>
              </w:rPr>
              <w:t>198,620,499.25</w:t>
            </w:r>
          </w:p>
        </w:tc>
        <w:tc>
          <w:tcPr>
            <w:tcW w:w="0" w:type="auto"/>
            <w:vAlign w:val="center"/>
          </w:tcPr>
          <w:p w:rsidR="007159C0" w:rsidRDefault="00195E95">
            <w:pPr>
              <w:jc w:val="right"/>
            </w:pPr>
            <w:r>
              <w:rPr>
                <w:color w:val="000000"/>
                <w:sz w:val="24"/>
              </w:rPr>
              <w:t>1.43</w:t>
            </w:r>
          </w:p>
        </w:tc>
      </w:tr>
      <w:tr w:rsidR="007159C0">
        <w:trPr>
          <w:jc w:val="center"/>
        </w:trPr>
        <w:tc>
          <w:tcPr>
            <w:tcW w:w="0" w:type="auto"/>
            <w:vAlign w:val="center"/>
          </w:tcPr>
          <w:p w:rsidR="007159C0" w:rsidRDefault="00195E95">
            <w:pPr>
              <w:jc w:val="center"/>
            </w:pPr>
            <w:r>
              <w:rPr>
                <w:color w:val="000000"/>
                <w:sz w:val="24"/>
              </w:rPr>
              <w:t>10</w:t>
            </w:r>
          </w:p>
        </w:tc>
        <w:tc>
          <w:tcPr>
            <w:tcW w:w="0" w:type="auto"/>
            <w:vAlign w:val="center"/>
          </w:tcPr>
          <w:p w:rsidR="007159C0" w:rsidRDefault="00195E95">
            <w:pPr>
              <w:jc w:val="center"/>
            </w:pPr>
            <w:r>
              <w:rPr>
                <w:color w:val="000000"/>
                <w:sz w:val="24"/>
              </w:rPr>
              <w:t>111981049</w:t>
            </w:r>
          </w:p>
        </w:tc>
        <w:tc>
          <w:tcPr>
            <w:tcW w:w="0" w:type="auto"/>
            <w:vAlign w:val="center"/>
          </w:tcPr>
          <w:p w:rsidR="007159C0" w:rsidRDefault="00195E95">
            <w:pPr>
              <w:jc w:val="center"/>
            </w:pPr>
            <w:r>
              <w:rPr>
                <w:color w:val="000000"/>
                <w:sz w:val="24"/>
              </w:rPr>
              <w:t>19</w:t>
            </w:r>
            <w:r>
              <w:rPr>
                <w:color w:val="000000"/>
                <w:sz w:val="24"/>
              </w:rPr>
              <w:t>北京农商银行</w:t>
            </w:r>
            <w:r>
              <w:rPr>
                <w:color w:val="000000"/>
                <w:sz w:val="24"/>
              </w:rPr>
              <w:t>CD112</w:t>
            </w:r>
          </w:p>
        </w:tc>
        <w:tc>
          <w:tcPr>
            <w:tcW w:w="0" w:type="auto"/>
            <w:vAlign w:val="center"/>
          </w:tcPr>
          <w:p w:rsidR="007159C0" w:rsidRDefault="00195E95">
            <w:pPr>
              <w:jc w:val="right"/>
            </w:pPr>
            <w:r>
              <w:rPr>
                <w:color w:val="000000"/>
                <w:sz w:val="24"/>
              </w:rPr>
              <w:t>2,000,000</w:t>
            </w:r>
          </w:p>
        </w:tc>
        <w:tc>
          <w:tcPr>
            <w:tcW w:w="0" w:type="auto"/>
            <w:vAlign w:val="center"/>
          </w:tcPr>
          <w:p w:rsidR="007159C0" w:rsidRDefault="00195E95">
            <w:pPr>
              <w:jc w:val="right"/>
            </w:pPr>
            <w:r>
              <w:rPr>
                <w:color w:val="000000"/>
                <w:sz w:val="24"/>
              </w:rPr>
              <w:t>198,607,170.10</w:t>
            </w:r>
          </w:p>
        </w:tc>
        <w:tc>
          <w:tcPr>
            <w:tcW w:w="0" w:type="auto"/>
            <w:vAlign w:val="center"/>
          </w:tcPr>
          <w:p w:rsidR="007159C0" w:rsidRDefault="00195E95">
            <w:pPr>
              <w:jc w:val="right"/>
            </w:pPr>
            <w:r>
              <w:rPr>
                <w:color w:val="000000"/>
                <w:sz w:val="24"/>
              </w:rPr>
              <w:t>1.43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0.0354%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-0.0118%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195E95">
            <w:pPr>
              <w:spacing w:before="29" w:line="288" w:lineRule="auto"/>
              <w:jc w:val="right"/>
              <w:rPr>
                <w:sz w:val="24"/>
              </w:rPr>
            </w:pPr>
            <w:r w:rsidRPr="000E4C40">
              <w:rPr>
                <w:color w:val="000000"/>
                <w:sz w:val="24"/>
              </w:rPr>
              <w:t>0.0</w:t>
            </w:r>
            <w:r w:rsidR="00195E95">
              <w:rPr>
                <w:rFonts w:hint="eastAsia"/>
                <w:color w:val="000000"/>
                <w:sz w:val="24"/>
              </w:rPr>
              <w:t>130</w:t>
            </w:r>
            <w:bookmarkStart w:id="2" w:name="_GoBack"/>
            <w:bookmarkEnd w:id="2"/>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423"/>
        <w:gridCol w:w="1478"/>
        <w:gridCol w:w="1443"/>
        <w:gridCol w:w="1485"/>
        <w:gridCol w:w="1596"/>
        <w:gridCol w:w="1443"/>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7159C0">
        <w:trPr>
          <w:jc w:val="center"/>
        </w:trPr>
        <w:tc>
          <w:tcPr>
            <w:tcW w:w="0" w:type="auto"/>
            <w:vAlign w:val="center"/>
          </w:tcPr>
          <w:p w:rsidR="007159C0" w:rsidRDefault="00195E95">
            <w:pPr>
              <w:jc w:val="center"/>
            </w:pPr>
            <w:r>
              <w:rPr>
                <w:color w:val="000000"/>
                <w:sz w:val="24"/>
              </w:rPr>
              <w:t>1</w:t>
            </w:r>
          </w:p>
        </w:tc>
        <w:tc>
          <w:tcPr>
            <w:tcW w:w="0" w:type="auto"/>
            <w:vAlign w:val="center"/>
          </w:tcPr>
          <w:p w:rsidR="007159C0" w:rsidRDefault="00195E95">
            <w:pPr>
              <w:jc w:val="center"/>
            </w:pPr>
            <w:r>
              <w:rPr>
                <w:color w:val="000000"/>
                <w:sz w:val="24"/>
              </w:rPr>
              <w:t>139901</w:t>
            </w:r>
          </w:p>
        </w:tc>
        <w:tc>
          <w:tcPr>
            <w:tcW w:w="0" w:type="auto"/>
            <w:vAlign w:val="center"/>
          </w:tcPr>
          <w:p w:rsidR="007159C0" w:rsidRDefault="00195E95">
            <w:pPr>
              <w:jc w:val="center"/>
            </w:pPr>
            <w:r>
              <w:rPr>
                <w:color w:val="000000"/>
                <w:sz w:val="24"/>
              </w:rPr>
              <w:t>蚁信</w:t>
            </w:r>
            <w:r>
              <w:rPr>
                <w:color w:val="000000"/>
                <w:sz w:val="24"/>
              </w:rPr>
              <w:t>08A</w:t>
            </w:r>
          </w:p>
        </w:tc>
        <w:tc>
          <w:tcPr>
            <w:tcW w:w="0" w:type="auto"/>
            <w:vAlign w:val="center"/>
          </w:tcPr>
          <w:p w:rsidR="007159C0" w:rsidRDefault="00195E95">
            <w:pPr>
              <w:jc w:val="right"/>
            </w:pPr>
            <w:r>
              <w:rPr>
                <w:color w:val="000000"/>
                <w:sz w:val="24"/>
              </w:rPr>
              <w:t>300,000</w:t>
            </w:r>
          </w:p>
        </w:tc>
        <w:tc>
          <w:tcPr>
            <w:tcW w:w="0" w:type="auto"/>
            <w:vAlign w:val="center"/>
          </w:tcPr>
          <w:p w:rsidR="007159C0" w:rsidRDefault="00195E95">
            <w:pPr>
              <w:jc w:val="right"/>
            </w:pPr>
            <w:r>
              <w:rPr>
                <w:color w:val="000000"/>
                <w:sz w:val="24"/>
              </w:rPr>
              <w:t>30,075,000.00</w:t>
            </w:r>
          </w:p>
        </w:tc>
        <w:tc>
          <w:tcPr>
            <w:tcW w:w="0" w:type="auto"/>
            <w:vAlign w:val="center"/>
          </w:tcPr>
          <w:p w:rsidR="007159C0" w:rsidRDefault="00195E95">
            <w:pPr>
              <w:jc w:val="right"/>
            </w:pPr>
            <w:r>
              <w:rPr>
                <w:color w:val="000000"/>
                <w:sz w:val="24"/>
              </w:rPr>
              <w:t>0.22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19</w:t>
      </w:r>
      <w:r w:rsidR="00EB25E4" w:rsidRPr="000E4C40">
        <w:rPr>
          <w:color w:val="000000"/>
          <w:sz w:val="24"/>
        </w:rPr>
        <w:t>招商</w:t>
      </w:r>
      <w:r w:rsidR="00EB25E4" w:rsidRPr="000E4C40">
        <w:rPr>
          <w:color w:val="000000"/>
          <w:sz w:val="24"/>
        </w:rPr>
        <w:t>CP017BC</w:t>
      </w:r>
      <w:r w:rsidR="00EB25E4" w:rsidRPr="000E4C40">
        <w:rPr>
          <w:color w:val="000000"/>
          <w:sz w:val="24"/>
        </w:rPr>
        <w:t>（证券代码：</w:t>
      </w:r>
      <w:r w:rsidR="00EB25E4" w:rsidRPr="000E4C40">
        <w:rPr>
          <w:color w:val="000000"/>
          <w:sz w:val="24"/>
        </w:rPr>
        <w:t>071900155</w:t>
      </w:r>
      <w:r w:rsidR="00EB25E4" w:rsidRPr="000E4C40">
        <w:rPr>
          <w:color w:val="000000"/>
          <w:sz w:val="24"/>
        </w:rPr>
        <w:t>）、</w:t>
      </w:r>
      <w:r w:rsidR="00EB25E4" w:rsidRPr="000E4C40">
        <w:rPr>
          <w:color w:val="000000"/>
          <w:sz w:val="24"/>
        </w:rPr>
        <w:t>19</w:t>
      </w:r>
      <w:r w:rsidR="00EB25E4" w:rsidRPr="000E4C40">
        <w:rPr>
          <w:color w:val="000000"/>
          <w:sz w:val="24"/>
        </w:rPr>
        <w:t>国信证券</w:t>
      </w:r>
      <w:r w:rsidR="00EB25E4" w:rsidRPr="000E4C40">
        <w:rPr>
          <w:color w:val="000000"/>
          <w:sz w:val="24"/>
        </w:rPr>
        <w:t>CP011</w:t>
      </w:r>
      <w:r w:rsidR="00EB25E4" w:rsidRPr="000E4C40">
        <w:rPr>
          <w:color w:val="000000"/>
          <w:sz w:val="24"/>
        </w:rPr>
        <w:t>（证券代码：</w:t>
      </w:r>
      <w:r w:rsidR="00EB25E4" w:rsidRPr="000E4C40">
        <w:rPr>
          <w:color w:val="000000"/>
          <w:sz w:val="24"/>
        </w:rPr>
        <w:t>071900158</w:t>
      </w:r>
      <w:r w:rsidR="00EB25E4" w:rsidRPr="000E4C40">
        <w:rPr>
          <w:color w:val="000000"/>
          <w:sz w:val="24"/>
        </w:rPr>
        <w:t>）外，未出现被监管部门立案调查，或在报告编制日前一年内受到公开谴责、处罚的情形。</w:t>
      </w:r>
    </w:p>
    <w:p w:rsidR="007159C0" w:rsidRDefault="00195E95">
      <w:pPr>
        <w:adjustRightInd w:val="0"/>
        <w:spacing w:before="29" w:line="288" w:lineRule="auto"/>
        <w:ind w:left="17"/>
        <w:rPr>
          <w:color w:val="000000"/>
          <w:sz w:val="24"/>
        </w:rPr>
      </w:pPr>
      <w:r>
        <w:rPr>
          <w:color w:val="000000"/>
          <w:sz w:val="24"/>
        </w:rPr>
        <w:t>报告期内本基金投资的前十名证券之一</w:t>
      </w:r>
      <w:r>
        <w:rPr>
          <w:color w:val="000000"/>
          <w:sz w:val="24"/>
        </w:rPr>
        <w:t>19</w:t>
      </w:r>
      <w:r>
        <w:rPr>
          <w:color w:val="000000"/>
          <w:sz w:val="24"/>
        </w:rPr>
        <w:t>招商</w:t>
      </w:r>
      <w:r>
        <w:rPr>
          <w:color w:val="000000"/>
          <w:sz w:val="24"/>
        </w:rPr>
        <w:t>CP017BC</w:t>
      </w:r>
      <w:r>
        <w:rPr>
          <w:color w:val="000000"/>
          <w:sz w:val="24"/>
        </w:rPr>
        <w:t>（证券代码：</w:t>
      </w:r>
      <w:r>
        <w:rPr>
          <w:color w:val="000000"/>
          <w:sz w:val="24"/>
        </w:rPr>
        <w:t>071900155</w:t>
      </w:r>
      <w:r>
        <w:rPr>
          <w:color w:val="000000"/>
          <w:sz w:val="24"/>
        </w:rPr>
        <w:t>）的发行主体招商证券于</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日公告，因全资子公司招商证券（香港）有限公司在担任中国金属再生资源（控股）有限公司上市申请的联席保荐人时（</w:t>
      </w:r>
      <w:r>
        <w:rPr>
          <w:color w:val="000000"/>
          <w:sz w:val="24"/>
        </w:rPr>
        <w:t>2008</w:t>
      </w:r>
      <w:r>
        <w:rPr>
          <w:color w:val="000000"/>
          <w:sz w:val="24"/>
        </w:rPr>
        <w:t>年</w:t>
      </w:r>
      <w:r>
        <w:rPr>
          <w:color w:val="000000"/>
          <w:sz w:val="24"/>
        </w:rPr>
        <w:t>11</w:t>
      </w:r>
      <w:r>
        <w:rPr>
          <w:color w:val="000000"/>
          <w:sz w:val="24"/>
        </w:rPr>
        <w:t>月至</w:t>
      </w:r>
      <w:r>
        <w:rPr>
          <w:color w:val="000000"/>
          <w:sz w:val="24"/>
        </w:rPr>
        <w:t>2009</w:t>
      </w:r>
      <w:r>
        <w:rPr>
          <w:color w:val="000000"/>
          <w:sz w:val="24"/>
        </w:rPr>
        <w:t>年</w:t>
      </w:r>
      <w:r>
        <w:rPr>
          <w:color w:val="000000"/>
          <w:sz w:val="24"/>
        </w:rPr>
        <w:t>6</w:t>
      </w:r>
      <w:r>
        <w:rPr>
          <w:color w:val="000000"/>
          <w:sz w:val="24"/>
        </w:rPr>
        <w:t>月）没有履行其应尽</w:t>
      </w:r>
      <w:r>
        <w:rPr>
          <w:color w:val="000000"/>
          <w:sz w:val="24"/>
        </w:rPr>
        <w:t>的尽职审查责任，近日香港证券及期货事务监察委员会对招商证券（香港）有限公司采取纪律行动，包括处以罚款</w:t>
      </w:r>
      <w:r>
        <w:rPr>
          <w:color w:val="000000"/>
          <w:sz w:val="24"/>
        </w:rPr>
        <w:t>2700</w:t>
      </w:r>
      <w:r>
        <w:rPr>
          <w:color w:val="000000"/>
          <w:sz w:val="24"/>
        </w:rPr>
        <w:t>万元港币；公司于</w:t>
      </w:r>
      <w:r>
        <w:rPr>
          <w:color w:val="000000"/>
          <w:sz w:val="24"/>
        </w:rPr>
        <w:t>2019</w:t>
      </w:r>
      <w:r>
        <w:rPr>
          <w:color w:val="000000"/>
          <w:sz w:val="24"/>
        </w:rPr>
        <w:t>年</w:t>
      </w:r>
      <w:r>
        <w:rPr>
          <w:color w:val="000000"/>
          <w:sz w:val="24"/>
        </w:rPr>
        <w:t>6</w:t>
      </w:r>
      <w:r>
        <w:rPr>
          <w:color w:val="000000"/>
          <w:sz w:val="24"/>
        </w:rPr>
        <w:t>月</w:t>
      </w:r>
      <w:r>
        <w:rPr>
          <w:color w:val="000000"/>
          <w:sz w:val="24"/>
        </w:rPr>
        <w:t>1</w:t>
      </w:r>
      <w:r>
        <w:rPr>
          <w:color w:val="000000"/>
          <w:sz w:val="24"/>
        </w:rPr>
        <w:t>日公告，因全资子公司招商证券（香港）有限公司错误处理客户款项</w:t>
      </w:r>
      <w:r>
        <w:rPr>
          <w:color w:val="000000"/>
          <w:sz w:val="24"/>
        </w:rPr>
        <w:t>(</w:t>
      </w:r>
      <w:r>
        <w:rPr>
          <w:color w:val="000000"/>
          <w:sz w:val="24"/>
        </w:rPr>
        <w:t>发生于</w:t>
      </w:r>
      <w:r>
        <w:rPr>
          <w:color w:val="000000"/>
          <w:sz w:val="24"/>
        </w:rPr>
        <w:t>2011</w:t>
      </w:r>
      <w:r>
        <w:rPr>
          <w:color w:val="000000"/>
          <w:sz w:val="24"/>
        </w:rPr>
        <w:t>年</w:t>
      </w:r>
      <w:r>
        <w:rPr>
          <w:color w:val="000000"/>
          <w:sz w:val="24"/>
        </w:rPr>
        <w:t>10</w:t>
      </w:r>
      <w:r>
        <w:rPr>
          <w:color w:val="000000"/>
          <w:sz w:val="24"/>
        </w:rPr>
        <w:t>月至</w:t>
      </w:r>
      <w:r>
        <w:rPr>
          <w:color w:val="000000"/>
          <w:sz w:val="24"/>
        </w:rPr>
        <w:t>2014</w:t>
      </w:r>
      <w:r>
        <w:rPr>
          <w:color w:val="000000"/>
          <w:sz w:val="24"/>
        </w:rPr>
        <w:t>年</w:t>
      </w:r>
      <w:r>
        <w:rPr>
          <w:color w:val="000000"/>
          <w:sz w:val="24"/>
        </w:rPr>
        <w:t>9</w:t>
      </w:r>
      <w:r>
        <w:rPr>
          <w:color w:val="000000"/>
          <w:sz w:val="24"/>
        </w:rPr>
        <w:t>月期间</w:t>
      </w:r>
      <w:r>
        <w:rPr>
          <w:color w:val="000000"/>
          <w:sz w:val="24"/>
        </w:rPr>
        <w:t>)</w:t>
      </w:r>
      <w:r>
        <w:rPr>
          <w:color w:val="000000"/>
          <w:sz w:val="24"/>
        </w:rPr>
        <w:t>，近日香港证券及期货事务监察委员会对招商证券（香港）有限公司采取纪律行动，包括处以罚款</w:t>
      </w:r>
      <w:r>
        <w:rPr>
          <w:color w:val="000000"/>
          <w:sz w:val="24"/>
        </w:rPr>
        <w:t>500</w:t>
      </w:r>
      <w:r>
        <w:rPr>
          <w:color w:val="000000"/>
          <w:sz w:val="24"/>
        </w:rPr>
        <w:t>万元港币。</w:t>
      </w:r>
    </w:p>
    <w:p w:rsidR="007159C0" w:rsidRDefault="00195E95">
      <w:pPr>
        <w:adjustRightInd w:val="0"/>
        <w:spacing w:before="29" w:line="288" w:lineRule="auto"/>
        <w:ind w:left="17"/>
        <w:rPr>
          <w:color w:val="000000"/>
          <w:sz w:val="24"/>
        </w:rPr>
      </w:pPr>
      <w:r>
        <w:rPr>
          <w:color w:val="000000"/>
          <w:sz w:val="24"/>
        </w:rPr>
        <w:t>报告期内本基金投资的前十名证券之一</w:t>
      </w:r>
      <w:r>
        <w:rPr>
          <w:color w:val="000000"/>
          <w:sz w:val="24"/>
        </w:rPr>
        <w:t>19</w:t>
      </w:r>
      <w:r>
        <w:rPr>
          <w:color w:val="000000"/>
          <w:sz w:val="24"/>
        </w:rPr>
        <w:t>国信证券</w:t>
      </w:r>
      <w:r>
        <w:rPr>
          <w:color w:val="000000"/>
          <w:sz w:val="24"/>
        </w:rPr>
        <w:t>CP011</w:t>
      </w:r>
      <w:r>
        <w:rPr>
          <w:color w:val="000000"/>
          <w:sz w:val="24"/>
        </w:rPr>
        <w:t>（证券代码：</w:t>
      </w:r>
      <w:r>
        <w:rPr>
          <w:color w:val="000000"/>
          <w:sz w:val="24"/>
        </w:rPr>
        <w:t>071900158</w:t>
      </w:r>
      <w:r>
        <w:rPr>
          <w:color w:val="000000"/>
          <w:sz w:val="24"/>
        </w:rPr>
        <w:t>）的发行主体国信证券于</w:t>
      </w:r>
      <w:r>
        <w:rPr>
          <w:color w:val="000000"/>
          <w:sz w:val="24"/>
        </w:rPr>
        <w:t>2019</w:t>
      </w:r>
      <w:r>
        <w:rPr>
          <w:color w:val="000000"/>
          <w:sz w:val="24"/>
        </w:rPr>
        <w:t>年</w:t>
      </w:r>
      <w:r>
        <w:rPr>
          <w:color w:val="000000"/>
          <w:sz w:val="24"/>
        </w:rPr>
        <w:t>2</w:t>
      </w:r>
      <w:r>
        <w:rPr>
          <w:color w:val="000000"/>
          <w:sz w:val="24"/>
        </w:rPr>
        <w:t>月</w:t>
      </w:r>
      <w:r>
        <w:rPr>
          <w:color w:val="000000"/>
          <w:sz w:val="24"/>
        </w:rPr>
        <w:t>18</w:t>
      </w:r>
      <w:r>
        <w:rPr>
          <w:color w:val="000000"/>
          <w:sz w:val="24"/>
        </w:rPr>
        <w:t>日公告，香港证券及期货事务监察委员会</w:t>
      </w:r>
      <w:r>
        <w:rPr>
          <w:color w:val="000000"/>
          <w:sz w:val="24"/>
        </w:rPr>
        <w:t>对公司子公司国信香港的下属子公司国信证券（香港）经纪有限公司采取纪律行动，因国信证券（香港）经纪有限公司于</w:t>
      </w:r>
      <w:r>
        <w:rPr>
          <w:color w:val="000000"/>
          <w:sz w:val="24"/>
        </w:rPr>
        <w:t>2014</w:t>
      </w:r>
      <w:r>
        <w:rPr>
          <w:color w:val="000000"/>
          <w:sz w:val="24"/>
        </w:rPr>
        <w:t>年</w:t>
      </w:r>
      <w:r>
        <w:rPr>
          <w:color w:val="000000"/>
          <w:sz w:val="24"/>
        </w:rPr>
        <w:t>11</w:t>
      </w:r>
      <w:r>
        <w:rPr>
          <w:color w:val="000000"/>
          <w:sz w:val="24"/>
        </w:rPr>
        <w:t>月至</w:t>
      </w:r>
      <w:r>
        <w:rPr>
          <w:color w:val="000000"/>
          <w:sz w:val="24"/>
        </w:rPr>
        <w:t>2015</w:t>
      </w:r>
      <w:r>
        <w:rPr>
          <w:color w:val="000000"/>
          <w:sz w:val="24"/>
        </w:rPr>
        <w:t>年</w:t>
      </w:r>
      <w:r>
        <w:rPr>
          <w:color w:val="000000"/>
          <w:sz w:val="24"/>
        </w:rPr>
        <w:t>12</w:t>
      </w:r>
      <w:r>
        <w:rPr>
          <w:color w:val="000000"/>
          <w:sz w:val="24"/>
        </w:rPr>
        <w:t>月期间未遵守有关打击洗钱及恐怖分子资金筹集的监管规定，对其作出公开谴责及罚款</w:t>
      </w:r>
      <w:r>
        <w:rPr>
          <w:color w:val="000000"/>
          <w:sz w:val="24"/>
        </w:rPr>
        <w:t>1,520</w:t>
      </w:r>
      <w:r>
        <w:rPr>
          <w:color w:val="000000"/>
          <w:sz w:val="24"/>
        </w:rPr>
        <w:t>万港元；公司于</w:t>
      </w:r>
      <w:r>
        <w:rPr>
          <w:color w:val="000000"/>
          <w:sz w:val="24"/>
        </w:rPr>
        <w:t>2019</w:t>
      </w:r>
      <w:r>
        <w:rPr>
          <w:color w:val="000000"/>
          <w:sz w:val="24"/>
        </w:rPr>
        <w:t>年</w:t>
      </w:r>
      <w:r>
        <w:rPr>
          <w:color w:val="000000"/>
          <w:sz w:val="24"/>
        </w:rPr>
        <w:t>4</w:t>
      </w:r>
      <w:r>
        <w:rPr>
          <w:color w:val="000000"/>
          <w:sz w:val="24"/>
        </w:rPr>
        <w:t>月</w:t>
      </w:r>
      <w:r>
        <w:rPr>
          <w:color w:val="000000"/>
          <w:sz w:val="24"/>
        </w:rPr>
        <w:t>17</w:t>
      </w:r>
      <w:r>
        <w:rPr>
          <w:color w:val="000000"/>
          <w:sz w:val="24"/>
        </w:rPr>
        <w:t>日公告，中国人民银行呼和浩特中心支行对公司内蒙古分公司作出《行政处罚决定书》（蒙银罚字</w:t>
      </w:r>
      <w:r>
        <w:rPr>
          <w:color w:val="000000"/>
          <w:sz w:val="24"/>
        </w:rPr>
        <w:t>[2019]</w:t>
      </w:r>
      <w:r>
        <w:rPr>
          <w:color w:val="000000"/>
          <w:sz w:val="24"/>
        </w:rPr>
        <w:t>第</w:t>
      </w:r>
      <w:r>
        <w:rPr>
          <w:color w:val="000000"/>
          <w:sz w:val="24"/>
        </w:rPr>
        <w:t>4</w:t>
      </w:r>
      <w:r>
        <w:rPr>
          <w:color w:val="000000"/>
          <w:sz w:val="24"/>
        </w:rPr>
        <w:t>号）。因内蒙古分公司未按规定有效履行反洗钱客户身份识别义务和未按照规定报送可疑交易报告，中国人民银行呼和浩特中心支行对内蒙古分公司及内蒙古分公司合规风控总</w:t>
      </w:r>
      <w:r>
        <w:rPr>
          <w:color w:val="000000"/>
          <w:sz w:val="24"/>
        </w:rPr>
        <w:t>监分别处以人民币</w:t>
      </w:r>
      <w:r>
        <w:rPr>
          <w:color w:val="000000"/>
          <w:sz w:val="24"/>
        </w:rPr>
        <w:t>20</w:t>
      </w:r>
      <w:r>
        <w:rPr>
          <w:color w:val="000000"/>
          <w:sz w:val="24"/>
        </w:rPr>
        <w:t>万元和</w:t>
      </w:r>
      <w:r>
        <w:rPr>
          <w:color w:val="000000"/>
          <w:sz w:val="24"/>
        </w:rPr>
        <w:t>1</w:t>
      </w:r>
      <w:r>
        <w:rPr>
          <w:color w:val="000000"/>
          <w:sz w:val="24"/>
        </w:rPr>
        <w:t>万元罚款。</w:t>
      </w:r>
    </w:p>
    <w:p w:rsidR="007159C0" w:rsidRDefault="00195E95">
      <w:pPr>
        <w:adjustRightInd w:val="0"/>
        <w:spacing w:before="29" w:line="288" w:lineRule="auto"/>
        <w:ind w:left="17"/>
        <w:rPr>
          <w:color w:val="000000"/>
          <w:sz w:val="24"/>
        </w:rPr>
      </w:pPr>
      <w:r>
        <w:rPr>
          <w:color w:val="000000"/>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51,663,210.69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925,703.22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52,588,913.91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9,379,334,973.47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455,371,023.80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57,224,548,356.65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81,540,165.34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52,876,688,521.16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350,029,899.91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13,727,194,808.96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186,881,289.23</w:t>
            </w:r>
          </w:p>
        </w:tc>
      </w:tr>
    </w:tbl>
    <w:p w:rsidR="007159C0" w:rsidRDefault="00195E9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7159C0">
        <w:trPr>
          <w:jc w:val="center"/>
        </w:trPr>
        <w:tc>
          <w:tcPr>
            <w:tcW w:w="1454" w:type="dxa"/>
            <w:vAlign w:val="center"/>
          </w:tcPr>
          <w:p w:rsidR="007159C0" w:rsidRDefault="00195E95">
            <w:pPr>
              <w:jc w:val="center"/>
            </w:pPr>
            <w:r>
              <w:rPr>
                <w:color w:val="000000"/>
                <w:sz w:val="24"/>
              </w:rPr>
              <w:t>1</w:t>
            </w:r>
          </w:p>
        </w:tc>
        <w:tc>
          <w:tcPr>
            <w:tcW w:w="1678" w:type="dxa"/>
            <w:vAlign w:val="center"/>
          </w:tcPr>
          <w:p w:rsidR="007159C0" w:rsidRDefault="00195E95">
            <w:pPr>
              <w:jc w:val="center"/>
            </w:pPr>
            <w:r>
              <w:rPr>
                <w:color w:val="000000"/>
                <w:sz w:val="24"/>
              </w:rPr>
              <w:t>E</w:t>
            </w:r>
            <w:r>
              <w:rPr>
                <w:color w:val="000000"/>
                <w:sz w:val="24"/>
              </w:rPr>
              <w:t>类份额红利再投</w:t>
            </w:r>
          </w:p>
        </w:tc>
        <w:tc>
          <w:tcPr>
            <w:tcW w:w="1249" w:type="dxa"/>
            <w:vAlign w:val="center"/>
          </w:tcPr>
          <w:p w:rsidR="007159C0" w:rsidRDefault="00195E95">
            <w:pPr>
              <w:jc w:val="center"/>
            </w:pPr>
            <w:r>
              <w:rPr>
                <w:color w:val="000000"/>
                <w:sz w:val="24"/>
              </w:rPr>
              <w:t>-</w:t>
            </w:r>
          </w:p>
        </w:tc>
        <w:tc>
          <w:tcPr>
            <w:tcW w:w="1544" w:type="dxa"/>
            <w:vAlign w:val="center"/>
          </w:tcPr>
          <w:p w:rsidR="007159C0" w:rsidRDefault="00195E95">
            <w:pPr>
              <w:jc w:val="right"/>
            </w:pPr>
            <w:r>
              <w:rPr>
                <w:color w:val="000000"/>
                <w:sz w:val="24"/>
              </w:rPr>
              <w:t>1,827.52</w:t>
            </w:r>
          </w:p>
        </w:tc>
        <w:tc>
          <w:tcPr>
            <w:tcW w:w="1670" w:type="dxa"/>
            <w:vAlign w:val="center"/>
          </w:tcPr>
          <w:p w:rsidR="007159C0" w:rsidRDefault="00195E95">
            <w:pPr>
              <w:jc w:val="right"/>
            </w:pPr>
            <w:r>
              <w:rPr>
                <w:color w:val="000000"/>
                <w:sz w:val="24"/>
              </w:rPr>
              <w:t>1,827.52</w:t>
            </w:r>
          </w:p>
        </w:tc>
        <w:tc>
          <w:tcPr>
            <w:tcW w:w="1273" w:type="dxa"/>
            <w:vAlign w:val="center"/>
          </w:tcPr>
          <w:p w:rsidR="007159C0" w:rsidRDefault="00195E95">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7159C0" w:rsidRDefault="00195E9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267,959.14</w:t>
      </w:r>
      <w:r>
        <w:rPr>
          <w:color w:val="000000"/>
          <w:sz w:val="24"/>
        </w:rPr>
        <w:t>份，占本基金期末</w:t>
      </w:r>
      <w:r>
        <w:rPr>
          <w:color w:val="000000"/>
          <w:sz w:val="24"/>
        </w:rPr>
        <w:t>E</w:t>
      </w:r>
      <w:r>
        <w:rPr>
          <w:color w:val="000000"/>
          <w:sz w:val="24"/>
        </w:rPr>
        <w:t>类基金总份额的</w:t>
      </w:r>
      <w:r>
        <w:rPr>
          <w:color w:val="000000"/>
          <w:sz w:val="24"/>
        </w:rPr>
        <w:t>0.14%</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3D1E1A" w:rsidRDefault="003D1E1A" w:rsidP="003D1E1A">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7159C0" w:rsidRDefault="00195E95">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7159C0" w:rsidRDefault="00195E95">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7159C0" w:rsidRDefault="00195E95">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7159C0" w:rsidRDefault="00195E95">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7159C0" w:rsidRDefault="00195E95">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7159C0" w:rsidRDefault="00195E9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159C0" w:rsidRDefault="00195E9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7159C0" w:rsidRDefault="00195E9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5E95">
      <w:rPr>
        <w:noProof/>
        <w:kern w:val="0"/>
        <w:szCs w:val="21"/>
      </w:rPr>
      <w:t>9</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195E95">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30" w:rsidRDefault="00EE2130">
      <w:r>
        <w:separator/>
      </w:r>
    </w:p>
  </w:footnote>
  <w:footnote w:type="continuationSeparator" w:id="0">
    <w:p w:rsidR="00EE2130" w:rsidRDefault="00EE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5E95"/>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59C0"/>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4B00E1-0C55-46BD-897E-49C03EFE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15</Pages>
  <Words>1362</Words>
  <Characters>7764</Characters>
  <Application>Microsoft Office Word</Application>
  <DocSecurity>0</DocSecurity>
  <Lines>64</Lines>
  <Paragraphs>18</Paragraphs>
  <ScaleCrop>false</ScaleCrop>
  <Company>jysld</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332</cp:revision>
  <cp:lastPrinted>2009-01-22T10:11:00Z</cp:lastPrinted>
  <dcterms:created xsi:type="dcterms:W3CDTF">2012-11-21T05:49:00Z</dcterms:created>
  <dcterms:modified xsi:type="dcterms:W3CDTF">2020-01-15T09:01:00Z</dcterms:modified>
</cp:coreProperties>
</file>