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交银施罗德国企改革灵活配置混合型证券投资基金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2015年6月10日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425,941,027.17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60%×沪深300指数+40%×中证综合债券指数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11,943,068.33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48,178,084.06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0.1032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478,544,929.29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1.124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10.41%</w:t>
            </w:r>
          </w:p>
        </w:tc>
        <w:tc>
          <w:tcPr>
            <w:vAlign w:val="center"/>
          </w:tcPr>
          <w:p>
            <w:pPr>
              <w:jc w:val="center"/>
            </w:pPr>
            <w:r>
              <w:rPr>
                <w:color w:val="000000"/>
                <w:sz w:val="24"/>
                <w:szCs w:val="24"/>
              </w:rPr>
              <w:t>0.72%</w:t>
            </w:r>
          </w:p>
        </w:tc>
        <w:tc>
          <w:tcPr>
            <w:vAlign w:val="center"/>
          </w:tcPr>
          <w:p>
            <w:pPr>
              <w:jc w:val="center"/>
            </w:pPr>
            <w:r>
              <w:rPr>
                <w:color w:val="000000"/>
                <w:sz w:val="24"/>
                <w:szCs w:val="24"/>
              </w:rPr>
              <w:t>4.92%</w:t>
            </w:r>
          </w:p>
        </w:tc>
        <w:tc>
          <w:tcPr>
            <w:vAlign w:val="center"/>
          </w:tcPr>
          <w:p>
            <w:pPr>
              <w:jc w:val="center"/>
            </w:pPr>
            <w:r>
              <w:rPr>
                <w:color w:val="000000"/>
                <w:sz w:val="24"/>
                <w:szCs w:val="24"/>
              </w:rPr>
              <w:t>0.44%</w:t>
            </w:r>
          </w:p>
        </w:tc>
        <w:tc>
          <w:tcPr>
            <w:vAlign w:val="center"/>
          </w:tcPr>
          <w:p>
            <w:pPr>
              <w:jc w:val="center"/>
            </w:pPr>
            <w:r>
              <w:rPr>
                <w:color w:val="000000"/>
                <w:sz w:val="24"/>
                <w:szCs w:val="24"/>
              </w:rPr>
              <w:t>5.49%</w:t>
            </w:r>
          </w:p>
        </w:tc>
        <w:tc>
          <w:tcPr>
            <w:vAlign w:val="center"/>
          </w:tcPr>
          <w:p>
            <w:pPr>
              <w:jc w:val="center"/>
            </w:pPr>
            <w:r>
              <w:rPr>
                <w:color w:val="000000"/>
                <w:sz w:val="24"/>
                <w:szCs w:val="24"/>
              </w:rPr>
              <w:t>0.28%</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+40%×中信标普全债指数”变更为“60%×沪深300指数+40%×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交银施罗德国企改革灵活配置混合型证券投资基金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2015年6月10日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沈楠</w:t>
            </w:r>
          </w:p>
        </w:tc>
        <w:tc>
          <w:tcPr>
            <w:vAlign w:val="center"/>
          </w:tcPr>
          <w:p>
            <w:pPr>
              <w:jc w:val="center"/>
            </w:pPr>
            <w:r>
              <w:rPr>
                <w:color w:val="000000"/>
                <w:sz w:val="24"/>
                <w:szCs w:val="24"/>
              </w:rPr>
              <w:t>交银主题优选混合、交银国企改革灵活配置混合的基金经理</w:t>
            </w:r>
          </w:p>
        </w:tc>
        <w:tc>
          <w:tcPr>
            <w:vAlign w:val="center"/>
          </w:tcPr>
          <w:p>
            <w:pPr>
              <w:jc w:val="center"/>
            </w:pPr>
            <w:r>
              <w:rPr>
                <w:color w:val="000000"/>
                <w:sz w:val="24"/>
                <w:szCs w:val="24"/>
              </w:rPr>
              <w:t>2015-06-10</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沈楠先生，复旦大学硕士。历任长江证券高级分析师，2011年加入交银施罗德基金管理有限公司，历任行业分析师、基金经理助理。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 xml:space="preserve">2019年四季度，国内经济有企稳迹象，中美贸易冲突也进一步缓和。猪价超预期上涨带来CPI压力凸显，但非食品CPI价格仍然保持疲软。央行进一步引导LPR利率下行，以缓解市场流动性。我们认为政策环境趋于宽松且在未来一段时间仍将维持，中期来看目前仍处于市场底部区域，下行风险不大。未来国内需求改善以及存在外需修复的可能性，因此市场仍将处于可为阶段。 </w:t>
      </w:r>
    </w:p>
    <w:p>
      <w:pPr>
        <w:spacing w:before="29" w:line="288" w:lineRule="auto"/>
        <w:ind w:firstLine="480" w:firstLineChars="200"/>
        <w:rPr>
          <w:color w:val="000000"/>
          <w:sz w:val="24"/>
          <w:szCs w:val="24"/>
        </w:rPr>
      </w:pPr>
      <w:r>
        <w:rPr>
          <w:color w:val="000000"/>
          <w:sz w:val="24"/>
          <w:szCs w:val="24"/>
        </w:rPr>
        <w:t>国企改革的进程仍在进一步推进，2019年下半年以来上海以及深圳等地的区域性国资国企综改试验有条不紊的开始推进，我们坚信这是国资国企改革进一步深化的重要标志，我们将继续看好该领域的投资机会。</w:t>
      </w:r>
    </w:p>
    <w:p>
      <w:pPr>
        <w:spacing w:before="29" w:line="288" w:lineRule="auto"/>
        <w:ind w:firstLine="480" w:firstLineChars="200"/>
        <w:rPr>
          <w:color w:val="000000"/>
          <w:sz w:val="24"/>
          <w:szCs w:val="24"/>
        </w:rPr>
      </w:pPr>
      <w:r>
        <w:rPr>
          <w:color w:val="000000"/>
          <w:sz w:val="24"/>
          <w:szCs w:val="24"/>
        </w:rPr>
        <w:t>报告期内本基金重点配置了食品、酒店、传媒、金融以及地产等消费领域，四季度在此前的基础上进一步增配了TMT等科技行业。</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我们认为可以继续关注重点区域的改革试点。同时，我们认为如果贸易争端趋于缓和，通胀压力减缓，那么预计将出现更多的投资机会，市场估值有望进一步抬升，因此我们对市场持相对乐观看法。本基金将通过加强学习中央及地方国资部门的文件精神，力求把握最新改革方向，努力在混合所有制改革、管理层及核心员工激励、产业整合等几大维度进行布局，力求分享国资国企改革带来的市场化红利。</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439,098,983.34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90.04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439,098,983.34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90.04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25,551,300.00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5.24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25,551,300.00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5.24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19,435,233.20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3.99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3,587,193.17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0.74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487,672,709.71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11,232,731.40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192,755,006.14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40.28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5,313,000.00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30,751,766.66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31,748,746.00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19,061,982.90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3.98</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24,384,806.97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59,227,954.87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12.38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23,195,906.12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8,472,924.84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32,954,157.44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6.89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439,098,983.34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91.76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757,214</w:t>
            </w:r>
          </w:p>
        </w:tc>
        <w:tc>
          <w:tcPr>
            <w:vAlign w:val="center"/>
          </w:tcPr>
          <w:p>
            <w:pPr>
              <w:jc w:val="right"/>
            </w:pPr>
            <w:r>
              <w:rPr>
                <w:color w:val="000000"/>
                <w:sz w:val="24"/>
                <w:szCs w:val="24"/>
              </w:rPr>
              <w:t>26,472,201.44</w:t>
            </w:r>
          </w:p>
        </w:tc>
        <w:tc>
          <w:tcPr>
            <w:vAlign w:val="center"/>
          </w:tcPr>
          <w:p>
            <w:pPr>
              <w:jc w:val="right"/>
            </w:pPr>
            <w:r>
              <w:rPr>
                <w:color w:val="000000"/>
                <w:sz w:val="24"/>
                <w:szCs w:val="24"/>
              </w:rPr>
              <w:t>5.53</w:t>
            </w:r>
          </w:p>
        </w:tc>
      </w:tr>
      <w:tr>
        <w:tc>
          <w:tcPr>
            <w:vAlign w:val="center"/>
          </w:tcPr>
          <w:p>
            <w:pPr>
              <w:jc w:val="center"/>
            </w:pPr>
            <w:r>
              <w:rPr>
                <w:color w:val="000000"/>
                <w:sz w:val="24"/>
                <w:szCs w:val="24"/>
              </w:rPr>
              <w:t>2</w:t>
            </w:r>
          </w:p>
        </w:tc>
        <w:tc>
          <w:tcPr>
            <w:vAlign w:val="center"/>
          </w:tcPr>
          <w:p>
            <w:pPr>
              <w:jc w:val="center"/>
            </w:pPr>
            <w:r>
              <w:rPr>
                <w:color w:val="000000"/>
                <w:sz w:val="24"/>
                <w:szCs w:val="24"/>
              </w:rPr>
              <w:t>600030</w:t>
            </w:r>
          </w:p>
        </w:tc>
        <w:tc>
          <w:tcPr>
            <w:vAlign w:val="center"/>
          </w:tcPr>
          <w:p>
            <w:pPr>
              <w:jc w:val="center"/>
            </w:pPr>
            <w:r>
              <w:rPr>
                <w:color w:val="000000"/>
                <w:sz w:val="24"/>
                <w:szCs w:val="24"/>
              </w:rPr>
              <w:t>中信证券</w:t>
            </w:r>
          </w:p>
        </w:tc>
        <w:tc>
          <w:tcPr>
            <w:vAlign w:val="center"/>
          </w:tcPr>
          <w:p>
            <w:pPr>
              <w:jc w:val="right"/>
            </w:pPr>
            <w:r>
              <w:rPr>
                <w:color w:val="000000"/>
                <w:sz w:val="24"/>
                <w:szCs w:val="24"/>
              </w:rPr>
              <w:t>757,700</w:t>
            </w:r>
          </w:p>
        </w:tc>
        <w:tc>
          <w:tcPr>
            <w:vAlign w:val="center"/>
          </w:tcPr>
          <w:p>
            <w:pPr>
              <w:jc w:val="right"/>
            </w:pPr>
            <w:r>
              <w:rPr>
                <w:color w:val="000000"/>
                <w:sz w:val="24"/>
                <w:szCs w:val="24"/>
              </w:rPr>
              <w:t>19,169,810.00</w:t>
            </w:r>
          </w:p>
        </w:tc>
        <w:tc>
          <w:tcPr>
            <w:vAlign w:val="center"/>
          </w:tcPr>
          <w:p>
            <w:pPr>
              <w:jc w:val="right"/>
            </w:pPr>
            <w:r>
              <w:rPr>
                <w:color w:val="000000"/>
                <w:sz w:val="24"/>
                <w:szCs w:val="24"/>
              </w:rPr>
              <w:t>4.01</w:t>
            </w:r>
          </w:p>
        </w:tc>
      </w:tr>
      <w:tr>
        <w:tc>
          <w:tcPr>
            <w:vAlign w:val="center"/>
          </w:tcPr>
          <w:p>
            <w:pPr>
              <w:jc w:val="center"/>
            </w:pPr>
            <w:r>
              <w:rPr>
                <w:color w:val="000000"/>
                <w:sz w:val="24"/>
                <w:szCs w:val="24"/>
              </w:rPr>
              <w:t>3</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400,000</w:t>
            </w:r>
          </w:p>
        </w:tc>
        <w:tc>
          <w:tcPr>
            <w:vAlign w:val="center"/>
          </w:tcPr>
          <w:p>
            <w:pPr>
              <w:jc w:val="right"/>
            </w:pPr>
            <w:r>
              <w:rPr>
                <w:color w:val="000000"/>
                <w:sz w:val="24"/>
                <w:szCs w:val="24"/>
              </w:rPr>
              <w:t>19,084,000.00</w:t>
            </w:r>
          </w:p>
        </w:tc>
        <w:tc>
          <w:tcPr>
            <w:vAlign w:val="center"/>
          </w:tcPr>
          <w:p>
            <w:pPr>
              <w:jc w:val="right"/>
            </w:pPr>
            <w:r>
              <w:rPr>
                <w:color w:val="000000"/>
                <w:sz w:val="24"/>
                <w:szCs w:val="24"/>
              </w:rPr>
              <w:t>3.99</w:t>
            </w:r>
          </w:p>
        </w:tc>
      </w:tr>
      <w:tr>
        <w:tc>
          <w:tcPr>
            <w:vAlign w:val="center"/>
          </w:tcPr>
          <w:p>
            <w:pPr>
              <w:jc w:val="center"/>
            </w:pPr>
            <w:r>
              <w:rPr>
                <w:color w:val="000000"/>
                <w:sz w:val="24"/>
                <w:szCs w:val="24"/>
              </w:rPr>
              <w:t>4</w:t>
            </w:r>
          </w:p>
        </w:tc>
        <w:tc>
          <w:tcPr>
            <w:vAlign w:val="center"/>
          </w:tcPr>
          <w:p>
            <w:pPr>
              <w:jc w:val="center"/>
            </w:pPr>
            <w:r>
              <w:rPr>
                <w:color w:val="000000"/>
                <w:sz w:val="24"/>
                <w:szCs w:val="24"/>
              </w:rPr>
              <w:t>600258</w:t>
            </w:r>
          </w:p>
        </w:tc>
        <w:tc>
          <w:tcPr>
            <w:vAlign w:val="center"/>
          </w:tcPr>
          <w:p>
            <w:pPr>
              <w:jc w:val="center"/>
            </w:pPr>
            <w:r>
              <w:rPr>
                <w:color w:val="000000"/>
                <w:sz w:val="24"/>
                <w:szCs w:val="24"/>
              </w:rPr>
              <w:t>首旅酒店</w:t>
            </w:r>
          </w:p>
        </w:tc>
        <w:tc>
          <w:tcPr>
            <w:vAlign w:val="center"/>
          </w:tcPr>
          <w:p>
            <w:pPr>
              <w:jc w:val="right"/>
            </w:pPr>
            <w:r>
              <w:rPr>
                <w:color w:val="000000"/>
                <w:sz w:val="24"/>
                <w:szCs w:val="24"/>
              </w:rPr>
              <w:t>924,890</w:t>
            </w:r>
          </w:p>
        </w:tc>
        <w:tc>
          <w:tcPr>
            <w:vAlign w:val="center"/>
          </w:tcPr>
          <w:p>
            <w:pPr>
              <w:jc w:val="right"/>
            </w:pPr>
            <w:r>
              <w:rPr>
                <w:color w:val="000000"/>
                <w:sz w:val="24"/>
                <w:szCs w:val="24"/>
              </w:rPr>
              <w:t>19,061,982.90</w:t>
            </w:r>
          </w:p>
        </w:tc>
        <w:tc>
          <w:tcPr>
            <w:vAlign w:val="center"/>
          </w:tcPr>
          <w:p>
            <w:pPr>
              <w:jc w:val="right"/>
            </w:pPr>
            <w:r>
              <w:rPr>
                <w:color w:val="000000"/>
                <w:sz w:val="24"/>
                <w:szCs w:val="24"/>
              </w:rPr>
              <w:t>3.98</w:t>
            </w:r>
          </w:p>
        </w:tc>
      </w:tr>
      <w:tr>
        <w:tc>
          <w:tcPr>
            <w:vAlign w:val="center"/>
          </w:tcPr>
          <w:p>
            <w:pPr>
              <w:jc w:val="center"/>
            </w:pPr>
            <w:r>
              <w:rPr>
                <w:color w:val="000000"/>
                <w:sz w:val="24"/>
                <w:szCs w:val="24"/>
              </w:rPr>
              <w:t>5</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1,034,234</w:t>
            </w:r>
          </w:p>
        </w:tc>
        <w:tc>
          <w:tcPr>
            <w:vAlign w:val="center"/>
          </w:tcPr>
          <w:p>
            <w:pPr>
              <w:jc w:val="right"/>
            </w:pPr>
            <w:r>
              <w:rPr>
                <w:color w:val="000000"/>
                <w:sz w:val="24"/>
                <w:szCs w:val="24"/>
              </w:rPr>
              <w:t>16,733,906.12</w:t>
            </w:r>
          </w:p>
        </w:tc>
        <w:tc>
          <w:tcPr>
            <w:vAlign w:val="center"/>
          </w:tcPr>
          <w:p>
            <w:pPr>
              <w:jc w:val="right"/>
            </w:pPr>
            <w:r>
              <w:rPr>
                <w:color w:val="000000"/>
                <w:sz w:val="24"/>
                <w:szCs w:val="24"/>
              </w:rPr>
              <w:t>3.50</w:t>
            </w:r>
          </w:p>
        </w:tc>
      </w:tr>
      <w:tr>
        <w:tc>
          <w:tcPr>
            <w:vAlign w:val="center"/>
          </w:tcPr>
          <w:p>
            <w:pPr>
              <w:jc w:val="center"/>
            </w:pPr>
            <w:r>
              <w:rPr>
                <w:color w:val="000000"/>
                <w:sz w:val="24"/>
                <w:szCs w:val="24"/>
              </w:rPr>
              <w:t>6</w:t>
            </w:r>
          </w:p>
        </w:tc>
        <w:tc>
          <w:tcPr>
            <w:vAlign w:val="center"/>
          </w:tcPr>
          <w:p>
            <w:pPr>
              <w:jc w:val="center"/>
            </w:pPr>
            <w:r>
              <w:rPr>
                <w:color w:val="000000"/>
                <w:sz w:val="24"/>
                <w:szCs w:val="24"/>
              </w:rPr>
              <w:t>300034</w:t>
            </w:r>
          </w:p>
        </w:tc>
        <w:tc>
          <w:tcPr>
            <w:vAlign w:val="center"/>
          </w:tcPr>
          <w:p>
            <w:pPr>
              <w:jc w:val="center"/>
            </w:pPr>
            <w:r>
              <w:rPr>
                <w:color w:val="000000"/>
                <w:sz w:val="24"/>
                <w:szCs w:val="24"/>
              </w:rPr>
              <w:t>钢研高纳</w:t>
            </w:r>
          </w:p>
        </w:tc>
        <w:tc>
          <w:tcPr>
            <w:vAlign w:val="center"/>
          </w:tcPr>
          <w:p>
            <w:pPr>
              <w:jc w:val="right"/>
            </w:pPr>
            <w:r>
              <w:rPr>
                <w:color w:val="000000"/>
                <w:sz w:val="24"/>
                <w:szCs w:val="24"/>
              </w:rPr>
              <w:t>888,400</w:t>
            </w:r>
          </w:p>
        </w:tc>
        <w:tc>
          <w:tcPr>
            <w:vAlign w:val="center"/>
          </w:tcPr>
          <w:p>
            <w:pPr>
              <w:jc w:val="right"/>
            </w:pPr>
            <w:r>
              <w:rPr>
                <w:color w:val="000000"/>
                <w:sz w:val="24"/>
                <w:szCs w:val="24"/>
              </w:rPr>
              <w:t>14,187,748.00</w:t>
            </w:r>
          </w:p>
        </w:tc>
        <w:tc>
          <w:tcPr>
            <w:vAlign w:val="center"/>
          </w:tcPr>
          <w:p>
            <w:pPr>
              <w:jc w:val="right"/>
            </w:pPr>
            <w:r>
              <w:rPr>
                <w:color w:val="000000"/>
                <w:sz w:val="24"/>
                <w:szCs w:val="24"/>
              </w:rPr>
              <w:t>2.96</w:t>
            </w:r>
          </w:p>
        </w:tc>
      </w:tr>
      <w:tr>
        <w:tc>
          <w:tcPr>
            <w:vAlign w:val="center"/>
          </w:tcPr>
          <w:p>
            <w:pPr>
              <w:jc w:val="center"/>
            </w:pPr>
            <w:r>
              <w:rPr>
                <w:color w:val="000000"/>
                <w:sz w:val="24"/>
                <w:szCs w:val="24"/>
              </w:rPr>
              <w:t>7</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2,249,900</w:t>
            </w:r>
          </w:p>
        </w:tc>
        <w:tc>
          <w:tcPr>
            <w:vAlign w:val="center"/>
          </w:tcPr>
          <w:p>
            <w:pPr>
              <w:jc w:val="right"/>
            </w:pPr>
            <w:r>
              <w:rPr>
                <w:color w:val="000000"/>
                <w:sz w:val="24"/>
                <w:szCs w:val="24"/>
              </w:rPr>
              <w:t>13,229,412.00</w:t>
            </w:r>
          </w:p>
        </w:tc>
        <w:tc>
          <w:tcPr>
            <w:vAlign w:val="center"/>
          </w:tcPr>
          <w:p>
            <w:pPr>
              <w:jc w:val="right"/>
            </w:pPr>
            <w:r>
              <w:rPr>
                <w:color w:val="000000"/>
                <w:sz w:val="24"/>
                <w:szCs w:val="24"/>
              </w:rPr>
              <w:t>2.76</w:t>
            </w:r>
          </w:p>
        </w:tc>
      </w:tr>
      <w:tr>
        <w:tc>
          <w:tcPr>
            <w:vAlign w:val="center"/>
          </w:tcPr>
          <w:p>
            <w:pPr>
              <w:jc w:val="center"/>
            </w:pPr>
            <w:r>
              <w:rPr>
                <w:color w:val="000000"/>
                <w:sz w:val="24"/>
                <w:szCs w:val="24"/>
              </w:rPr>
              <w:t>8</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1,150,000</w:t>
            </w:r>
          </w:p>
        </w:tc>
        <w:tc>
          <w:tcPr>
            <w:vAlign w:val="center"/>
          </w:tcPr>
          <w:p>
            <w:pPr>
              <w:jc w:val="right"/>
            </w:pPr>
            <w:r>
              <w:rPr>
                <w:color w:val="000000"/>
                <w:sz w:val="24"/>
                <w:szCs w:val="24"/>
              </w:rPr>
              <w:t>12,224,500.00</w:t>
            </w:r>
          </w:p>
        </w:tc>
        <w:tc>
          <w:tcPr>
            <w:vAlign w:val="center"/>
          </w:tcPr>
          <w:p>
            <w:pPr>
              <w:jc w:val="right"/>
            </w:pPr>
            <w:r>
              <w:rPr>
                <w:color w:val="000000"/>
                <w:sz w:val="24"/>
                <w:szCs w:val="24"/>
              </w:rPr>
              <w:t>2.55</w:t>
            </w:r>
          </w:p>
        </w:tc>
      </w:tr>
      <w:tr>
        <w:tc>
          <w:tcPr>
            <w:vAlign w:val="center"/>
          </w:tcPr>
          <w:p>
            <w:pPr>
              <w:jc w:val="center"/>
            </w:pPr>
            <w:r>
              <w:rPr>
                <w:color w:val="000000"/>
                <w:sz w:val="24"/>
                <w:szCs w:val="24"/>
              </w:rPr>
              <w:t>9</w:t>
            </w:r>
          </w:p>
        </w:tc>
        <w:tc>
          <w:tcPr>
            <w:vAlign w:val="center"/>
          </w:tcPr>
          <w:p>
            <w:pPr>
              <w:jc w:val="center"/>
            </w:pPr>
            <w:r>
              <w:rPr>
                <w:color w:val="000000"/>
                <w:sz w:val="24"/>
                <w:szCs w:val="24"/>
              </w:rPr>
              <w:t>601688</w:t>
            </w:r>
          </w:p>
        </w:tc>
        <w:tc>
          <w:tcPr>
            <w:vAlign w:val="center"/>
          </w:tcPr>
          <w:p>
            <w:pPr>
              <w:jc w:val="center"/>
            </w:pPr>
            <w:r>
              <w:rPr>
                <w:color w:val="000000"/>
                <w:sz w:val="24"/>
                <w:szCs w:val="24"/>
              </w:rPr>
              <w:t>华泰证券</w:t>
            </w:r>
          </w:p>
        </w:tc>
        <w:tc>
          <w:tcPr>
            <w:vAlign w:val="center"/>
          </w:tcPr>
          <w:p>
            <w:pPr>
              <w:jc w:val="right"/>
            </w:pPr>
            <w:r>
              <w:rPr>
                <w:color w:val="000000"/>
                <w:sz w:val="24"/>
                <w:szCs w:val="24"/>
              </w:rPr>
              <w:t>599,977</w:t>
            </w:r>
          </w:p>
        </w:tc>
        <w:tc>
          <w:tcPr>
            <w:vAlign w:val="center"/>
          </w:tcPr>
          <w:p>
            <w:pPr>
              <w:jc w:val="right"/>
            </w:pPr>
            <w:r>
              <w:rPr>
                <w:color w:val="000000"/>
                <w:sz w:val="24"/>
                <w:szCs w:val="24"/>
              </w:rPr>
              <w:t>12,185,532.87</w:t>
            </w:r>
          </w:p>
        </w:tc>
        <w:tc>
          <w:tcPr>
            <w:vAlign w:val="center"/>
          </w:tcPr>
          <w:p>
            <w:pPr>
              <w:jc w:val="right"/>
            </w:pPr>
            <w:r>
              <w:rPr>
                <w:color w:val="000000"/>
                <w:sz w:val="24"/>
                <w:szCs w:val="24"/>
              </w:rPr>
              <w:t>2.55</w:t>
            </w:r>
          </w:p>
        </w:tc>
      </w:tr>
      <w:tr>
        <w:tc>
          <w:tcPr>
            <w:vAlign w:val="center"/>
          </w:tcPr>
          <w:p>
            <w:pPr>
              <w:jc w:val="center"/>
            </w:pPr>
            <w:r>
              <w:rPr>
                <w:color w:val="000000"/>
                <w:sz w:val="24"/>
                <w:szCs w:val="24"/>
              </w:rPr>
              <w:t>10</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830,000</w:t>
            </w:r>
          </w:p>
        </w:tc>
        <w:tc>
          <w:tcPr>
            <w:vAlign w:val="center"/>
          </w:tcPr>
          <w:p>
            <w:pPr>
              <w:jc w:val="right"/>
            </w:pPr>
            <w:r>
              <w:rPr>
                <w:color w:val="000000"/>
                <w:sz w:val="24"/>
                <w:szCs w:val="24"/>
              </w:rPr>
              <w:t>11,869,000.00</w:t>
            </w:r>
          </w:p>
        </w:tc>
        <w:tc>
          <w:tcPr>
            <w:vAlign w:val="center"/>
          </w:tcPr>
          <w:p>
            <w:pPr>
              <w:jc w:val="right"/>
            </w:pPr>
            <w:r>
              <w:rPr>
                <w:color w:val="000000"/>
                <w:sz w:val="24"/>
                <w:szCs w:val="24"/>
              </w:rPr>
              <w:t>2.48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10,506,300.00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2.20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15,045,000.00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3.14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15,045,000.00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3.14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25,551,300.00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019611</w:t>
            </w:r>
          </w:p>
        </w:tc>
        <w:tc>
          <w:tcPr>
            <w:vAlign w:val="center"/>
          </w:tcPr>
          <w:p>
            <w:pPr>
              <w:jc w:val="center"/>
            </w:pPr>
            <w:r>
              <w:rPr>
                <w:color w:val="000000"/>
                <w:sz w:val="24"/>
                <w:szCs w:val="24"/>
              </w:rPr>
              <w:t>19国债01</w:t>
            </w:r>
          </w:p>
        </w:tc>
        <w:tc>
          <w:tcPr>
            <w:vAlign w:val="center"/>
          </w:tcPr>
          <w:p>
            <w:pPr>
              <w:jc w:val="right"/>
            </w:pPr>
            <w:r>
              <w:rPr>
                <w:color w:val="000000"/>
                <w:sz w:val="24"/>
                <w:szCs w:val="24"/>
              </w:rPr>
              <w:t>105,000</w:t>
            </w:r>
          </w:p>
        </w:tc>
        <w:tc>
          <w:tcPr>
            <w:vAlign w:val="center"/>
          </w:tcPr>
          <w:p>
            <w:pPr>
              <w:jc w:val="right"/>
            </w:pPr>
            <w:r>
              <w:rPr>
                <w:color w:val="000000"/>
                <w:sz w:val="24"/>
                <w:szCs w:val="24"/>
              </w:rPr>
              <w:t>10,506,300.00</w:t>
            </w:r>
          </w:p>
        </w:tc>
        <w:tc>
          <w:tcPr>
            <w:vAlign w:val="center"/>
          </w:tcPr>
          <w:p>
            <w:pPr>
              <w:jc w:val="right"/>
            </w:pPr>
            <w:r>
              <w:rPr>
                <w:color w:val="000000"/>
                <w:sz w:val="24"/>
                <w:szCs w:val="24"/>
              </w:rPr>
              <w:t>2.20</w:t>
            </w:r>
          </w:p>
        </w:tc>
      </w:tr>
      <w:tr>
        <w:tc>
          <w:tcPr>
            <w:vAlign w:val="center"/>
          </w:tcPr>
          <w:p>
            <w:pPr>
              <w:jc w:val="center"/>
            </w:pPr>
            <w:r>
              <w:rPr>
                <w:color w:val="000000"/>
                <w:sz w:val="24"/>
                <w:szCs w:val="24"/>
              </w:rPr>
              <w:t>2</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100,000</w:t>
            </w:r>
          </w:p>
        </w:tc>
        <w:tc>
          <w:tcPr>
            <w:vAlign w:val="center"/>
          </w:tcPr>
          <w:p>
            <w:pPr>
              <w:jc w:val="right"/>
            </w:pPr>
            <w:r>
              <w:rPr>
                <w:color w:val="000000"/>
                <w:sz w:val="24"/>
                <w:szCs w:val="24"/>
              </w:rPr>
              <w:t>10,016,000.00</w:t>
            </w:r>
          </w:p>
        </w:tc>
        <w:tc>
          <w:tcPr>
            <w:vAlign w:val="center"/>
          </w:tcPr>
          <w:p>
            <w:pPr>
              <w:jc w:val="right"/>
            </w:pPr>
            <w:r>
              <w:rPr>
                <w:color w:val="000000"/>
                <w:sz w:val="24"/>
                <w:szCs w:val="24"/>
              </w:rPr>
              <w:t>2.09</w:t>
            </w:r>
          </w:p>
        </w:tc>
      </w:tr>
      <w:tr>
        <w:tc>
          <w:tcPr>
            <w:vAlign w:val="center"/>
          </w:tcPr>
          <w:p>
            <w:pPr>
              <w:jc w:val="center"/>
            </w:pPr>
            <w:r>
              <w:rPr>
                <w:color w:val="000000"/>
                <w:sz w:val="24"/>
                <w:szCs w:val="24"/>
              </w:rPr>
              <w:t>3</w:t>
            </w:r>
          </w:p>
        </w:tc>
        <w:tc>
          <w:tcPr>
            <w:vAlign w:val="center"/>
          </w:tcPr>
          <w:p>
            <w:pPr>
              <w:jc w:val="center"/>
            </w:pPr>
            <w:r>
              <w:rPr>
                <w:color w:val="000000"/>
                <w:sz w:val="24"/>
                <w:szCs w:val="24"/>
              </w:rPr>
              <w:t>108602</w:t>
            </w:r>
          </w:p>
        </w:tc>
        <w:tc>
          <w:tcPr>
            <w:vAlign w:val="center"/>
          </w:tcPr>
          <w:p>
            <w:pPr>
              <w:jc w:val="center"/>
            </w:pPr>
            <w:r>
              <w:rPr>
                <w:color w:val="000000"/>
                <w:sz w:val="24"/>
                <w:szCs w:val="24"/>
              </w:rPr>
              <w:t>国开1704</w:t>
            </w:r>
          </w:p>
        </w:tc>
        <w:tc>
          <w:tcPr>
            <w:vAlign w:val="center"/>
          </w:tcPr>
          <w:p>
            <w:pPr>
              <w:jc w:val="right"/>
            </w:pPr>
            <w:r>
              <w:rPr>
                <w:color w:val="000000"/>
                <w:sz w:val="24"/>
                <w:szCs w:val="24"/>
              </w:rPr>
              <w:t>50,000</w:t>
            </w:r>
          </w:p>
        </w:tc>
        <w:tc>
          <w:tcPr>
            <w:vAlign w:val="center"/>
          </w:tcPr>
          <w:p>
            <w:pPr>
              <w:jc w:val="right"/>
            </w:pPr>
            <w:r>
              <w:rPr>
                <w:color w:val="000000"/>
                <w:sz w:val="24"/>
                <w:szCs w:val="24"/>
              </w:rPr>
              <w:t>5,029,000.00</w:t>
            </w:r>
          </w:p>
        </w:tc>
        <w:tc>
          <w:tcPr>
            <w:vAlign w:val="center"/>
          </w:tcPr>
          <w:p>
            <w:pPr>
              <w:jc w:val="right"/>
            </w:pPr>
            <w:r>
              <w:rPr>
                <w:color w:val="000000"/>
                <w:sz w:val="24"/>
                <w:szCs w:val="24"/>
              </w:rPr>
              <w:t>1.05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113,903.73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2,878,043.04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556,730.40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38,516.00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3,587,193.17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489,586,560.44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3,792,569.02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67,438,102.29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425,941,027.17</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1、中国证监会准予交银施罗德国企改革灵活配置混合型证券投资基金募集注册的文件； </w:t>
      </w:r>
    </w:p>
    <w:p>
      <w:pPr>
        <w:spacing w:before="29" w:line="288" w:lineRule="auto"/>
        <w:ind w:firstLine="480" w:firstLineChars="200"/>
        <w:rPr>
          <w:color w:val="000000"/>
          <w:sz w:val="24"/>
          <w:szCs w:val="24"/>
        </w:rPr>
      </w:pPr>
      <w:r>
        <w:rPr>
          <w:color w:val="000000"/>
          <w:sz w:val="24"/>
          <w:szCs w:val="24"/>
        </w:rPr>
        <w:t>2、《交银施罗德国企改革灵活配置混合型证券投资基金基金合同》；</w:t>
      </w:r>
    </w:p>
    <w:p>
      <w:pPr>
        <w:spacing w:before="29" w:line="288" w:lineRule="auto"/>
        <w:ind w:firstLine="480" w:firstLineChars="200"/>
        <w:rPr>
          <w:color w:val="000000"/>
          <w:sz w:val="24"/>
          <w:szCs w:val="24"/>
        </w:rPr>
      </w:pPr>
      <w:r>
        <w:rPr>
          <w:color w:val="000000"/>
          <w:sz w:val="24"/>
          <w:szCs w:val="24"/>
        </w:rPr>
        <w:t xml:space="preserve">3、《交银施罗德国企改革灵活配置混合型证券投资基金招募说明书》；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4、《交银施罗德国企改革灵活配置混合型证券投资基金托管协议》； </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7、关于申请募集注册交银施罗德国企改革灵活配置混合型证券投资基金的法律意见书；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8、报告期内交银施罗德国企改革灵活配置混合型证券投资基金在指定报刊上各项公告的原稿。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交银施罗德国企改革灵活配置混合型证券投资基金2019年第4季度报告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