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交银施罗德成长30混合型证券投资基金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交银成长30混合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2013年6月5日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1,626,881,734.22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本基金属于成长型混合型基金，主要通过投资于不超过30只精选的成长型上市公司股票，在适度控制风险并保持基金资产良好流动性的前提下，为基金份额持有人谋求长期、稳定的资本增值。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75%×富时中国A600成长指数收益率+25%×中证综合债券指数收益率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xml:space="preserve">本基金是一只混合型基金，以成长型股票为主要投资对象，其风险和预期收益高于债券型基金和货币市场基金，低于股票型基金。属于承担较高风险、预期收益较高的证券投资基金品种。 </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102,287,527.16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261,528,497.85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0.1686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2,618,022,323.01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1.609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11.58%</w:t>
            </w:r>
          </w:p>
        </w:tc>
        <w:tc>
          <w:tcPr>
            <w:vAlign w:val="center"/>
          </w:tcPr>
          <w:p>
            <w:pPr>
              <w:jc w:val="center"/>
            </w:pPr>
            <w:r>
              <w:rPr>
                <w:color w:val="000000"/>
                <w:sz w:val="24"/>
                <w:szCs w:val="24"/>
              </w:rPr>
              <w:t>1.09%</w:t>
            </w:r>
          </w:p>
        </w:tc>
        <w:tc>
          <w:tcPr>
            <w:vAlign w:val="center"/>
          </w:tcPr>
          <w:p>
            <w:pPr>
              <w:jc w:val="center"/>
            </w:pPr>
            <w:r>
              <w:rPr>
                <w:color w:val="000000"/>
                <w:sz w:val="24"/>
                <w:szCs w:val="24"/>
              </w:rPr>
              <w:t>5.18%</w:t>
            </w:r>
          </w:p>
        </w:tc>
        <w:tc>
          <w:tcPr>
            <w:vAlign w:val="center"/>
          </w:tcPr>
          <w:p>
            <w:pPr>
              <w:jc w:val="center"/>
            </w:pPr>
            <w:r>
              <w:rPr>
                <w:color w:val="000000"/>
                <w:sz w:val="24"/>
                <w:szCs w:val="24"/>
              </w:rPr>
              <w:t>0.58%</w:t>
            </w:r>
          </w:p>
        </w:tc>
        <w:tc>
          <w:tcPr>
            <w:vAlign w:val="center"/>
          </w:tcPr>
          <w:p>
            <w:pPr>
              <w:jc w:val="center"/>
            </w:pPr>
            <w:r>
              <w:rPr>
                <w:color w:val="000000"/>
                <w:sz w:val="24"/>
                <w:szCs w:val="24"/>
              </w:rPr>
              <w:t>6.40%</w:t>
            </w:r>
          </w:p>
        </w:tc>
        <w:tc>
          <w:tcPr>
            <w:vAlign w:val="center"/>
          </w:tcPr>
          <w:p>
            <w:pPr>
              <w:jc w:val="center"/>
            </w:pPr>
            <w:r>
              <w:rPr>
                <w:color w:val="000000"/>
                <w:sz w:val="24"/>
                <w:szCs w:val="24"/>
              </w:rPr>
              <w:t>0.51%</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富时中国A600成长指数收益率+25%×中信标普全债指数收益率”变更为“75%×富时中国A600成长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交银施罗德成长30混合型证券投资基金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2013年6月5日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交银成长30混合、交银经济新动力混合的基金经理</w:t>
            </w:r>
          </w:p>
        </w:tc>
        <w:tc>
          <w:tcPr>
            <w:vAlign w:val="center"/>
          </w:tcPr>
          <w:p>
            <w:pPr>
              <w:jc w:val="center"/>
            </w:pPr>
            <w:r>
              <w:rPr>
                <w:color w:val="000000"/>
                <w:sz w:val="24"/>
                <w:szCs w:val="24"/>
              </w:rPr>
              <w:t>2017-09-26</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随着中美贸易谈判第一阶段进展的逐渐明朗，市场迎来了久违的暖冬。经济阶段性回温的周期幻觉叠加市场风险偏好的显著回升，使得低位滞涨品种与核心资产的估值收敛以前者大幅补涨的形式得以实现。</w:t>
      </w:r>
    </w:p>
    <w:p>
      <w:pPr>
        <w:spacing w:before="29" w:line="288" w:lineRule="auto"/>
        <w:ind w:firstLine="480" w:firstLineChars="200"/>
        <w:rPr>
          <w:color w:val="000000"/>
          <w:sz w:val="24"/>
          <w:szCs w:val="24"/>
        </w:rPr>
      </w:pPr>
      <w:r>
        <w:rPr>
          <w:color w:val="000000"/>
          <w:sz w:val="24"/>
          <w:szCs w:val="24"/>
        </w:rPr>
        <w:t>报告期内，本基金重点配置了新能源汽车、创新硬件、5G、半导体、智能装备、产业信息化等领域的成长股以及部分金融地产蓝筹。</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面对暂时无法证伪的经济补库存逻辑与部分成长类资产的估值性价比矛盾，我们试图让组合配置更加均衡。尽管如此，我们越发清晰地看到科技赋能各行业的新应用新业态已逐渐开始崭露头角乃至喷薄而出。我们仍然坚信以科技为代表的成长股在2020年最有可为。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2,112,511,445.79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79.33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2,112,511,445.79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79.33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533,846,924.02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16,670,323.99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0.63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2,663,028,693.80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1,468,900,933.81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210,954,099.80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227,254,532.00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205,401,880.18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2,112,511,445.79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80.69</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4,960,095</w:t>
            </w:r>
          </w:p>
        </w:tc>
        <w:tc>
          <w:tcPr>
            <w:vAlign w:val="center"/>
          </w:tcPr>
          <w:p>
            <w:pPr>
              <w:jc w:val="right"/>
            </w:pPr>
            <w:r>
              <w:rPr>
                <w:color w:val="000000"/>
                <w:sz w:val="24"/>
                <w:szCs w:val="24"/>
              </w:rPr>
              <w:t>248,798,365.20</w:t>
            </w:r>
          </w:p>
        </w:tc>
        <w:tc>
          <w:tcPr>
            <w:vAlign w:val="center"/>
          </w:tcPr>
          <w:p>
            <w:pPr>
              <w:jc w:val="right"/>
            </w:pPr>
            <w:r>
              <w:rPr>
                <w:color w:val="000000"/>
                <w:sz w:val="24"/>
                <w:szCs w:val="24"/>
              </w:rPr>
              <w:t>9.50</w:t>
            </w:r>
          </w:p>
        </w:tc>
      </w:tr>
      <w:tr>
        <w:tc>
          <w:tcPr>
            <w:vAlign w:val="center"/>
          </w:tcPr>
          <w:p>
            <w:pPr>
              <w:jc w:val="center"/>
            </w:pPr>
            <w:r>
              <w:rPr>
                <w:color w:val="000000"/>
                <w:sz w:val="24"/>
                <w:szCs w:val="24"/>
              </w:rPr>
              <w:t>2</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12,694,801</w:t>
            </w:r>
          </w:p>
        </w:tc>
        <w:tc>
          <w:tcPr>
            <w:vAlign w:val="center"/>
          </w:tcPr>
          <w:p>
            <w:pPr>
              <w:jc w:val="right"/>
            </w:pPr>
            <w:r>
              <w:rPr>
                <w:color w:val="000000"/>
                <w:sz w:val="24"/>
                <w:szCs w:val="24"/>
              </w:rPr>
              <w:t>205,401,880.18</w:t>
            </w:r>
          </w:p>
        </w:tc>
        <w:tc>
          <w:tcPr>
            <w:vAlign w:val="center"/>
          </w:tcPr>
          <w:p>
            <w:pPr>
              <w:jc w:val="right"/>
            </w:pPr>
            <w:r>
              <w:rPr>
                <w:color w:val="000000"/>
                <w:sz w:val="24"/>
                <w:szCs w:val="24"/>
              </w:rPr>
              <w:t>7.85</w:t>
            </w:r>
          </w:p>
        </w:tc>
      </w:tr>
      <w:tr>
        <w:tc>
          <w:tcPr>
            <w:vAlign w:val="center"/>
          </w:tcPr>
          <w:p>
            <w:pPr>
              <w:jc w:val="center"/>
            </w:pPr>
            <w:r>
              <w:rPr>
                <w:color w:val="000000"/>
                <w:sz w:val="24"/>
                <w:szCs w:val="24"/>
              </w:rPr>
              <w:t>3</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4,972,680</w:t>
            </w:r>
          </w:p>
        </w:tc>
        <w:tc>
          <w:tcPr>
            <w:vAlign w:val="center"/>
          </w:tcPr>
          <w:p>
            <w:pPr>
              <w:jc w:val="right"/>
            </w:pPr>
            <w:r>
              <w:rPr>
                <w:color w:val="000000"/>
                <w:sz w:val="24"/>
                <w:szCs w:val="24"/>
              </w:rPr>
              <w:t>181,502,820.00</w:t>
            </w:r>
          </w:p>
        </w:tc>
        <w:tc>
          <w:tcPr>
            <w:vAlign w:val="center"/>
          </w:tcPr>
          <w:p>
            <w:pPr>
              <w:jc w:val="right"/>
            </w:pPr>
            <w:r>
              <w:rPr>
                <w:color w:val="000000"/>
                <w:sz w:val="24"/>
                <w:szCs w:val="24"/>
              </w:rPr>
              <w:t>6.93</w:t>
            </w:r>
          </w:p>
        </w:tc>
      </w:tr>
      <w:tr>
        <w:tc>
          <w:tcPr>
            <w:vAlign w:val="center"/>
          </w:tcPr>
          <w:p>
            <w:pPr>
              <w:jc w:val="center"/>
            </w:pPr>
            <w:r>
              <w:rPr>
                <w:color w:val="000000"/>
                <w:sz w:val="24"/>
                <w:szCs w:val="24"/>
              </w:rPr>
              <w:t>4</w:t>
            </w:r>
          </w:p>
        </w:tc>
        <w:tc>
          <w:tcPr>
            <w:vAlign w:val="center"/>
          </w:tcPr>
          <w:p>
            <w:pPr>
              <w:jc w:val="center"/>
            </w:pPr>
            <w:r>
              <w:rPr>
                <w:color w:val="000000"/>
                <w:sz w:val="24"/>
                <w:szCs w:val="24"/>
              </w:rPr>
              <w:t>002123</w:t>
            </w:r>
          </w:p>
        </w:tc>
        <w:tc>
          <w:tcPr>
            <w:vAlign w:val="center"/>
          </w:tcPr>
          <w:p>
            <w:pPr>
              <w:jc w:val="center"/>
            </w:pPr>
            <w:r>
              <w:rPr>
                <w:color w:val="000000"/>
                <w:sz w:val="24"/>
                <w:szCs w:val="24"/>
              </w:rPr>
              <w:t>梦网集团</w:t>
            </w:r>
          </w:p>
        </w:tc>
        <w:tc>
          <w:tcPr>
            <w:vAlign w:val="center"/>
          </w:tcPr>
          <w:p>
            <w:pPr>
              <w:jc w:val="right"/>
            </w:pPr>
            <w:r>
              <w:rPr>
                <w:color w:val="000000"/>
                <w:sz w:val="24"/>
                <w:szCs w:val="24"/>
              </w:rPr>
              <w:t>8,366,249</w:t>
            </w:r>
          </w:p>
        </w:tc>
        <w:tc>
          <w:tcPr>
            <w:vAlign w:val="center"/>
          </w:tcPr>
          <w:p>
            <w:pPr>
              <w:jc w:val="right"/>
            </w:pPr>
            <w:r>
              <w:rPr>
                <w:color w:val="000000"/>
                <w:sz w:val="24"/>
                <w:szCs w:val="24"/>
              </w:rPr>
              <w:t>160,046,343.37</w:t>
            </w:r>
          </w:p>
        </w:tc>
        <w:tc>
          <w:tcPr>
            <w:vAlign w:val="center"/>
          </w:tcPr>
          <w:p>
            <w:pPr>
              <w:jc w:val="right"/>
            </w:pPr>
            <w:r>
              <w:rPr>
                <w:color w:val="000000"/>
                <w:sz w:val="24"/>
                <w:szCs w:val="24"/>
              </w:rPr>
              <w:t>6.11</w:t>
            </w:r>
          </w:p>
        </w:tc>
      </w:tr>
      <w:tr>
        <w:tc>
          <w:tcPr>
            <w:vAlign w:val="center"/>
          </w:tcPr>
          <w:p>
            <w:pPr>
              <w:jc w:val="center"/>
            </w:pPr>
            <w:r>
              <w:rPr>
                <w:color w:val="000000"/>
                <w:sz w:val="24"/>
                <w:szCs w:val="24"/>
              </w:rPr>
              <w:t>5</w:t>
            </w:r>
          </w:p>
        </w:tc>
        <w:tc>
          <w:tcPr>
            <w:vAlign w:val="center"/>
          </w:tcPr>
          <w:p>
            <w:pPr>
              <w:jc w:val="center"/>
            </w:pPr>
            <w:r>
              <w:rPr>
                <w:color w:val="000000"/>
                <w:sz w:val="24"/>
                <w:szCs w:val="24"/>
              </w:rPr>
              <w:t>601601</w:t>
            </w:r>
          </w:p>
        </w:tc>
        <w:tc>
          <w:tcPr>
            <w:vAlign w:val="center"/>
          </w:tcPr>
          <w:p>
            <w:pPr>
              <w:jc w:val="center"/>
            </w:pPr>
            <w:r>
              <w:rPr>
                <w:color w:val="000000"/>
                <w:sz w:val="24"/>
                <w:szCs w:val="24"/>
              </w:rPr>
              <w:t>中国太保</w:t>
            </w:r>
          </w:p>
        </w:tc>
        <w:tc>
          <w:tcPr>
            <w:vAlign w:val="center"/>
          </w:tcPr>
          <w:p>
            <w:pPr>
              <w:jc w:val="right"/>
            </w:pPr>
            <w:r>
              <w:rPr>
                <w:color w:val="000000"/>
                <w:sz w:val="24"/>
                <w:szCs w:val="24"/>
              </w:rPr>
              <w:t>2,615,000</w:t>
            </w:r>
          </w:p>
        </w:tc>
        <w:tc>
          <w:tcPr>
            <w:vAlign w:val="center"/>
          </w:tcPr>
          <w:p>
            <w:pPr>
              <w:jc w:val="right"/>
            </w:pPr>
            <w:r>
              <w:rPr>
                <w:color w:val="000000"/>
                <w:sz w:val="24"/>
                <w:szCs w:val="24"/>
              </w:rPr>
              <w:t>98,951,600.00</w:t>
            </w:r>
          </w:p>
        </w:tc>
        <w:tc>
          <w:tcPr>
            <w:vAlign w:val="center"/>
          </w:tcPr>
          <w:p>
            <w:pPr>
              <w:jc w:val="right"/>
            </w:pPr>
            <w:r>
              <w:rPr>
                <w:color w:val="000000"/>
                <w:sz w:val="24"/>
                <w:szCs w:val="24"/>
              </w:rPr>
              <w:t>3.78</w:t>
            </w:r>
          </w:p>
        </w:tc>
      </w:tr>
      <w:tr>
        <w:tc>
          <w:tcPr>
            <w:vAlign w:val="center"/>
          </w:tcPr>
          <w:p>
            <w:pPr>
              <w:jc w:val="center"/>
            </w:pPr>
            <w:r>
              <w:rPr>
                <w:color w:val="000000"/>
                <w:sz w:val="24"/>
                <w:szCs w:val="24"/>
              </w:rPr>
              <w:t>6</w:t>
            </w:r>
          </w:p>
        </w:tc>
        <w:tc>
          <w:tcPr>
            <w:vAlign w:val="center"/>
          </w:tcPr>
          <w:p>
            <w:pPr>
              <w:jc w:val="center"/>
            </w:pPr>
            <w:r>
              <w:rPr>
                <w:color w:val="000000"/>
                <w:sz w:val="24"/>
                <w:szCs w:val="24"/>
              </w:rPr>
              <w:t>002185</w:t>
            </w:r>
          </w:p>
        </w:tc>
        <w:tc>
          <w:tcPr>
            <w:vAlign w:val="center"/>
          </w:tcPr>
          <w:p>
            <w:pPr>
              <w:jc w:val="center"/>
            </w:pPr>
            <w:r>
              <w:rPr>
                <w:color w:val="000000"/>
                <w:sz w:val="24"/>
                <w:szCs w:val="24"/>
              </w:rPr>
              <w:t>华天科技</w:t>
            </w:r>
          </w:p>
        </w:tc>
        <w:tc>
          <w:tcPr>
            <w:vAlign w:val="center"/>
          </w:tcPr>
          <w:p>
            <w:pPr>
              <w:jc w:val="right"/>
            </w:pPr>
            <w:r>
              <w:rPr>
                <w:color w:val="000000"/>
                <w:sz w:val="24"/>
                <w:szCs w:val="24"/>
              </w:rPr>
              <w:t>12,092,019</w:t>
            </w:r>
          </w:p>
        </w:tc>
        <w:tc>
          <w:tcPr>
            <w:vAlign w:val="center"/>
          </w:tcPr>
          <w:p>
            <w:pPr>
              <w:jc w:val="right"/>
            </w:pPr>
            <w:r>
              <w:rPr>
                <w:color w:val="000000"/>
                <w:sz w:val="24"/>
                <w:szCs w:val="24"/>
              </w:rPr>
              <w:t>90,327,381.93</w:t>
            </w:r>
          </w:p>
        </w:tc>
        <w:tc>
          <w:tcPr>
            <w:vAlign w:val="center"/>
          </w:tcPr>
          <w:p>
            <w:pPr>
              <w:jc w:val="right"/>
            </w:pPr>
            <w:r>
              <w:rPr>
                <w:color w:val="000000"/>
                <w:sz w:val="24"/>
                <w:szCs w:val="24"/>
              </w:rPr>
              <w:t>3.45</w:t>
            </w:r>
          </w:p>
        </w:tc>
      </w:tr>
      <w:tr>
        <w:tc>
          <w:tcPr>
            <w:vAlign w:val="center"/>
          </w:tcPr>
          <w:p>
            <w:pPr>
              <w:jc w:val="center"/>
            </w:pPr>
            <w:r>
              <w:rPr>
                <w:color w:val="000000"/>
                <w:sz w:val="24"/>
                <w:szCs w:val="24"/>
              </w:rPr>
              <w:t>7</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4,254,739</w:t>
            </w:r>
          </w:p>
        </w:tc>
        <w:tc>
          <w:tcPr>
            <w:vAlign w:val="center"/>
          </w:tcPr>
          <w:p>
            <w:pPr>
              <w:jc w:val="right"/>
            </w:pPr>
            <w:r>
              <w:rPr>
                <w:color w:val="000000"/>
                <w:sz w:val="24"/>
                <w:szCs w:val="24"/>
              </w:rPr>
              <w:t>83,052,505.28</w:t>
            </w:r>
          </w:p>
        </w:tc>
        <w:tc>
          <w:tcPr>
            <w:vAlign w:val="center"/>
          </w:tcPr>
          <w:p>
            <w:pPr>
              <w:jc w:val="right"/>
            </w:pPr>
            <w:r>
              <w:rPr>
                <w:color w:val="000000"/>
                <w:sz w:val="24"/>
                <w:szCs w:val="24"/>
              </w:rPr>
              <w:t>3.17</w:t>
            </w:r>
          </w:p>
        </w:tc>
      </w:tr>
      <w:tr>
        <w:tc>
          <w:tcPr>
            <w:vAlign w:val="center"/>
          </w:tcPr>
          <w:p>
            <w:pPr>
              <w:jc w:val="center"/>
            </w:pPr>
            <w:r>
              <w:rPr>
                <w:color w:val="000000"/>
                <w:sz w:val="24"/>
                <w:szCs w:val="24"/>
              </w:rPr>
              <w:t>8</w:t>
            </w:r>
          </w:p>
        </w:tc>
        <w:tc>
          <w:tcPr>
            <w:vAlign w:val="center"/>
          </w:tcPr>
          <w:p>
            <w:pPr>
              <w:jc w:val="center"/>
            </w:pPr>
            <w:r>
              <w:rPr>
                <w:color w:val="000000"/>
                <w:sz w:val="24"/>
                <w:szCs w:val="24"/>
              </w:rPr>
              <w:t>000100</w:t>
            </w:r>
          </w:p>
        </w:tc>
        <w:tc>
          <w:tcPr>
            <w:vAlign w:val="center"/>
          </w:tcPr>
          <w:p>
            <w:pPr>
              <w:jc w:val="center"/>
            </w:pPr>
            <w:r>
              <w:rPr>
                <w:color w:val="000000"/>
                <w:sz w:val="24"/>
                <w:szCs w:val="24"/>
              </w:rPr>
              <w:t>TCL集团</w:t>
            </w:r>
          </w:p>
        </w:tc>
        <w:tc>
          <w:tcPr>
            <w:vAlign w:val="center"/>
          </w:tcPr>
          <w:p>
            <w:pPr>
              <w:jc w:val="right"/>
            </w:pPr>
            <w:r>
              <w:rPr>
                <w:color w:val="000000"/>
                <w:sz w:val="24"/>
                <w:szCs w:val="24"/>
              </w:rPr>
              <w:t>17,625,627</w:t>
            </w:r>
          </w:p>
        </w:tc>
        <w:tc>
          <w:tcPr>
            <w:vAlign w:val="center"/>
          </w:tcPr>
          <w:p>
            <w:pPr>
              <w:jc w:val="right"/>
            </w:pPr>
            <w:r>
              <w:rPr>
                <w:color w:val="000000"/>
                <w:sz w:val="24"/>
                <w:szCs w:val="24"/>
              </w:rPr>
              <w:t>78,786,552.69</w:t>
            </w:r>
          </w:p>
        </w:tc>
        <w:tc>
          <w:tcPr>
            <w:vAlign w:val="center"/>
          </w:tcPr>
          <w:p>
            <w:pPr>
              <w:jc w:val="right"/>
            </w:pPr>
            <w:r>
              <w:rPr>
                <w:color w:val="000000"/>
                <w:sz w:val="24"/>
                <w:szCs w:val="24"/>
              </w:rPr>
              <w:t>3.01</w:t>
            </w:r>
          </w:p>
        </w:tc>
      </w:tr>
      <w:tr>
        <w:tc>
          <w:tcPr>
            <w:vAlign w:val="center"/>
          </w:tcPr>
          <w:p>
            <w:pPr>
              <w:jc w:val="center"/>
            </w:pPr>
            <w:r>
              <w:rPr>
                <w:color w:val="000000"/>
                <w:sz w:val="24"/>
                <w:szCs w:val="24"/>
              </w:rPr>
              <w:t>9</w:t>
            </w:r>
          </w:p>
        </w:tc>
        <w:tc>
          <w:tcPr>
            <w:vAlign w:val="center"/>
          </w:tcPr>
          <w:p>
            <w:pPr>
              <w:jc w:val="center"/>
            </w:pPr>
            <w:r>
              <w:rPr>
                <w:color w:val="000000"/>
                <w:sz w:val="24"/>
                <w:szCs w:val="24"/>
              </w:rPr>
              <w:t>300327</w:t>
            </w:r>
          </w:p>
        </w:tc>
        <w:tc>
          <w:tcPr>
            <w:vAlign w:val="center"/>
          </w:tcPr>
          <w:p>
            <w:pPr>
              <w:jc w:val="center"/>
            </w:pPr>
            <w:r>
              <w:rPr>
                <w:color w:val="000000"/>
                <w:sz w:val="24"/>
                <w:szCs w:val="24"/>
              </w:rPr>
              <w:t>中颖电子</w:t>
            </w:r>
          </w:p>
        </w:tc>
        <w:tc>
          <w:tcPr>
            <w:vAlign w:val="center"/>
          </w:tcPr>
          <w:p>
            <w:pPr>
              <w:jc w:val="right"/>
            </w:pPr>
            <w:r>
              <w:rPr>
                <w:color w:val="000000"/>
                <w:sz w:val="24"/>
                <w:szCs w:val="24"/>
              </w:rPr>
              <w:t>3,010,408</w:t>
            </w:r>
          </w:p>
        </w:tc>
        <w:tc>
          <w:tcPr>
            <w:vAlign w:val="center"/>
          </w:tcPr>
          <w:p>
            <w:pPr>
              <w:jc w:val="right"/>
            </w:pPr>
            <w:r>
              <w:rPr>
                <w:color w:val="000000"/>
                <w:sz w:val="24"/>
                <w:szCs w:val="24"/>
              </w:rPr>
              <w:t>77,548,110.08</w:t>
            </w:r>
          </w:p>
        </w:tc>
        <w:tc>
          <w:tcPr>
            <w:vAlign w:val="center"/>
          </w:tcPr>
          <w:p>
            <w:pPr>
              <w:jc w:val="right"/>
            </w:pPr>
            <w:r>
              <w:rPr>
                <w:color w:val="000000"/>
                <w:sz w:val="24"/>
                <w:szCs w:val="24"/>
              </w:rPr>
              <w:t>2.96</w:t>
            </w:r>
          </w:p>
        </w:tc>
      </w:tr>
      <w:tr>
        <w:tc>
          <w:tcPr>
            <w:vAlign w:val="center"/>
          </w:tcPr>
          <w:p>
            <w:pPr>
              <w:jc w:val="center"/>
            </w:pPr>
            <w:r>
              <w:rPr>
                <w:color w:val="000000"/>
                <w:sz w:val="24"/>
                <w:szCs w:val="24"/>
              </w:rPr>
              <w:t>10</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3,767,900</w:t>
            </w:r>
          </w:p>
        </w:tc>
        <w:tc>
          <w:tcPr>
            <w:vAlign w:val="center"/>
          </w:tcPr>
          <w:p>
            <w:pPr>
              <w:jc w:val="right"/>
            </w:pPr>
            <w:r>
              <w:rPr>
                <w:color w:val="000000"/>
                <w:sz w:val="24"/>
                <w:szCs w:val="24"/>
              </w:rPr>
              <w:t>74,604,420.00</w:t>
            </w:r>
          </w:p>
        </w:tc>
        <w:tc>
          <w:tcPr>
            <w:vAlign w:val="center"/>
          </w:tcPr>
          <w:p>
            <w:pPr>
              <w:jc w:val="right"/>
            </w:pPr>
            <w:r>
              <w:rPr>
                <w:color w:val="000000"/>
                <w:sz w:val="24"/>
                <w:szCs w:val="24"/>
              </w:rPr>
              <w:t>2.85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677,446.21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124,938.52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15,867,939.26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16,670,323.99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1,396,456,173.58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1,157,928,961.38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927,503,400.74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1,626,881,734.22</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1、中国证监会批准交银施罗德成长30股票型证券投资基金募集的文件；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2、《交银施罗德成长30混合型证券投资基金基金合同》；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3、《交银施罗德成长30混合型证券投资基金招募说明书》；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4、《交银施罗德成长30混合型证券投资基金托管协议》；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5、关于募集交银施罗德成长30股票型证券投资基金之法律意见书；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8、报告期内交银施罗德成长30混合型证券投资基金在指定报刊上各项公告的原稿。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交银施罗德成长30混合型证券投资基金2019年第4季度报告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