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2014年1月28日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13,298,100.08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
            </w:r>
            <w:bookmarkStart w:id="0" w:name="_GoBack"/>
            <w:bookmarkEnd w:id="0"/>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交银强化回报债券A/B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交银强化回报债券C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519733</w:t>
            </w:r>
            <w:r w:rsidRPr="007F52FA">
              <w:rPr>
                <w:color w:themeColor="text1" w:val="000000"/>
                <w:sz w:val="24"/>
              </w:rPr>
              <w:t>（前端）、</w:t>
            </w:r>
            <w:r w:rsidRPr="007F52FA">
              <w:rPr>
                <w:color w:themeColor="text1" w:val="000000"/>
                <w:sz w:val="24"/>
              </w:rPr>
              <w:t>519734</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519735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10,043,985.05</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3,254,115.03</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交银强化回报债券A/B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交银强化回报债券C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175,011.97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52,403.09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278,551.01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84,477.88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0.0297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0.0297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10,947,519.19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3,494,096.55</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1.090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1.074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交银强化回报债券A/B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2.73%</w:t>
            </w:r>
          </w:p>
        </w:tc>
        <w:tc>
          <w:tcPr>
            <w:vAlign w:val="center"/>
          </w:tcPr>
          <w:p>
            <w:pPr>
              <w:jc w:val="center"/>
            </w:pPr>
            <w:r>
              <w:rPr>
                <w:color w:val="000000"/>
                <w:sz w:val="24"/>
              </w:rPr>
              <w:t>0.17%</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2.11%</w:t>
            </w:r>
          </w:p>
        </w:tc>
        <w:tc>
          <w:tcPr>
            <w:vAlign w:val="center"/>
          </w:tcPr>
          <w:p>
            <w:pPr>
              <w:jc w:val="center"/>
            </w:pPr>
            <w:r>
              <w:rPr>
                <w:color w:val="000000"/>
                <w:sz w:val="24"/>
              </w:rPr>
              <w:t>0.13%</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交银强化回报债券C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2.68%</w:t>
            </w:r>
          </w:p>
        </w:tc>
        <w:tc>
          <w:tcPr>
            <w:vAlign w:val="center"/>
          </w:tcPr>
          <w:p>
            <w:pPr>
              <w:jc w:val="center"/>
            </w:pPr>
            <w:r>
              <w:rPr>
                <w:color w:val="000000"/>
                <w:sz w:val="24"/>
              </w:rPr>
              <w:t>0.17%</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2.06%</w:t>
            </w:r>
          </w:p>
        </w:tc>
        <w:tc>
          <w:tcPr>
            <w:vAlign w:val="center"/>
          </w:tcPr>
          <w:p>
            <w:pPr>
              <w:jc w:val="center"/>
            </w:pPr>
            <w:r>
              <w:rPr>
                <w:color w:val="000000"/>
                <w:sz w:val="24"/>
              </w:rPr>
              <w:t>0.13%</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交银施罗德强化回报债券型证券投资基金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2014年1月28日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交银强化回报债券C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2018-02-13</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受通胀预期、资金面等因素影响，收益率呈现倒V走势。十月，因通胀上行压力及社融数据较强，市场恐慌资金面收紧，债市持续回调。十一月伊始，央行持续降低政策利率，市场资金面较为宽松，债市收益率不断下行。进入十二月，资金面宽松持续，但受海外市场风险因素阶段缓解、国内逆周期调控政策上行预期影响，长端债券收益率震荡走平，中短久期债券收益率持续下行。</w:t>
      </w:r>
    </w:p>
    <w:p>
      <w:pPr>
        <w:spacing w:before="29" w:line="288" w:lineRule="auto"/>
        <w:ind w:firstLine="480" w:firstLineChars="200"/>
        <w:rPr>
          <w:color w:val="000000"/>
          <w:sz w:val="24"/>
        </w:rPr>
      </w:pPr>
      <w:r>
        <w:rPr>
          <w:color w:val="000000"/>
          <w:sz w:val="24"/>
        </w:rPr>
        <w:t>2019年四季度，权益市场表现相对强势，科技主线延续强势，传媒、新能源车板块异军突起，地产和基建相关板块也有不错表现。指数层面看，成长优于大盘。从行业看，建筑、电子、家电以及传媒等板块领涨，军工及部分强周期板块表现相对弱势。</w:t>
      </w:r>
    </w:p>
    <w:p>
      <w:pPr>
        <w:spacing w:before="29" w:line="288" w:lineRule="auto"/>
        <w:ind w:firstLine="480" w:firstLineChars="200"/>
        <w:rPr>
          <w:color w:val="000000"/>
          <w:sz w:val="24"/>
        </w:rPr>
      </w:pPr>
      <w:r>
        <w:rPr>
          <w:color w:val="000000"/>
          <w:sz w:val="24"/>
        </w:rPr>
        <w:t>在基金操作中，对于债券部分我们维持中短久期利率债底仓配置。权益方面，组合在保持仓位灵活的同时，参与了科技类等主流板块的投资机会。此外，组合还积极参与权益及转债的一级市场申购，以增厚收益。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一季度，尽管经济内生企稳动力不强的情况难以扭转，中期经济承压的格局未变，但在宏观逆周期调控政策发力，资金面维持中性偏宽的格局下，短期经济增长存在改善可能。考虑到债券收益率受资金面影响下行较多，因此我们对明年一季度债券市场维持震荡观望的观点，维持中短久期利率债底仓配置，并根据市场变化动态调整组合久期。权益方面，我们持续关注景气度好转行业的投资机会，同时也关注经济逐步企稳背景下，周期板块盈利改善的机会。我们将继续积极参加权益及转债的一级市场申购，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本基金本报告期内连续六十个工作日以上出现基金资产净值低于5000万元的情形，截至本报告期末，本基金基金资产净值仍低于5000万元。</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1,279,458.00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8.27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1,279,458.00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8.27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13,329,248.30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86.18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13,329,248.30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86.18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535,424.56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3.46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321,903.41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2.08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15,466,034.27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286,309.00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1.98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560,229.00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3.88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293,080.00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2.03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139,840.00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0.97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1,279,458.00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8.86</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002230</w:t>
            </w:r>
          </w:p>
        </w:tc>
        <w:tc>
          <w:tcPr>
            <w:vAlign w:val="center"/>
          </w:tcPr>
          <w:p>
            <w:pPr>
              <w:jc w:val="center"/>
            </w:pPr>
            <w:r>
              <w:rPr>
                <w:color w:val="000000"/>
                <w:sz w:val="24"/>
              </w:rPr>
              <w:t>科大讯飞</w:t>
            </w:r>
          </w:p>
        </w:tc>
        <w:tc>
          <w:tcPr>
            <w:vAlign w:val="center"/>
          </w:tcPr>
          <w:p>
            <w:pPr>
              <w:jc w:val="right"/>
            </w:pPr>
            <w:r>
              <w:rPr>
                <w:color w:val="000000"/>
                <w:sz w:val="24"/>
              </w:rPr>
              <w:t>8,500</w:t>
            </w:r>
          </w:p>
        </w:tc>
        <w:tc>
          <w:tcPr>
            <w:vAlign w:val="center"/>
          </w:tcPr>
          <w:p>
            <w:pPr>
              <w:jc w:val="right"/>
            </w:pPr>
            <w:r>
              <w:rPr>
                <w:color w:val="000000"/>
                <w:sz w:val="24"/>
              </w:rPr>
              <w:t>293,080.00</w:t>
            </w:r>
          </w:p>
        </w:tc>
        <w:tc>
          <w:tcPr>
            <w:vAlign w:val="center"/>
          </w:tcPr>
          <w:p>
            <w:pPr>
              <w:jc w:val="right"/>
            </w:pPr>
            <w:r>
              <w:rPr>
                <w:color w:val="000000"/>
                <w:sz w:val="24"/>
              </w:rPr>
              <w:t>2.03</w:t>
            </w:r>
          </w:p>
        </w:tc>
      </w:tr>
      <w:tr>
        <w:tc>
          <w:tcPr>
            <w:vAlign w:val="center"/>
          </w:tcPr>
          <w:p>
            <w:pPr>
              <w:jc w:val="center"/>
            </w:pPr>
            <w:r>
              <w:rPr>
                <w:color w:val="000000"/>
                <w:sz w:val="24"/>
              </w:rPr>
              <w:t>2</w:t>
            </w:r>
          </w:p>
        </w:tc>
        <w:tc>
          <w:tcPr>
            <w:vAlign w:val="center"/>
          </w:tcPr>
          <w:p>
            <w:pPr>
              <w:jc w:val="center"/>
            </w:pPr>
            <w:r>
              <w:rPr>
                <w:color w:val="000000"/>
                <w:sz w:val="24"/>
              </w:rPr>
              <w:t>600019</w:t>
            </w:r>
          </w:p>
        </w:tc>
        <w:tc>
          <w:tcPr>
            <w:vAlign w:val="center"/>
          </w:tcPr>
          <w:p>
            <w:pPr>
              <w:jc w:val="center"/>
            </w:pPr>
            <w:r>
              <w:rPr>
                <w:color w:val="000000"/>
                <w:sz w:val="24"/>
              </w:rPr>
              <w:t>宝钢股份</w:t>
            </w:r>
          </w:p>
        </w:tc>
        <w:tc>
          <w:tcPr>
            <w:vAlign w:val="center"/>
          </w:tcPr>
          <w:p>
            <w:pPr>
              <w:jc w:val="right"/>
            </w:pPr>
            <w:r>
              <w:rPr>
                <w:color w:val="000000"/>
                <w:sz w:val="24"/>
              </w:rPr>
              <w:t>50,200</w:t>
            </w:r>
          </w:p>
        </w:tc>
        <w:tc>
          <w:tcPr>
            <w:vAlign w:val="center"/>
          </w:tcPr>
          <w:p>
            <w:pPr>
              <w:jc w:val="right"/>
            </w:pPr>
            <w:r>
              <w:rPr>
                <w:color w:val="000000"/>
                <w:sz w:val="24"/>
              </w:rPr>
              <w:t>288,148.00</w:t>
            </w:r>
          </w:p>
        </w:tc>
        <w:tc>
          <w:tcPr>
            <w:vAlign w:val="center"/>
          </w:tcPr>
          <w:p>
            <w:pPr>
              <w:jc w:val="right"/>
            </w:pPr>
            <w:r>
              <w:rPr>
                <w:color w:val="000000"/>
                <w:sz w:val="24"/>
              </w:rPr>
              <w:t>2.00</w:t>
            </w:r>
          </w:p>
        </w:tc>
      </w:tr>
      <w:tr>
        <w:tc>
          <w:tcPr>
            <w:vAlign w:val="center"/>
          </w:tcPr>
          <w:p>
            <w:pPr>
              <w:jc w:val="center"/>
            </w:pPr>
            <w:r>
              <w:rPr>
                <w:color w:val="000000"/>
                <w:sz w:val="24"/>
              </w:rPr>
              <w:t>3</w:t>
            </w:r>
          </w:p>
        </w:tc>
        <w:tc>
          <w:tcPr>
            <w:vAlign w:val="center"/>
          </w:tcPr>
          <w:p>
            <w:pPr>
              <w:jc w:val="center"/>
            </w:pPr>
            <w:r>
              <w:rPr>
                <w:color w:val="000000"/>
                <w:sz w:val="24"/>
              </w:rPr>
              <w:t>000603</w:t>
            </w:r>
          </w:p>
        </w:tc>
        <w:tc>
          <w:tcPr>
            <w:vAlign w:val="center"/>
          </w:tcPr>
          <w:p>
            <w:pPr>
              <w:jc w:val="center"/>
            </w:pPr>
            <w:r>
              <w:rPr>
                <w:color w:val="000000"/>
                <w:sz w:val="24"/>
              </w:rPr>
              <w:t>盛达资源</w:t>
            </w:r>
          </w:p>
        </w:tc>
        <w:tc>
          <w:tcPr>
            <w:vAlign w:val="center"/>
          </w:tcPr>
          <w:p>
            <w:pPr>
              <w:jc w:val="right"/>
            </w:pPr>
            <w:r>
              <w:rPr>
                <w:color w:val="000000"/>
                <w:sz w:val="24"/>
              </w:rPr>
              <w:t>19,100</w:t>
            </w:r>
          </w:p>
        </w:tc>
        <w:tc>
          <w:tcPr>
            <w:vAlign w:val="center"/>
          </w:tcPr>
          <w:p>
            <w:pPr>
              <w:jc w:val="right"/>
            </w:pPr>
            <w:r>
              <w:rPr>
                <w:color w:val="000000"/>
                <w:sz w:val="24"/>
              </w:rPr>
              <w:t>286,309.00</w:t>
            </w:r>
          </w:p>
        </w:tc>
        <w:tc>
          <w:tcPr>
            <w:vAlign w:val="center"/>
          </w:tcPr>
          <w:p>
            <w:pPr>
              <w:jc w:val="right"/>
            </w:pPr>
            <w:r>
              <w:rPr>
                <w:color w:val="000000"/>
                <w:sz w:val="24"/>
              </w:rPr>
              <w:t>1.98</w:t>
            </w:r>
          </w:p>
        </w:tc>
      </w:tr>
      <w:tr>
        <w:tc>
          <w:tcPr>
            <w:vAlign w:val="center"/>
          </w:tcPr>
          <w:p>
            <w:pPr>
              <w:jc w:val="center"/>
            </w:pPr>
            <w:r>
              <w:rPr>
                <w:color w:val="000000"/>
                <w:sz w:val="24"/>
              </w:rPr>
              <w:t>4</w:t>
            </w:r>
          </w:p>
        </w:tc>
        <w:tc>
          <w:tcPr>
            <w:vAlign w:val="center"/>
          </w:tcPr>
          <w:p>
            <w:pPr>
              <w:jc w:val="center"/>
            </w:pPr>
            <w:r>
              <w:rPr>
                <w:color w:val="000000"/>
                <w:sz w:val="24"/>
              </w:rPr>
              <w:t>002050</w:t>
            </w:r>
          </w:p>
        </w:tc>
        <w:tc>
          <w:tcPr>
            <w:vAlign w:val="center"/>
          </w:tcPr>
          <w:p>
            <w:pPr>
              <w:jc w:val="center"/>
            </w:pPr>
            <w:r>
              <w:rPr>
                <w:color w:val="000000"/>
                <w:sz w:val="24"/>
              </w:rPr>
              <w:t>三花智控</w:t>
            </w:r>
          </w:p>
        </w:tc>
        <w:tc>
          <w:tcPr>
            <w:vAlign w:val="center"/>
          </w:tcPr>
          <w:p>
            <w:pPr>
              <w:jc w:val="right"/>
            </w:pPr>
            <w:r>
              <w:rPr>
                <w:color w:val="000000"/>
                <w:sz w:val="24"/>
              </w:rPr>
              <w:t>15,700</w:t>
            </w:r>
          </w:p>
        </w:tc>
        <w:tc>
          <w:tcPr>
            <w:vAlign w:val="center"/>
          </w:tcPr>
          <w:p>
            <w:pPr>
              <w:jc w:val="right"/>
            </w:pPr>
            <w:r>
              <w:rPr>
                <w:color w:val="000000"/>
                <w:sz w:val="24"/>
              </w:rPr>
              <w:t>272,081.00</w:t>
            </w:r>
          </w:p>
        </w:tc>
        <w:tc>
          <w:tcPr>
            <w:vAlign w:val="center"/>
          </w:tcPr>
          <w:p>
            <w:pPr>
              <w:jc w:val="right"/>
            </w:pPr>
            <w:r>
              <w:rPr>
                <w:color w:val="000000"/>
                <w:sz w:val="24"/>
              </w:rPr>
              <w:t>1.88</w:t>
            </w:r>
          </w:p>
        </w:tc>
      </w:tr>
      <w:tr>
        <w:tc>
          <w:tcPr>
            <w:vAlign w:val="center"/>
          </w:tcPr>
          <w:p>
            <w:pPr>
              <w:jc w:val="center"/>
            </w:pPr>
            <w:r>
              <w:rPr>
                <w:color w:val="000000"/>
                <w:sz w:val="24"/>
              </w:rPr>
              <w:t>5</w:t>
            </w:r>
          </w:p>
        </w:tc>
        <w:tc>
          <w:tcPr>
            <w:vAlign w:val="center"/>
          </w:tcPr>
          <w:p>
            <w:pPr>
              <w:jc w:val="center"/>
            </w:pPr>
            <w:r>
              <w:rPr>
                <w:color w:val="000000"/>
                <w:sz w:val="24"/>
              </w:rPr>
              <w:t>300413</w:t>
            </w:r>
          </w:p>
        </w:tc>
        <w:tc>
          <w:tcPr>
            <w:vAlign w:val="center"/>
          </w:tcPr>
          <w:p>
            <w:pPr>
              <w:jc w:val="center"/>
            </w:pPr>
            <w:r>
              <w:rPr>
                <w:color w:val="000000"/>
                <w:sz w:val="24"/>
              </w:rPr>
              <w:t>芒果超媒</w:t>
            </w:r>
          </w:p>
        </w:tc>
        <w:tc>
          <w:tcPr>
            <w:vAlign w:val="center"/>
          </w:tcPr>
          <w:p>
            <w:pPr>
              <w:jc w:val="right"/>
            </w:pPr>
            <w:r>
              <w:rPr>
                <w:color w:val="000000"/>
                <w:sz w:val="24"/>
              </w:rPr>
              <w:t>4,000</w:t>
            </w:r>
          </w:p>
        </w:tc>
        <w:tc>
          <w:tcPr>
            <w:vAlign w:val="center"/>
          </w:tcPr>
          <w:p>
            <w:pPr>
              <w:jc w:val="right"/>
            </w:pPr>
            <w:r>
              <w:rPr>
                <w:color w:val="000000"/>
                <w:sz w:val="24"/>
              </w:rPr>
              <w:t>139,840.00</w:t>
            </w:r>
          </w:p>
        </w:tc>
        <w:tc>
          <w:tcPr>
            <w:vAlign w:val="center"/>
          </w:tcPr>
          <w:p>
            <w:pPr>
              <w:jc w:val="right"/>
            </w:pPr>
            <w:r>
              <w:rPr>
                <w:color w:val="000000"/>
                <w:sz w:val="24"/>
              </w:rPr>
              <w:t>0.97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273,760.00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1.90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10,246,975.66</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70.95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10,246,975.66</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70.95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2,808,512.64</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19.45</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13,329,248.30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92.30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51,390</w:t>
            </w:r>
          </w:p>
        </w:tc>
        <w:tc>
          <w:tcPr>
            <w:vAlign w:val="center"/>
          </w:tcPr>
          <w:p>
            <w:pPr>
              <w:jc w:val="right"/>
            </w:pPr>
            <w:r>
              <w:rPr>
                <w:color w:val="000000"/>
                <w:sz w:val="24"/>
              </w:rPr>
              <w:t>5,177,542.50</w:t>
            </w:r>
          </w:p>
        </w:tc>
        <w:tc>
          <w:tcPr>
            <w:vAlign w:val="center"/>
          </w:tcPr>
          <w:p>
            <w:pPr>
              <w:jc w:val="right"/>
            </w:pPr>
            <w:r>
              <w:rPr>
                <w:color w:val="000000"/>
                <w:sz w:val="24"/>
              </w:rPr>
              <w:t>35.85</w:t>
            </w:r>
          </w:p>
        </w:tc>
      </w:tr>
      <w:tr>
        <w:tc>
          <w:tcPr>
            <w:vAlign w:val="center"/>
          </w:tcPr>
          <w:p>
            <w:pPr>
              <w:jc w:val="center"/>
            </w:pPr>
            <w:r>
              <w:rPr>
                <w:color w:val="000000"/>
                <w:sz w:val="24"/>
              </w:rPr>
              <w:t>2</w:t>
            </w:r>
          </w:p>
        </w:tc>
        <w:tc>
          <w:tcPr>
            <w:vAlign w:val="center"/>
          </w:tcPr>
          <w:p>
            <w:pPr>
              <w:jc w:val="center"/>
            </w:pPr>
            <w:r>
              <w:rPr>
                <w:color w:val="000000"/>
                <w:sz w:val="24"/>
              </w:rPr>
              <w:t>108602</w:t>
            </w:r>
          </w:p>
        </w:tc>
        <w:tc>
          <w:tcPr>
            <w:vAlign w:val="center"/>
          </w:tcPr>
          <w:p>
            <w:pPr>
              <w:jc w:val="center"/>
            </w:pPr>
            <w:r>
              <w:rPr>
                <w:color w:val="000000"/>
                <w:sz w:val="24"/>
              </w:rPr>
              <w:t>国开1704</w:t>
            </w:r>
          </w:p>
        </w:tc>
        <w:tc>
          <w:tcPr>
            <w:vAlign w:val="center"/>
          </w:tcPr>
          <w:p>
            <w:pPr>
              <w:jc w:val="right"/>
            </w:pPr>
            <w:r>
              <w:rPr>
                <w:color w:val="000000"/>
                <w:sz w:val="24"/>
              </w:rPr>
              <w:t>50,402</w:t>
            </w:r>
          </w:p>
        </w:tc>
        <w:tc>
          <w:tcPr>
            <w:vAlign w:val="center"/>
          </w:tcPr>
          <w:p>
            <w:pPr>
              <w:jc w:val="right"/>
            </w:pPr>
            <w:r>
              <w:rPr>
                <w:color w:val="000000"/>
                <w:sz w:val="24"/>
              </w:rPr>
              <w:t>5,069,433.16</w:t>
            </w:r>
          </w:p>
        </w:tc>
        <w:tc>
          <w:tcPr>
            <w:vAlign w:val="center"/>
          </w:tcPr>
          <w:p>
            <w:pPr>
              <w:jc w:val="right"/>
            </w:pPr>
            <w:r>
              <w:rPr>
                <w:color w:val="000000"/>
                <w:sz w:val="24"/>
              </w:rPr>
              <w:t>35.10</w:t>
            </w:r>
          </w:p>
        </w:tc>
      </w:tr>
      <w:tr>
        <w:tc>
          <w:tcPr>
            <w:vAlign w:val="center"/>
          </w:tcPr>
          <w:p>
            <w:pPr>
              <w:jc w:val="center"/>
            </w:pPr>
            <w:r>
              <w:rPr>
                <w:color w:val="000000"/>
                <w:sz w:val="24"/>
              </w:rPr>
              <w:t>3</w:t>
            </w:r>
          </w:p>
        </w:tc>
        <w:tc>
          <w:tcPr>
            <w:vAlign w:val="center"/>
          </w:tcPr>
          <w:p>
            <w:pPr>
              <w:jc w:val="center"/>
            </w:pPr>
            <w:r>
              <w:rPr>
                <w:color w:val="000000"/>
                <w:sz w:val="24"/>
              </w:rPr>
              <w:t>128035</w:t>
            </w:r>
          </w:p>
        </w:tc>
        <w:tc>
          <w:tcPr>
            <w:vAlign w:val="center"/>
          </w:tcPr>
          <w:p>
            <w:pPr>
              <w:jc w:val="center"/>
            </w:pPr>
            <w:r>
              <w:rPr>
                <w:color w:val="000000"/>
                <w:sz w:val="24"/>
              </w:rPr>
              <w:t>大族转债</w:t>
            </w:r>
          </w:p>
        </w:tc>
        <w:tc>
          <w:tcPr>
            <w:vAlign w:val="center"/>
          </w:tcPr>
          <w:p>
            <w:pPr>
              <w:jc w:val="right"/>
            </w:pPr>
            <w:r>
              <w:rPr>
                <w:color w:val="000000"/>
                <w:sz w:val="24"/>
              </w:rPr>
              <w:t>5,420</w:t>
            </w:r>
          </w:p>
        </w:tc>
        <w:tc>
          <w:tcPr>
            <w:vAlign w:val="center"/>
          </w:tcPr>
          <w:p>
            <w:pPr>
              <w:jc w:val="right"/>
            </w:pPr>
            <w:r>
              <w:rPr>
                <w:color w:val="000000"/>
                <w:sz w:val="24"/>
              </w:rPr>
              <w:t>630,129.20</w:t>
            </w:r>
          </w:p>
        </w:tc>
        <w:tc>
          <w:tcPr>
            <w:vAlign w:val="center"/>
          </w:tcPr>
          <w:p>
            <w:pPr>
              <w:jc w:val="right"/>
            </w:pPr>
            <w:r>
              <w:rPr>
                <w:color w:val="000000"/>
                <w:sz w:val="24"/>
              </w:rPr>
              <w:t>4.36</w:t>
            </w:r>
          </w:p>
        </w:tc>
      </w:tr>
      <w:tr>
        <w:tc>
          <w:tcPr>
            <w:vAlign w:val="center"/>
          </w:tcPr>
          <w:p>
            <w:pPr>
              <w:jc w:val="center"/>
            </w:pPr>
            <w:r>
              <w:rPr>
                <w:color w:val="000000"/>
                <w:sz w:val="24"/>
              </w:rPr>
              <w:t>4</w:t>
            </w:r>
          </w:p>
        </w:tc>
        <w:tc>
          <w:tcPr>
            <w:vAlign w:val="center"/>
          </w:tcPr>
          <w:p>
            <w:pPr>
              <w:jc w:val="center"/>
            </w:pPr>
            <w:r>
              <w:rPr>
                <w:color w:val="000000"/>
                <w:sz w:val="24"/>
              </w:rPr>
              <w:t>110059</w:t>
            </w:r>
          </w:p>
        </w:tc>
        <w:tc>
          <w:tcPr>
            <w:vAlign w:val="center"/>
          </w:tcPr>
          <w:p>
            <w:pPr>
              <w:jc w:val="center"/>
            </w:pPr>
            <w:r>
              <w:rPr>
                <w:color w:val="000000"/>
                <w:sz w:val="24"/>
              </w:rPr>
              <w:t>浦发转债</w:t>
            </w:r>
          </w:p>
        </w:tc>
        <w:tc>
          <w:tcPr>
            <w:vAlign w:val="center"/>
          </w:tcPr>
          <w:p>
            <w:pPr>
              <w:jc w:val="right"/>
            </w:pPr>
            <w:r>
              <w:rPr>
                <w:color w:val="000000"/>
                <w:sz w:val="24"/>
              </w:rPr>
              <w:t>4,000</w:t>
            </w:r>
          </w:p>
        </w:tc>
        <w:tc>
          <w:tcPr>
            <w:vAlign w:val="center"/>
          </w:tcPr>
          <w:p>
            <w:pPr>
              <w:jc w:val="right"/>
            </w:pPr>
            <w:r>
              <w:rPr>
                <w:color w:val="000000"/>
                <w:sz w:val="24"/>
              </w:rPr>
              <w:t>436,960.00</w:t>
            </w:r>
          </w:p>
        </w:tc>
        <w:tc>
          <w:tcPr>
            <w:vAlign w:val="center"/>
          </w:tcPr>
          <w:p>
            <w:pPr>
              <w:jc w:val="right"/>
            </w:pPr>
            <w:r>
              <w:rPr>
                <w:color w:val="000000"/>
                <w:sz w:val="24"/>
              </w:rPr>
              <w:t>3.03</w:t>
            </w:r>
          </w:p>
        </w:tc>
      </w:tr>
      <w:tr>
        <w:tc>
          <w:tcPr>
            <w:vAlign w:val="center"/>
          </w:tcPr>
          <w:p>
            <w:pPr>
              <w:jc w:val="center"/>
            </w:pPr>
            <w:r>
              <w:rPr>
                <w:color w:val="000000"/>
                <w:sz w:val="24"/>
              </w:rPr>
              <w:t>5</w:t>
            </w:r>
          </w:p>
        </w:tc>
        <w:tc>
          <w:tcPr>
            <w:vAlign w:val="center"/>
          </w:tcPr>
          <w:p>
            <w:pPr>
              <w:jc w:val="center"/>
            </w:pPr>
            <w:r>
              <w:rPr>
                <w:color w:val="000000"/>
                <w:sz w:val="24"/>
              </w:rPr>
              <w:t>113011</w:t>
            </w:r>
          </w:p>
        </w:tc>
        <w:tc>
          <w:tcPr>
            <w:vAlign w:val="center"/>
          </w:tcPr>
          <w:p>
            <w:pPr>
              <w:jc w:val="center"/>
            </w:pPr>
            <w:r>
              <w:rPr>
                <w:color w:val="000000"/>
                <w:sz w:val="24"/>
              </w:rPr>
              <w:t>光大转债</w:t>
            </w:r>
          </w:p>
        </w:tc>
        <w:tc>
          <w:tcPr>
            <w:vAlign w:val="center"/>
          </w:tcPr>
          <w:p>
            <w:pPr>
              <w:jc w:val="right"/>
            </w:pPr>
            <w:r>
              <w:rPr>
                <w:color w:val="000000"/>
                <w:sz w:val="24"/>
              </w:rPr>
              <w:t>3,310</w:t>
            </w:r>
          </w:p>
        </w:tc>
        <w:tc>
          <w:tcPr>
            <w:vAlign w:val="center"/>
          </w:tcPr>
          <w:p>
            <w:pPr>
              <w:jc w:val="right"/>
            </w:pPr>
            <w:r>
              <w:rPr>
                <w:color w:val="000000"/>
                <w:sz w:val="24"/>
              </w:rPr>
              <w:t>412,624.60</w:t>
            </w:r>
          </w:p>
        </w:tc>
        <w:tc>
          <w:tcPr>
            <w:vAlign w:val="center"/>
          </w:tcPr>
          <w:p>
            <w:pPr>
              <w:jc w:val="right"/>
            </w:pPr>
            <w:r>
              <w:rPr>
                <w:color w:val="000000"/>
                <w:sz w:val="24"/>
              </w:rPr>
              <w:t>2.86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18,044.76</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32,997.68</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223,355.08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47,505.89</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321,903.41</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128035</w:t>
            </w:r>
          </w:p>
        </w:tc>
        <w:tc>
          <w:tcPr>
            <w:vAlign w:val="center"/>
          </w:tcPr>
          <w:p>
            <w:pPr>
              <w:jc w:val="center"/>
            </w:pPr>
            <w:r>
              <w:rPr>
                <w:rFonts w:eastAsiaTheme="minorEastAsia"/>
                <w:color w:val="000000"/>
                <w:sz w:val="24"/>
              </w:rPr>
              <w:t>大族转债</w:t>
            </w:r>
          </w:p>
        </w:tc>
        <w:tc>
          <w:tcPr>
            <w:vAlign w:val="center"/>
          </w:tcPr>
          <w:p>
            <w:pPr>
              <w:jc w:val="right"/>
            </w:pPr>
            <w:r>
              <w:rPr>
                <w:rFonts w:eastAsiaTheme="minorEastAsia"/>
                <w:color w:val="000000"/>
                <w:sz w:val="24"/>
              </w:rPr>
              <w:t>630,129.20</w:t>
            </w:r>
          </w:p>
        </w:tc>
        <w:tc>
          <w:tcPr>
            <w:vAlign w:val="center"/>
          </w:tcPr>
          <w:p>
            <w:pPr>
              <w:jc w:val="right"/>
            </w:pPr>
            <w:r>
              <w:rPr>
                <w:rFonts w:eastAsiaTheme="minorEastAsia"/>
                <w:color w:val="000000"/>
                <w:sz w:val="24"/>
              </w:rPr>
              <w:t>4.36</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113011</w:t>
            </w:r>
          </w:p>
        </w:tc>
        <w:tc>
          <w:tcPr>
            <w:vAlign w:val="center"/>
          </w:tcPr>
          <w:p>
            <w:pPr>
              <w:jc w:val="center"/>
            </w:pPr>
            <w:r>
              <w:rPr>
                <w:rFonts w:eastAsiaTheme="minorEastAsia"/>
                <w:color w:val="000000"/>
                <w:sz w:val="24"/>
              </w:rPr>
              <w:t>光大转债</w:t>
            </w:r>
          </w:p>
        </w:tc>
        <w:tc>
          <w:tcPr>
            <w:vAlign w:val="center"/>
          </w:tcPr>
          <w:p>
            <w:pPr>
              <w:jc w:val="right"/>
            </w:pPr>
            <w:r>
              <w:rPr>
                <w:rFonts w:eastAsiaTheme="minorEastAsia"/>
                <w:color w:val="000000"/>
                <w:sz w:val="24"/>
              </w:rPr>
              <w:t>412,624.60</w:t>
            </w:r>
          </w:p>
        </w:tc>
        <w:tc>
          <w:tcPr>
            <w:vAlign w:val="center"/>
          </w:tcPr>
          <w:p>
            <w:pPr>
              <w:jc w:val="right"/>
            </w:pPr>
            <w:r>
              <w:rPr>
                <w:rFonts w:eastAsiaTheme="minorEastAsia"/>
                <w:color w:val="000000"/>
                <w:sz w:val="24"/>
              </w:rPr>
              <w:t>2.86</w:t>
            </w:r>
          </w:p>
        </w:tc>
      </w:tr>
      <w:tr>
        <w:tc>
          <w:tcPr>
            <w:vAlign w:val="center"/>
          </w:tcPr>
          <w:p>
            <w:pPr>
              <w:jc w:val="center"/>
            </w:pPr>
            <w:r>
              <w:rPr>
                <w:rFonts w:eastAsiaTheme="minorEastAsia"/>
                <w:color w:val="000000"/>
                <w:sz w:val="24"/>
              </w:rPr>
              <w:t>3</w:t>
            </w:r>
          </w:p>
        </w:tc>
        <w:tc>
          <w:tcPr>
            <w:vAlign w:val="center"/>
          </w:tcPr>
          <w:p>
            <w:pPr>
              <w:jc w:val="center"/>
            </w:pPr>
            <w:r>
              <w:rPr>
                <w:rFonts w:eastAsiaTheme="minorEastAsia"/>
                <w:color w:val="000000"/>
                <w:sz w:val="24"/>
              </w:rPr>
              <w:t>128065</w:t>
            </w:r>
          </w:p>
        </w:tc>
        <w:tc>
          <w:tcPr>
            <w:vAlign w:val="center"/>
          </w:tcPr>
          <w:p>
            <w:pPr>
              <w:jc w:val="center"/>
            </w:pPr>
            <w:r>
              <w:rPr>
                <w:rFonts w:eastAsiaTheme="minorEastAsia"/>
                <w:color w:val="000000"/>
                <w:sz w:val="24"/>
              </w:rPr>
              <w:t>雅化转债</w:t>
            </w:r>
          </w:p>
        </w:tc>
        <w:tc>
          <w:tcPr>
            <w:vAlign w:val="center"/>
          </w:tcPr>
          <w:p>
            <w:pPr>
              <w:jc w:val="right"/>
            </w:pPr>
            <w:r>
              <w:rPr>
                <w:rFonts w:eastAsiaTheme="minorEastAsia"/>
                <w:color w:val="000000"/>
                <w:sz w:val="24"/>
              </w:rPr>
              <w:t>294,183.60</w:t>
            </w:r>
          </w:p>
        </w:tc>
        <w:tc>
          <w:tcPr>
            <w:vAlign w:val="center"/>
          </w:tcPr>
          <w:p>
            <w:pPr>
              <w:jc w:val="right"/>
            </w:pPr>
            <w:r>
              <w:rPr>
                <w:rFonts w:eastAsiaTheme="minorEastAsia"/>
                <w:color w:val="000000"/>
                <w:sz w:val="24"/>
              </w:rPr>
              <w:t>2.04</w:t>
            </w:r>
          </w:p>
        </w:tc>
      </w:tr>
      <w:tr>
        <w:tc>
          <w:tcPr>
            <w:vAlign w:val="center"/>
          </w:tcPr>
          <w:p>
            <w:pPr>
              <w:jc w:val="center"/>
            </w:pPr>
            <w:r>
              <w:rPr>
                <w:rFonts w:eastAsiaTheme="minorEastAsia"/>
                <w:color w:val="000000"/>
                <w:sz w:val="24"/>
              </w:rPr>
              <w:t>4</w:t>
            </w:r>
          </w:p>
        </w:tc>
        <w:tc>
          <w:tcPr>
            <w:vAlign w:val="center"/>
          </w:tcPr>
          <w:p>
            <w:pPr>
              <w:jc w:val="center"/>
            </w:pPr>
            <w:r>
              <w:rPr>
                <w:rFonts w:eastAsiaTheme="minorEastAsia"/>
                <w:color w:val="000000"/>
                <w:sz w:val="24"/>
              </w:rPr>
              <w:t>113020</w:t>
            </w:r>
          </w:p>
        </w:tc>
        <w:tc>
          <w:tcPr>
            <w:vAlign w:val="center"/>
          </w:tcPr>
          <w:p>
            <w:pPr>
              <w:jc w:val="center"/>
            </w:pPr>
            <w:r>
              <w:rPr>
                <w:rFonts w:eastAsiaTheme="minorEastAsia"/>
                <w:color w:val="000000"/>
                <w:sz w:val="24"/>
              </w:rPr>
              <w:t>桐昆转债</w:t>
            </w:r>
          </w:p>
        </w:tc>
        <w:tc>
          <w:tcPr>
            <w:vAlign w:val="center"/>
          </w:tcPr>
          <w:p>
            <w:pPr>
              <w:jc w:val="right"/>
            </w:pPr>
            <w:r>
              <w:rPr>
                <w:rFonts w:eastAsiaTheme="minorEastAsia"/>
                <w:color w:val="000000"/>
                <w:sz w:val="24"/>
              </w:rPr>
              <w:t>147,842.00</w:t>
            </w:r>
          </w:p>
        </w:tc>
        <w:tc>
          <w:tcPr>
            <w:vAlign w:val="center"/>
          </w:tcPr>
          <w:p>
            <w:pPr>
              <w:jc w:val="right"/>
            </w:pPr>
            <w:r>
              <w:rPr>
                <w:rFonts w:eastAsiaTheme="minorEastAsia"/>
                <w:color w:val="000000"/>
                <w:sz w:val="24"/>
              </w:rPr>
              <w:t>1.02</w:t>
            </w:r>
          </w:p>
        </w:tc>
      </w:tr>
      <w:tr>
        <w:tc>
          <w:tcPr>
            <w:vAlign w:val="center"/>
          </w:tcPr>
          <w:p>
            <w:pPr>
              <w:jc w:val="center"/>
            </w:pPr>
            <w:r>
              <w:rPr>
                <w:rFonts w:eastAsiaTheme="minorEastAsia"/>
                <w:color w:val="000000"/>
                <w:sz w:val="24"/>
              </w:rPr>
              <w:t>5</w:t>
            </w:r>
          </w:p>
        </w:tc>
        <w:tc>
          <w:tcPr>
            <w:vAlign w:val="center"/>
          </w:tcPr>
          <w:p>
            <w:pPr>
              <w:jc w:val="center"/>
            </w:pPr>
            <w:r>
              <w:rPr>
                <w:rFonts w:eastAsiaTheme="minorEastAsia"/>
                <w:color w:val="000000"/>
                <w:sz w:val="24"/>
              </w:rPr>
              <w:t>113522</w:t>
            </w:r>
          </w:p>
        </w:tc>
        <w:tc>
          <w:tcPr>
            <w:vAlign w:val="center"/>
          </w:tcPr>
          <w:p>
            <w:pPr>
              <w:jc w:val="center"/>
            </w:pPr>
            <w:r>
              <w:rPr>
                <w:rFonts w:eastAsiaTheme="minorEastAsia"/>
                <w:color w:val="000000"/>
                <w:sz w:val="24"/>
              </w:rPr>
              <w:t>旭升转债</w:t>
            </w:r>
          </w:p>
        </w:tc>
        <w:tc>
          <w:tcPr>
            <w:vAlign w:val="center"/>
          </w:tcPr>
          <w:p>
            <w:pPr>
              <w:jc w:val="right"/>
            </w:pPr>
            <w:r>
              <w:rPr>
                <w:rFonts w:eastAsiaTheme="minorEastAsia"/>
                <w:color w:val="000000"/>
                <w:sz w:val="24"/>
              </w:rPr>
              <w:t>146,792.00</w:t>
            </w:r>
          </w:p>
        </w:tc>
        <w:tc>
          <w:tcPr>
            <w:vAlign w:val="center"/>
          </w:tcPr>
          <w:p>
            <w:pPr>
              <w:jc w:val="right"/>
            </w:pPr>
            <w:r>
              <w:rPr>
                <w:rFonts w:eastAsiaTheme="minorEastAsia"/>
                <w:color w:val="000000"/>
                <w:sz w:val="24"/>
              </w:rPr>
              <w:t>1.02</w:t>
            </w:r>
          </w:p>
        </w:tc>
      </w:tr>
      <w:tr>
        <w:tc>
          <w:tcPr>
            <w:vAlign w:val="center"/>
          </w:tcPr>
          <w:p>
            <w:pPr>
              <w:jc w:val="center"/>
            </w:pPr>
            <w:r>
              <w:rPr>
                <w:rFonts w:eastAsiaTheme="minorEastAsia"/>
                <w:color w:val="000000"/>
                <w:sz w:val="24"/>
              </w:rPr>
              <w:t>6</w:t>
            </w:r>
          </w:p>
        </w:tc>
        <w:tc>
          <w:tcPr>
            <w:vAlign w:val="center"/>
          </w:tcPr>
          <w:p>
            <w:pPr>
              <w:jc w:val="center"/>
            </w:pPr>
            <w:r>
              <w:rPr>
                <w:rFonts w:eastAsiaTheme="minorEastAsia"/>
                <w:color w:val="000000"/>
                <w:sz w:val="24"/>
              </w:rPr>
              <w:t>128019</w:t>
            </w:r>
          </w:p>
        </w:tc>
        <w:tc>
          <w:tcPr>
            <w:vAlign w:val="center"/>
          </w:tcPr>
          <w:p>
            <w:pPr>
              <w:jc w:val="center"/>
            </w:pPr>
            <w:r>
              <w:rPr>
                <w:rFonts w:eastAsiaTheme="minorEastAsia"/>
                <w:color w:val="000000"/>
                <w:sz w:val="24"/>
              </w:rPr>
              <w:t>久立转2</w:t>
            </w:r>
          </w:p>
        </w:tc>
        <w:tc>
          <w:tcPr>
            <w:vAlign w:val="center"/>
          </w:tcPr>
          <w:p>
            <w:pPr>
              <w:jc w:val="right"/>
            </w:pPr>
            <w:r>
              <w:rPr>
                <w:rFonts w:eastAsiaTheme="minorEastAsia"/>
                <w:color w:val="000000"/>
                <w:sz w:val="24"/>
              </w:rPr>
              <w:t>144,504.40</w:t>
            </w:r>
          </w:p>
        </w:tc>
        <w:tc>
          <w:tcPr>
            <w:vAlign w:val="center"/>
          </w:tcPr>
          <w:p>
            <w:pPr>
              <w:jc w:val="right"/>
            </w:pPr>
            <w:r>
              <w:rPr>
                <w:rFonts w:eastAsiaTheme="minorEastAsia"/>
                <w:color w:val="000000"/>
                <w:sz w:val="24"/>
              </w:rPr>
              <w:t>1.00</w:t>
            </w:r>
          </w:p>
        </w:tc>
      </w:tr>
      <w:tr>
        <w:tc>
          <w:tcPr>
            <w:vAlign w:val="center"/>
          </w:tcPr>
          <w:p>
            <w:pPr>
              <w:jc w:val="center"/>
            </w:pPr>
            <w:r>
              <w:rPr>
                <w:rFonts w:eastAsiaTheme="minorEastAsia"/>
                <w:color w:val="000000"/>
                <w:sz w:val="24"/>
              </w:rPr>
              <w:t>7</w:t>
            </w:r>
          </w:p>
        </w:tc>
        <w:tc>
          <w:tcPr>
            <w:vAlign w:val="center"/>
          </w:tcPr>
          <w:p>
            <w:pPr>
              <w:jc w:val="center"/>
            </w:pPr>
            <w:r>
              <w:rPr>
                <w:rFonts w:eastAsiaTheme="minorEastAsia"/>
                <w:color w:val="000000"/>
                <w:sz w:val="24"/>
              </w:rPr>
              <w:t>123007</w:t>
            </w:r>
          </w:p>
        </w:tc>
        <w:tc>
          <w:tcPr>
            <w:vAlign w:val="center"/>
          </w:tcPr>
          <w:p>
            <w:pPr>
              <w:jc w:val="center"/>
            </w:pPr>
            <w:r>
              <w:rPr>
                <w:rFonts w:eastAsiaTheme="minorEastAsia"/>
                <w:color w:val="000000"/>
                <w:sz w:val="24"/>
              </w:rPr>
              <w:t>道氏转债</w:t>
            </w:r>
          </w:p>
        </w:tc>
        <w:tc>
          <w:tcPr>
            <w:vAlign w:val="center"/>
          </w:tcPr>
          <w:p>
            <w:pPr>
              <w:jc w:val="right"/>
            </w:pPr>
            <w:r>
              <w:rPr>
                <w:rFonts w:eastAsiaTheme="minorEastAsia"/>
                <w:color w:val="000000"/>
                <w:sz w:val="24"/>
              </w:rPr>
              <w:t>143,401.44</w:t>
            </w:r>
          </w:p>
        </w:tc>
        <w:tc>
          <w:tcPr>
            <w:vAlign w:val="center"/>
          </w:tcPr>
          <w:p>
            <w:pPr>
              <w:jc w:val="right"/>
            </w:pPr>
            <w:r>
              <w:rPr>
                <w:rFonts w:eastAsiaTheme="minorEastAsia"/>
                <w:color w:val="000000"/>
                <w:sz w:val="24"/>
              </w:rPr>
              <w:t>0.99</w:t>
            </w:r>
          </w:p>
        </w:tc>
      </w:tr>
      <w:tr>
        <w:tc>
          <w:tcPr>
            <w:vAlign w:val="center"/>
          </w:tcPr>
          <w:p>
            <w:pPr>
              <w:jc w:val="center"/>
            </w:pPr>
            <w:r>
              <w:rPr>
                <w:rFonts w:eastAsiaTheme="minorEastAsia"/>
                <w:color w:val="000000"/>
                <w:sz w:val="24"/>
              </w:rPr>
              <w:t>8</w:t>
            </w:r>
          </w:p>
        </w:tc>
        <w:tc>
          <w:tcPr>
            <w:vAlign w:val="center"/>
          </w:tcPr>
          <w:p>
            <w:pPr>
              <w:jc w:val="center"/>
            </w:pPr>
            <w:r>
              <w:rPr>
                <w:rFonts w:eastAsiaTheme="minorEastAsia"/>
                <w:color w:val="000000"/>
                <w:sz w:val="24"/>
              </w:rPr>
              <w:t>123025</w:t>
            </w:r>
          </w:p>
        </w:tc>
        <w:tc>
          <w:tcPr>
            <w:vAlign w:val="center"/>
          </w:tcPr>
          <w:p>
            <w:pPr>
              <w:jc w:val="center"/>
            </w:pPr>
            <w:r>
              <w:rPr>
                <w:rFonts w:eastAsiaTheme="minorEastAsia"/>
                <w:color w:val="000000"/>
                <w:sz w:val="24"/>
              </w:rPr>
              <w:t>精测转债</w:t>
            </w:r>
          </w:p>
        </w:tc>
        <w:tc>
          <w:tcPr>
            <w:vAlign w:val="center"/>
          </w:tcPr>
          <w:p>
            <w:pPr>
              <w:jc w:val="right"/>
            </w:pPr>
            <w:r>
              <w:rPr>
                <w:rFonts w:eastAsiaTheme="minorEastAsia"/>
                <w:color w:val="000000"/>
                <w:sz w:val="24"/>
              </w:rPr>
              <w:t>142,950.60</w:t>
            </w:r>
          </w:p>
        </w:tc>
        <w:tc>
          <w:tcPr>
            <w:vAlign w:val="center"/>
          </w:tcPr>
          <w:p>
            <w:pPr>
              <w:jc w:val="right"/>
            </w:pPr>
            <w:r>
              <w:rPr>
                <w:rFonts w:eastAsiaTheme="minorEastAsia"/>
                <w:color w:val="000000"/>
                <w:sz w:val="24"/>
              </w:rPr>
              <w:t>0.99</w:t>
            </w:r>
          </w:p>
        </w:tc>
      </w:tr>
      <w:tr>
        <w:tc>
          <w:tcPr>
            <w:vAlign w:val="center"/>
          </w:tcPr>
          <w:p>
            <w:pPr>
              <w:jc w:val="center"/>
            </w:pPr>
            <w:r>
              <w:rPr>
                <w:rFonts w:eastAsiaTheme="minorEastAsia"/>
                <w:color w:val="000000"/>
                <w:sz w:val="24"/>
              </w:rPr>
              <w:t>9</w:t>
            </w:r>
          </w:p>
        </w:tc>
        <w:tc>
          <w:tcPr>
            <w:vAlign w:val="center"/>
          </w:tcPr>
          <w:p>
            <w:pPr>
              <w:jc w:val="center"/>
            </w:pPr>
            <w:r>
              <w:rPr>
                <w:rFonts w:eastAsiaTheme="minorEastAsia"/>
                <w:color w:val="000000"/>
                <w:sz w:val="24"/>
              </w:rPr>
              <w:t>128059</w:t>
            </w:r>
          </w:p>
        </w:tc>
        <w:tc>
          <w:tcPr>
            <w:vAlign w:val="center"/>
          </w:tcPr>
          <w:p>
            <w:pPr>
              <w:jc w:val="center"/>
            </w:pPr>
            <w:r>
              <w:rPr>
                <w:rFonts w:eastAsiaTheme="minorEastAsia"/>
                <w:color w:val="000000"/>
                <w:sz w:val="24"/>
              </w:rPr>
              <w:t>视源转债</w:t>
            </w:r>
          </w:p>
        </w:tc>
        <w:tc>
          <w:tcPr>
            <w:vAlign w:val="center"/>
          </w:tcPr>
          <w:p>
            <w:pPr>
              <w:jc w:val="right"/>
            </w:pPr>
            <w:r>
              <w:rPr>
                <w:rFonts w:eastAsiaTheme="minorEastAsia"/>
                <w:color w:val="000000"/>
                <w:sz w:val="24"/>
              </w:rPr>
              <w:t>141,012.70</w:t>
            </w:r>
          </w:p>
        </w:tc>
        <w:tc>
          <w:tcPr>
            <w:vAlign w:val="center"/>
          </w:tcPr>
          <w:p>
            <w:pPr>
              <w:jc w:val="right"/>
            </w:pPr>
            <w:r>
              <w:rPr>
                <w:rFonts w:eastAsiaTheme="minorEastAsia"/>
                <w:color w:val="000000"/>
                <w:sz w:val="24"/>
              </w:rPr>
              <w:t>0.98</w:t>
            </w:r>
          </w:p>
        </w:tc>
      </w:tr>
      <w:tr>
        <w:tc>
          <w:tcPr>
            <w:vAlign w:val="center"/>
          </w:tcPr>
          <w:p>
            <w:pPr>
              <w:jc w:val="center"/>
            </w:pPr>
            <w:r>
              <w:rPr>
                <w:rFonts w:eastAsiaTheme="minorEastAsia"/>
                <w:color w:val="000000"/>
                <w:sz w:val="24"/>
              </w:rPr>
              <w:t>10</w:t>
            </w:r>
          </w:p>
        </w:tc>
        <w:tc>
          <w:tcPr>
            <w:vAlign w:val="center"/>
          </w:tcPr>
          <w:p>
            <w:pPr>
              <w:jc w:val="center"/>
            </w:pPr>
            <w:r>
              <w:rPr>
                <w:rFonts w:eastAsiaTheme="minorEastAsia"/>
                <w:color w:val="000000"/>
                <w:sz w:val="24"/>
              </w:rPr>
              <w:t>123009</w:t>
            </w:r>
          </w:p>
        </w:tc>
        <w:tc>
          <w:tcPr>
            <w:vAlign w:val="center"/>
          </w:tcPr>
          <w:p>
            <w:pPr>
              <w:jc w:val="center"/>
            </w:pPr>
            <w:r>
              <w:rPr>
                <w:rFonts w:eastAsiaTheme="minorEastAsia"/>
                <w:color w:val="000000"/>
                <w:sz w:val="24"/>
              </w:rPr>
              <w:t>星源转债</w:t>
            </w:r>
          </w:p>
        </w:tc>
        <w:tc>
          <w:tcPr>
            <w:vAlign w:val="center"/>
          </w:tcPr>
          <w:p>
            <w:pPr>
              <w:jc w:val="right"/>
            </w:pPr>
            <w:r>
              <w:rPr>
                <w:rFonts w:eastAsiaTheme="minorEastAsia"/>
                <w:color w:val="000000"/>
                <w:sz w:val="24"/>
              </w:rPr>
              <w:t>140,312.10</w:t>
            </w:r>
          </w:p>
        </w:tc>
        <w:tc>
          <w:tcPr>
            <w:vAlign w:val="center"/>
          </w:tcPr>
          <w:p>
            <w:pPr>
              <w:jc w:val="right"/>
            </w:pPr>
            <w:r>
              <w:rPr>
                <w:rFonts w:eastAsiaTheme="minorEastAsia"/>
                <w:color w:val="000000"/>
                <w:sz w:val="24"/>
              </w:rPr>
              <w:t>0.97</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交银强化回报债券A/B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交银强化回报债券C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9,455,582.90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2,177,007.80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1,432,920.50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1,767,605.69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844,518.35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690,498.46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10,043,985.05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3,254,115.03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1、中国证监会准予交银施罗德强化回报债券型证券投资基金募集注册的文件；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2、《交银施罗德强化回报债券型证券投资基金基金合同》；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3、《交银施罗德强化回报债券型证券投资基金招募说明书》；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4、《交银施罗德强化回报债券型证券投资基金托管协议》；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5、关于募集交银施罗德强化回报债券型证券投资基金之法律意见书；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8、报告期内交银施罗德强化回报债券型证券投资基金在指定报刊上各项公告的原稿。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53" w:rsidRDefault="000C4653">
      <w:r>
        <w:separator/>
      </w:r>
    </w:p>
  </w:endnote>
  <w:endnote w:type="continuationSeparator" w:id="0">
    <w:p w:rsidR="000C4653" w:rsidRDefault="000C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5793">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5793">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0C4653" w:rsidRDefault="000C4653">
      <w:r>
        <w:separator/>
      </w:r>
    </w:p>
  </w:footnote>
  <w:footnote w:id="0" w:type="continuationSeparator">
    <w:p w:rsidR="000C4653" w:rsidRDefault="000C465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交银施罗德强化回报债券型证券投资基金2019年第4季度报告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424C-2D01-4B90-A923-78EEFAAC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240</TotalTime>
  <Pages>27</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2019-11-26T02:16:00Z</dcterms:modified>
  <cp:revision>402</cp:revision>
</cp:coreProperties>
</file>