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2006年10月23日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599,555,422.64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75%×富时中国A600成长指数＋25%×富时中国国债指数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交银成长混合A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交银成长混合H</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519692</w:t>
            </w:r>
            <w:r w:rsidRPr="007F52FA">
              <w:rPr>
                <w:color w:themeColor="text1" w:val="000000"/>
                <w:sz w:val="24"/>
              </w:rPr>
              <w:t>（前端）、</w:t>
            </w:r>
            <w:r w:rsidRPr="007F52FA">
              <w:rPr>
                <w:color w:themeColor="text1" w:val="000000"/>
                <w:sz w:val="24"/>
              </w:rPr>
              <w:t>519693</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960016</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599,365,100.48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190,322.16</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交银成长混合A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交银成长混合H</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117,184,470.67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36,751.33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363,429,576.20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114,280.51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0.5947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0.5992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2,767,823,819.17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883,221.00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4.6179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4.6407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交银成长混合A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14.75%</w:t>
            </w:r>
          </w:p>
        </w:tc>
        <w:tc>
          <w:tcPr>
            <w:vAlign w:val="center"/>
          </w:tcPr>
          <w:p>
            <w:pPr>
              <w:jc w:val="center"/>
            </w:pPr>
            <w:r>
              <w:rPr>
                <w:color w:val="000000"/>
                <w:sz w:val="24"/>
              </w:rPr>
              <w:t>0.98%</w:t>
            </w:r>
          </w:p>
        </w:tc>
        <w:tc>
          <w:tcPr>
            <w:vAlign w:val="center"/>
          </w:tcPr>
          <w:p>
            <w:pPr>
              <w:jc w:val="center"/>
            </w:pPr>
            <w:r>
              <w:rPr>
                <w:color w:val="000000"/>
                <w:sz w:val="24"/>
              </w:rPr>
              <w:t>4.91%</w:t>
            </w:r>
          </w:p>
        </w:tc>
        <w:tc>
          <w:tcPr>
            <w:vAlign w:val="center"/>
          </w:tcPr>
          <w:p>
            <w:pPr>
              <w:jc w:val="center"/>
            </w:pPr>
            <w:r>
              <w:rPr>
                <w:color w:val="000000"/>
                <w:sz w:val="24"/>
              </w:rPr>
              <w:t>0.58%</w:t>
            </w:r>
          </w:p>
        </w:tc>
        <w:tc>
          <w:tcPr>
            <w:vAlign w:val="center"/>
          </w:tcPr>
          <w:p>
            <w:pPr>
              <w:jc w:val="center"/>
            </w:pPr>
            <w:r>
              <w:rPr>
                <w:color w:val="000000"/>
                <w:sz w:val="24"/>
              </w:rPr>
              <w:t>9.84%</w:t>
            </w:r>
          </w:p>
        </w:tc>
        <w:tc>
          <w:tcPr>
            <w:vAlign w:val="center"/>
          </w:tcPr>
          <w:p>
            <w:pPr>
              <w:jc w:val="center"/>
            </w:pPr>
            <w:r>
              <w:rPr>
                <w:color w:val="000000"/>
                <w:sz w:val="24"/>
              </w:rPr>
              <w:t>0.40%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交银成长混合H</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14.76%</w:t>
            </w:r>
          </w:p>
        </w:tc>
        <w:tc>
          <w:tcPr>
            <w:vAlign w:val="center"/>
          </w:tcPr>
          <w:p>
            <w:pPr>
              <w:jc w:val="center"/>
            </w:pPr>
            <w:r>
              <w:rPr>
                <w:color w:val="000000"/>
                <w:sz w:val="24"/>
              </w:rPr>
              <w:t>0.98%</w:t>
            </w:r>
          </w:p>
        </w:tc>
        <w:tc>
          <w:tcPr>
            <w:vAlign w:val="center"/>
          </w:tcPr>
          <w:p>
            <w:pPr>
              <w:jc w:val="center"/>
            </w:pPr>
            <w:r>
              <w:rPr>
                <w:color w:val="000000"/>
                <w:sz w:val="24"/>
              </w:rPr>
              <w:t>4.91%</w:t>
            </w:r>
          </w:p>
        </w:tc>
        <w:tc>
          <w:tcPr>
            <w:vAlign w:val="center"/>
          </w:tcPr>
          <w:p>
            <w:pPr>
              <w:jc w:val="center"/>
            </w:pPr>
            <w:r>
              <w:rPr>
                <w:color w:val="000000"/>
                <w:sz w:val="24"/>
              </w:rPr>
              <w:t>0.58%</w:t>
            </w:r>
          </w:p>
        </w:tc>
        <w:tc>
          <w:tcPr>
            <w:vAlign w:val="center"/>
          </w:tcPr>
          <w:p>
            <w:pPr>
              <w:jc w:val="center"/>
            </w:pPr>
            <w:r>
              <w:rPr>
                <w:color w:val="000000"/>
                <w:sz w:val="24"/>
              </w:rPr>
              <w:t>9.85%</w:t>
            </w:r>
          </w:p>
        </w:tc>
        <w:tc>
          <w:tcPr>
            <w:vAlign w:val="center"/>
          </w:tcPr>
          <w:p>
            <w:pPr>
              <w:jc w:val="center"/>
            </w:pPr>
            <w:r>
              <w:rPr>
                <w:color w:val="000000"/>
                <w:sz w:val="24"/>
              </w:rPr>
              <w:t>0.40%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交银施罗德成长混合型证券投资基金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2006年10月23日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注：图示日期为2006年10月23日至2019年12月31日。本基金建仓期为自基金合同生效日起的6个月。截至建仓期结束，本基金各项资产配置比例符合基金合同及招募说明书有关投资比例的约定。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交银成长混合H</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注：本基金自2016年3月7日起，开始销售H类份额，投资者提交的申购申请于2016年3月8日被确认并将有效份额登记在册。图示日期为2016年3月8日至2019年12月31日。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王少成</w:t>
            </w:r>
          </w:p>
        </w:tc>
        <w:tc>
          <w:tcPr>
            <w:vAlign w:val="center"/>
          </w:tcPr>
          <w:p>
            <w:pPr>
              <w:jc w:val="center"/>
            </w:pPr>
            <w:r>
              <w:rPr>
                <w:color w:val="000000"/>
                <w:sz w:val="24"/>
              </w:rPr>
              <w:t>交银成长混合、交银蓝筹混合的基金经理，公司权益投资总监</w:t>
            </w:r>
          </w:p>
        </w:tc>
        <w:tc>
          <w:tcPr>
            <w:vAlign w:val="center"/>
          </w:tcPr>
          <w:p>
            <w:pPr>
              <w:jc w:val="center"/>
            </w:pPr>
            <w:r>
              <w:rPr>
                <w:color w:val="000000"/>
                <w:sz w:val="24"/>
              </w:rPr>
              <w:t>2015-03-24</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 xml:space="preserve">2019年四季度国内经济依旧处于增速寻底阶段，但股市触底反弹。十一月底以来除日本外主要经济体数据低于预期幅度减弱，叠加流动性维持充裕，全球风险偏好回升至2018年以来最高水平。经过长期的低利率时期之后，中期来看，未来利率上行的可能性高于继续下行，但金融市场作为利率长期下行的受益部门，显然没有做好充足的准备。国内宏观经济数据中PMI虽短期反弹，但由于存在供需、进出口改善和原材料购进、出厂价格均向下的矛盾迹象，其持续性依然值得推敲。此外，国内金融市场不认同未来整体通胀压力上行，同期短端利率被压制十年低点，带动两融激增。在整体风险溢价上行的背景下，除地产债利差持续扩张以及中小银行利差刚刚开始扩张之外，信用风险的定价普遍较低。中小银行融资能力受限，特别是在未来可能出现的信用收缩和利率上行的背景下，一旦出了问题，金融系统会遭到冲击。 </w:t>
      </w:r>
    </w:p>
    <w:p w:rsidP="007C14DF" w:rsidR="00952A72" w:rsidRDefault="00323F25" w:rsidRPr="007F52FA">
      <w:pPr>
        <w:spacing w:before="29" w:line="288" w:lineRule="auto"/>
        <w:ind w:firstLine="480" w:firstLineChars="200"/>
        <w:rPr>
          <w:color w:val="000000"/>
          <w:sz w:val="24"/>
        </w:rPr>
      </w:pPr>
      <w:r w:rsidRPr="007F52FA">
        <w:rPr>
          <w:color w:val="000000"/>
          <w:sz w:val="24"/>
        </w:rPr>
        <w:t>四季度A股受益于贸易谈判的阶段性缓和，国内股市风险偏好也持续提升。展望2020年一季度，我们预期房地产投资温和放缓，基建增速整体稳定但仅作为阶段性托底。一季度财政与信用刺激力度可能低于预期，二季度国内制造业生产与投资、进出口显著修复，原材料与中游制造业发力，PPI阶段性有上行动力。未来A股市场在不出现系统性风险背景下依然可能是结构性行情。科技和消费板块中景气上行的，并且具有长期竞争优势的上市公司预计依然会有超额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 xml:space="preserve">本基金本报告期内无需预警说明。 </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2,371,428,053.16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2,371,428,053.16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130,188,000.00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130,188,000.00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200,000,220.00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85,418,778.99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3,181,934.51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0.11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2,790,216,986.66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81,560,389.34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2.95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1,648,758,626.00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59.55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5,580,879.00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0.20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320,594,844.82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11.58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14,499,412.00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65,777,910.24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2.38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234,649,413.72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8.48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2,371,428,053.16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85.65</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603517</w:t>
            </w:r>
          </w:p>
        </w:tc>
        <w:tc>
          <w:tcPr>
            <w:vAlign w:val="center"/>
          </w:tcPr>
          <w:p>
            <w:pPr>
              <w:jc w:val="center"/>
            </w:pPr>
            <w:r>
              <w:rPr>
                <w:color w:val="000000"/>
                <w:sz w:val="24"/>
              </w:rPr>
              <w:t>绝味食品</w:t>
            </w:r>
          </w:p>
        </w:tc>
        <w:tc>
          <w:tcPr>
            <w:vAlign w:val="center"/>
          </w:tcPr>
          <w:p>
            <w:pPr>
              <w:jc w:val="right"/>
            </w:pPr>
            <w:r>
              <w:rPr>
                <w:color w:val="000000"/>
                <w:sz w:val="24"/>
              </w:rPr>
              <w:t>5,733,425</w:t>
            </w:r>
          </w:p>
        </w:tc>
        <w:tc>
          <w:tcPr>
            <w:vAlign w:val="center"/>
          </w:tcPr>
          <w:p>
            <w:pPr>
              <w:jc w:val="right"/>
            </w:pPr>
            <w:r>
              <w:rPr>
                <w:color w:val="000000"/>
                <w:sz w:val="24"/>
              </w:rPr>
              <w:t>266,317,591.25</w:t>
            </w:r>
          </w:p>
        </w:tc>
        <w:tc>
          <w:tcPr>
            <w:vAlign w:val="center"/>
          </w:tcPr>
          <w:p>
            <w:pPr>
              <w:jc w:val="right"/>
            </w:pPr>
            <w:r>
              <w:rPr>
                <w:color w:val="000000"/>
                <w:sz w:val="24"/>
              </w:rPr>
              <w:t>9.62</w:t>
            </w:r>
          </w:p>
        </w:tc>
      </w:tr>
      <w:tr>
        <w:tc>
          <w:tcPr>
            <w:vAlign w:val="center"/>
          </w:tcPr>
          <w:p>
            <w:pPr>
              <w:jc w:val="center"/>
            </w:pPr>
            <w:r>
              <w:rPr>
                <w:color w:val="000000"/>
                <w:sz w:val="24"/>
              </w:rPr>
              <w:t>2</w:t>
            </w:r>
          </w:p>
        </w:tc>
        <w:tc>
          <w:tcPr>
            <w:vAlign w:val="center"/>
          </w:tcPr>
          <w:p>
            <w:pPr>
              <w:jc w:val="center"/>
            </w:pPr>
            <w:r>
              <w:rPr>
                <w:color w:val="000000"/>
                <w:sz w:val="24"/>
              </w:rPr>
              <w:t>002216</w:t>
            </w:r>
          </w:p>
        </w:tc>
        <w:tc>
          <w:tcPr>
            <w:vAlign w:val="center"/>
          </w:tcPr>
          <w:p>
            <w:pPr>
              <w:jc w:val="center"/>
            </w:pPr>
            <w:r>
              <w:rPr>
                <w:color w:val="000000"/>
                <w:sz w:val="24"/>
              </w:rPr>
              <w:t>三全食品</w:t>
            </w:r>
          </w:p>
        </w:tc>
        <w:tc>
          <w:tcPr>
            <w:vAlign w:val="center"/>
          </w:tcPr>
          <w:p>
            <w:pPr>
              <w:jc w:val="right"/>
            </w:pPr>
            <w:r>
              <w:rPr>
                <w:color w:val="000000"/>
                <w:sz w:val="24"/>
              </w:rPr>
              <w:t>18,486,713</w:t>
            </w:r>
          </w:p>
        </w:tc>
        <w:tc>
          <w:tcPr>
            <w:vAlign w:val="center"/>
          </w:tcPr>
          <w:p>
            <w:pPr>
              <w:jc w:val="right"/>
            </w:pPr>
            <w:r>
              <w:rPr>
                <w:color w:val="000000"/>
                <w:sz w:val="24"/>
              </w:rPr>
              <w:t>264,359,995.90</w:t>
            </w:r>
          </w:p>
        </w:tc>
        <w:tc>
          <w:tcPr>
            <w:vAlign w:val="center"/>
          </w:tcPr>
          <w:p>
            <w:pPr>
              <w:jc w:val="right"/>
            </w:pPr>
            <w:r>
              <w:rPr>
                <w:color w:val="000000"/>
                <w:sz w:val="24"/>
              </w:rPr>
              <w:t>9.55</w:t>
            </w:r>
          </w:p>
        </w:tc>
      </w:tr>
      <w:tr>
        <w:tc>
          <w:tcPr>
            <w:vAlign w:val="center"/>
          </w:tcPr>
          <w:p>
            <w:pPr>
              <w:jc w:val="center"/>
            </w:pPr>
            <w:r>
              <w:rPr>
                <w:color w:val="000000"/>
                <w:sz w:val="24"/>
              </w:rPr>
              <w:t>3</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13,123,569</w:t>
            </w:r>
          </w:p>
        </w:tc>
        <w:tc>
          <w:tcPr>
            <w:vAlign w:val="center"/>
          </w:tcPr>
          <w:p>
            <w:pPr>
              <w:jc w:val="right"/>
            </w:pPr>
            <w:r>
              <w:rPr>
                <w:color w:val="000000"/>
                <w:sz w:val="24"/>
              </w:rPr>
              <w:t>234,649,413.72</w:t>
            </w:r>
          </w:p>
        </w:tc>
        <w:tc>
          <w:tcPr>
            <w:vAlign w:val="center"/>
          </w:tcPr>
          <w:p>
            <w:pPr>
              <w:jc w:val="right"/>
            </w:pPr>
            <w:r>
              <w:rPr>
                <w:color w:val="000000"/>
                <w:sz w:val="24"/>
              </w:rPr>
              <w:t>8.48</w:t>
            </w:r>
          </w:p>
        </w:tc>
      </w:tr>
      <w:tr>
        <w:tc>
          <w:tcPr>
            <w:vAlign w:val="center"/>
          </w:tcPr>
          <w:p>
            <w:pPr>
              <w:jc w:val="center"/>
            </w:pPr>
            <w:r>
              <w:rPr>
                <w:color w:val="000000"/>
                <w:sz w:val="24"/>
              </w:rPr>
              <w:t>4</w:t>
            </w:r>
          </w:p>
        </w:tc>
        <w:tc>
          <w:tcPr>
            <w:vAlign w:val="center"/>
          </w:tcPr>
          <w:p>
            <w:pPr>
              <w:jc w:val="center"/>
            </w:pPr>
            <w:r>
              <w:rPr>
                <w:color w:val="000000"/>
                <w:sz w:val="24"/>
              </w:rPr>
              <w:t>603707</w:t>
            </w:r>
          </w:p>
        </w:tc>
        <w:tc>
          <w:tcPr>
            <w:vAlign w:val="center"/>
          </w:tcPr>
          <w:p>
            <w:pPr>
              <w:jc w:val="center"/>
            </w:pPr>
            <w:r>
              <w:rPr>
                <w:color w:val="000000"/>
                <w:sz w:val="24"/>
              </w:rPr>
              <w:t>健友股份</w:t>
            </w:r>
          </w:p>
        </w:tc>
        <w:tc>
          <w:tcPr>
            <w:vAlign w:val="center"/>
          </w:tcPr>
          <w:p>
            <w:pPr>
              <w:jc w:val="right"/>
            </w:pPr>
            <w:r>
              <w:rPr>
                <w:color w:val="000000"/>
                <w:sz w:val="24"/>
              </w:rPr>
              <w:t>4,636,863</w:t>
            </w:r>
          </w:p>
        </w:tc>
        <w:tc>
          <w:tcPr>
            <w:vAlign w:val="center"/>
          </w:tcPr>
          <w:p>
            <w:pPr>
              <w:jc w:val="right"/>
            </w:pPr>
            <w:r>
              <w:rPr>
                <w:color w:val="000000"/>
                <w:sz w:val="24"/>
              </w:rPr>
              <w:t>192,337,077.24</w:t>
            </w:r>
          </w:p>
        </w:tc>
        <w:tc>
          <w:tcPr>
            <w:vAlign w:val="center"/>
          </w:tcPr>
          <w:p>
            <w:pPr>
              <w:jc w:val="right"/>
            </w:pPr>
            <w:r>
              <w:rPr>
                <w:color w:val="000000"/>
                <w:sz w:val="24"/>
              </w:rPr>
              <w:t>6.95</w:t>
            </w:r>
          </w:p>
        </w:tc>
      </w:tr>
      <w:tr>
        <w:tc>
          <w:tcPr>
            <w:vAlign w:val="center"/>
          </w:tcPr>
          <w:p>
            <w:pPr>
              <w:jc w:val="center"/>
            </w:pPr>
            <w:r>
              <w:rPr>
                <w:color w:val="000000"/>
                <w:sz w:val="24"/>
              </w:rPr>
              <w:t>5</w:t>
            </w:r>
          </w:p>
        </w:tc>
        <w:tc>
          <w:tcPr>
            <w:vAlign w:val="center"/>
          </w:tcPr>
          <w:p>
            <w:pPr>
              <w:jc w:val="center"/>
            </w:pPr>
            <w:r>
              <w:rPr>
                <w:color w:val="000000"/>
                <w:sz w:val="24"/>
              </w:rPr>
              <w:t>688008</w:t>
            </w:r>
          </w:p>
        </w:tc>
        <w:tc>
          <w:tcPr>
            <w:vAlign w:val="center"/>
          </w:tcPr>
          <w:p>
            <w:pPr>
              <w:jc w:val="center"/>
            </w:pPr>
            <w:r>
              <w:rPr>
                <w:color w:val="000000"/>
                <w:sz w:val="24"/>
              </w:rPr>
              <w:t>澜起科技</w:t>
            </w:r>
          </w:p>
        </w:tc>
        <w:tc>
          <w:tcPr>
            <w:vAlign w:val="center"/>
          </w:tcPr>
          <w:p>
            <w:pPr>
              <w:jc w:val="right"/>
            </w:pPr>
            <w:r>
              <w:rPr>
                <w:color w:val="000000"/>
                <w:sz w:val="24"/>
              </w:rPr>
              <w:t>2,122,697</w:t>
            </w:r>
          </w:p>
        </w:tc>
        <w:tc>
          <w:tcPr>
            <w:vAlign w:val="center"/>
          </w:tcPr>
          <w:p>
            <w:pPr>
              <w:jc w:val="right"/>
            </w:pPr>
            <w:r>
              <w:rPr>
                <w:color w:val="000000"/>
                <w:sz w:val="24"/>
              </w:rPr>
              <w:t>152,006,332.17</w:t>
            </w:r>
          </w:p>
        </w:tc>
        <w:tc>
          <w:tcPr>
            <w:vAlign w:val="center"/>
          </w:tcPr>
          <w:p>
            <w:pPr>
              <w:jc w:val="right"/>
            </w:pPr>
            <w:r>
              <w:rPr>
                <w:color w:val="000000"/>
                <w:sz w:val="24"/>
              </w:rPr>
              <w:t>5.49</w:t>
            </w:r>
          </w:p>
        </w:tc>
      </w:tr>
      <w:tr>
        <w:tc>
          <w:tcPr>
            <w:vAlign w:val="center"/>
          </w:tcPr>
          <w:p>
            <w:pPr>
              <w:jc w:val="center"/>
            </w:pPr>
            <w:r>
              <w:rPr>
                <w:color w:val="000000"/>
                <w:sz w:val="24"/>
              </w:rPr>
              <w:t>6</w:t>
            </w:r>
          </w:p>
        </w:tc>
        <w:tc>
          <w:tcPr>
            <w:vAlign w:val="center"/>
          </w:tcPr>
          <w:p>
            <w:pPr>
              <w:jc w:val="center"/>
            </w:pPr>
            <w:r>
              <w:rPr>
                <w:color w:val="000000"/>
                <w:sz w:val="24"/>
              </w:rPr>
              <w:t>600216</w:t>
            </w:r>
          </w:p>
        </w:tc>
        <w:tc>
          <w:tcPr>
            <w:vAlign w:val="center"/>
          </w:tcPr>
          <w:p>
            <w:pPr>
              <w:jc w:val="center"/>
            </w:pPr>
            <w:r>
              <w:rPr>
                <w:color w:val="000000"/>
                <w:sz w:val="24"/>
              </w:rPr>
              <w:t>浙江医药</w:t>
            </w:r>
          </w:p>
        </w:tc>
        <w:tc>
          <w:tcPr>
            <w:vAlign w:val="center"/>
          </w:tcPr>
          <w:p>
            <w:pPr>
              <w:jc w:val="right"/>
            </w:pPr>
            <w:r>
              <w:rPr>
                <w:color w:val="000000"/>
                <w:sz w:val="24"/>
              </w:rPr>
              <w:t>9,887,413</w:t>
            </w:r>
          </w:p>
        </w:tc>
        <w:tc>
          <w:tcPr>
            <w:vAlign w:val="center"/>
          </w:tcPr>
          <w:p>
            <w:pPr>
              <w:jc w:val="right"/>
            </w:pPr>
            <w:r>
              <w:rPr>
                <w:color w:val="000000"/>
                <w:sz w:val="24"/>
              </w:rPr>
              <w:t>131,996,963.55</w:t>
            </w:r>
          </w:p>
        </w:tc>
        <w:tc>
          <w:tcPr>
            <w:vAlign w:val="center"/>
          </w:tcPr>
          <w:p>
            <w:pPr>
              <w:jc w:val="right"/>
            </w:pPr>
            <w:r>
              <w:rPr>
                <w:color w:val="000000"/>
                <w:sz w:val="24"/>
              </w:rPr>
              <w:t>4.77</w:t>
            </w:r>
          </w:p>
        </w:tc>
      </w:tr>
      <w:tr>
        <w:tc>
          <w:tcPr>
            <w:vAlign w:val="center"/>
          </w:tcPr>
          <w:p>
            <w:pPr>
              <w:jc w:val="center"/>
            </w:pPr>
            <w:r>
              <w:rPr>
                <w:color w:val="000000"/>
                <w:sz w:val="24"/>
              </w:rPr>
              <w:t>7</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3,274,960</w:t>
            </w:r>
          </w:p>
        </w:tc>
        <w:tc>
          <w:tcPr>
            <w:vAlign w:val="center"/>
          </w:tcPr>
          <w:p>
            <w:pPr>
              <w:jc w:val="right"/>
            </w:pPr>
            <w:r>
              <w:rPr>
                <w:color w:val="000000"/>
                <w:sz w:val="24"/>
              </w:rPr>
              <w:t>112,920,620.80</w:t>
            </w:r>
          </w:p>
        </w:tc>
        <w:tc>
          <w:tcPr>
            <w:vAlign w:val="center"/>
          </w:tcPr>
          <w:p>
            <w:pPr>
              <w:jc w:val="right"/>
            </w:pPr>
            <w:r>
              <w:rPr>
                <w:color w:val="000000"/>
                <w:sz w:val="24"/>
              </w:rPr>
              <w:t>4.08</w:t>
            </w:r>
          </w:p>
        </w:tc>
      </w:tr>
      <w:tr>
        <w:tc>
          <w:tcPr>
            <w:vAlign w:val="center"/>
          </w:tcPr>
          <w:p>
            <w:pPr>
              <w:jc w:val="center"/>
            </w:pPr>
            <w:r>
              <w:rPr>
                <w:color w:val="000000"/>
                <w:sz w:val="24"/>
              </w:rPr>
              <w:t>8</w:t>
            </w:r>
          </w:p>
        </w:tc>
        <w:tc>
          <w:tcPr>
            <w:vAlign w:val="center"/>
          </w:tcPr>
          <w:p>
            <w:pPr>
              <w:jc w:val="center"/>
            </w:pPr>
            <w:r>
              <w:rPr>
                <w:color w:val="000000"/>
                <w:sz w:val="24"/>
              </w:rPr>
              <w:t>002371</w:t>
            </w:r>
          </w:p>
        </w:tc>
        <w:tc>
          <w:tcPr>
            <w:vAlign w:val="center"/>
          </w:tcPr>
          <w:p>
            <w:pPr>
              <w:jc w:val="center"/>
            </w:pPr>
            <w:r>
              <w:rPr>
                <w:color w:val="000000"/>
                <w:sz w:val="24"/>
              </w:rPr>
              <w:t>北方华创</w:t>
            </w:r>
          </w:p>
        </w:tc>
        <w:tc>
          <w:tcPr>
            <w:vAlign w:val="center"/>
          </w:tcPr>
          <w:p>
            <w:pPr>
              <w:jc w:val="right"/>
            </w:pPr>
            <w:r>
              <w:rPr>
                <w:color w:val="000000"/>
                <w:sz w:val="24"/>
              </w:rPr>
              <w:t>1,104,165</w:t>
            </w:r>
          </w:p>
        </w:tc>
        <w:tc>
          <w:tcPr>
            <w:vAlign w:val="center"/>
          </w:tcPr>
          <w:p>
            <w:pPr>
              <w:jc w:val="right"/>
            </w:pPr>
            <w:r>
              <w:rPr>
                <w:color w:val="000000"/>
                <w:sz w:val="24"/>
              </w:rPr>
              <w:t>97,166,520.00</w:t>
            </w:r>
          </w:p>
        </w:tc>
        <w:tc>
          <w:tcPr>
            <w:vAlign w:val="center"/>
          </w:tcPr>
          <w:p>
            <w:pPr>
              <w:jc w:val="right"/>
            </w:pPr>
            <w:r>
              <w:rPr>
                <w:color w:val="000000"/>
                <w:sz w:val="24"/>
              </w:rPr>
              <w:t>3.51</w:t>
            </w:r>
          </w:p>
        </w:tc>
      </w:tr>
      <w:tr>
        <w:tc>
          <w:tcPr>
            <w:vAlign w:val="center"/>
          </w:tcPr>
          <w:p>
            <w:pPr>
              <w:jc w:val="center"/>
            </w:pPr>
            <w:r>
              <w:rPr>
                <w:color w:val="000000"/>
                <w:sz w:val="24"/>
              </w:rPr>
              <w:t>9</w:t>
            </w:r>
          </w:p>
        </w:tc>
        <w:tc>
          <w:tcPr>
            <w:vAlign w:val="center"/>
          </w:tcPr>
          <w:p>
            <w:pPr>
              <w:jc w:val="center"/>
            </w:pPr>
            <w:r>
              <w:rPr>
                <w:color w:val="000000"/>
                <w:sz w:val="24"/>
              </w:rPr>
              <w:t>688188</w:t>
            </w:r>
          </w:p>
        </w:tc>
        <w:tc>
          <w:tcPr>
            <w:vAlign w:val="center"/>
          </w:tcPr>
          <w:p>
            <w:pPr>
              <w:jc w:val="center"/>
            </w:pPr>
            <w:r>
              <w:rPr>
                <w:color w:val="000000"/>
                <w:sz w:val="24"/>
              </w:rPr>
              <w:t>柏楚电子</w:t>
            </w:r>
          </w:p>
        </w:tc>
        <w:tc>
          <w:tcPr>
            <w:vAlign w:val="center"/>
          </w:tcPr>
          <w:p>
            <w:pPr>
              <w:jc w:val="right"/>
            </w:pPr>
            <w:r>
              <w:rPr>
                <w:color w:val="000000"/>
                <w:sz w:val="24"/>
              </w:rPr>
              <w:t>572,712</w:t>
            </w:r>
          </w:p>
        </w:tc>
        <w:tc>
          <w:tcPr>
            <w:vAlign w:val="center"/>
          </w:tcPr>
          <w:p>
            <w:pPr>
              <w:jc w:val="right"/>
            </w:pPr>
            <w:r>
              <w:rPr>
                <w:color w:val="000000"/>
                <w:sz w:val="24"/>
              </w:rPr>
              <w:t>90,001,525.53</w:t>
            </w:r>
          </w:p>
        </w:tc>
        <w:tc>
          <w:tcPr>
            <w:vAlign w:val="center"/>
          </w:tcPr>
          <w:p>
            <w:pPr>
              <w:jc w:val="right"/>
            </w:pPr>
            <w:r>
              <w:rPr>
                <w:color w:val="000000"/>
                <w:sz w:val="24"/>
              </w:rPr>
              <w:t>3.25</w:t>
            </w:r>
          </w:p>
        </w:tc>
      </w:tr>
      <w:tr>
        <w:tc>
          <w:tcPr>
            <w:vAlign w:val="center"/>
          </w:tcPr>
          <w:p>
            <w:pPr>
              <w:jc w:val="center"/>
            </w:pPr>
            <w:r>
              <w:rPr>
                <w:color w:val="000000"/>
                <w:sz w:val="24"/>
              </w:rPr>
              <w:t>10</w:t>
            </w:r>
          </w:p>
        </w:tc>
        <w:tc>
          <w:tcPr>
            <w:vAlign w:val="center"/>
          </w:tcPr>
          <w:p>
            <w:pPr>
              <w:jc w:val="center"/>
            </w:pPr>
            <w:r>
              <w:rPr>
                <w:color w:val="000000"/>
                <w:sz w:val="24"/>
              </w:rPr>
              <w:t>600529</w:t>
            </w:r>
          </w:p>
        </w:tc>
        <w:tc>
          <w:tcPr>
            <w:vAlign w:val="center"/>
          </w:tcPr>
          <w:p>
            <w:pPr>
              <w:jc w:val="center"/>
            </w:pPr>
            <w:r>
              <w:rPr>
                <w:color w:val="000000"/>
                <w:sz w:val="24"/>
              </w:rPr>
              <w:t>山东药玻</w:t>
            </w:r>
          </w:p>
        </w:tc>
        <w:tc>
          <w:tcPr>
            <w:vAlign w:val="center"/>
          </w:tcPr>
          <w:p>
            <w:pPr>
              <w:jc w:val="right"/>
            </w:pPr>
            <w:r>
              <w:rPr>
                <w:color w:val="000000"/>
                <w:sz w:val="24"/>
              </w:rPr>
              <w:t>3,235,100</w:t>
            </w:r>
          </w:p>
        </w:tc>
        <w:tc>
          <w:tcPr>
            <w:vAlign w:val="center"/>
          </w:tcPr>
          <w:p>
            <w:pPr>
              <w:jc w:val="right"/>
            </w:pPr>
            <w:r>
              <w:rPr>
                <w:color w:val="000000"/>
                <w:sz w:val="24"/>
              </w:rPr>
              <w:t>89,418,164.00</w:t>
            </w:r>
          </w:p>
        </w:tc>
        <w:tc>
          <w:tcPr>
            <w:vAlign w:val="center"/>
          </w:tcPr>
          <w:p>
            <w:pPr>
              <w:jc w:val="right"/>
            </w:pPr>
            <w:r>
              <w:rPr>
                <w:color w:val="000000"/>
                <w:sz w:val="24"/>
              </w:rPr>
              <w:t>3.23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130,188,000.00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4.70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130,188,000.00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4.70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130,188,000.00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4.70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190206</w:t>
            </w:r>
          </w:p>
        </w:tc>
        <w:tc>
          <w:tcPr>
            <w:vAlign w:val="center"/>
          </w:tcPr>
          <w:p>
            <w:pPr>
              <w:jc w:val="center"/>
            </w:pPr>
            <w:r>
              <w:rPr>
                <w:color w:val="000000"/>
                <w:sz w:val="24"/>
              </w:rPr>
              <w:t>19国开06</w:t>
            </w:r>
          </w:p>
        </w:tc>
        <w:tc>
          <w:tcPr>
            <w:vAlign w:val="center"/>
          </w:tcPr>
          <w:p>
            <w:pPr>
              <w:jc w:val="right"/>
            </w:pPr>
            <w:r>
              <w:rPr>
                <w:color w:val="000000"/>
                <w:sz w:val="24"/>
              </w:rPr>
              <w:t>600,000</w:t>
            </w:r>
          </w:p>
        </w:tc>
        <w:tc>
          <w:tcPr>
            <w:vAlign w:val="center"/>
          </w:tcPr>
          <w:p>
            <w:pPr>
              <w:jc w:val="right"/>
            </w:pPr>
            <w:r>
              <w:rPr>
                <w:color w:val="000000"/>
                <w:sz w:val="24"/>
              </w:rPr>
              <w:t>60,096,000.00</w:t>
            </w:r>
          </w:p>
        </w:tc>
        <w:tc>
          <w:tcPr>
            <w:vAlign w:val="center"/>
          </w:tcPr>
          <w:p>
            <w:pPr>
              <w:jc w:val="right"/>
            </w:pPr>
            <w:r>
              <w:rPr>
                <w:color w:val="000000"/>
                <w:sz w:val="24"/>
              </w:rPr>
              <w:t>2.17</w:t>
            </w:r>
          </w:p>
        </w:tc>
      </w:tr>
      <w:tr>
        <w:tc>
          <w:tcPr>
            <w:vAlign w:val="center"/>
          </w:tcPr>
          <w:p>
            <w:pPr>
              <w:jc w:val="center"/>
            </w:pPr>
            <w:r>
              <w:rPr>
                <w:color w:val="000000"/>
                <w:sz w:val="24"/>
              </w:rPr>
              <w:t>2</w:t>
            </w:r>
          </w:p>
        </w:tc>
        <w:tc>
          <w:tcPr>
            <w:vAlign w:val="center"/>
          </w:tcPr>
          <w:p>
            <w:pPr>
              <w:jc w:val="center"/>
            </w:pPr>
            <w:r>
              <w:rPr>
                <w:color w:val="000000"/>
                <w:sz w:val="24"/>
              </w:rPr>
              <w:t>190405</w:t>
            </w:r>
          </w:p>
        </w:tc>
        <w:tc>
          <w:tcPr>
            <w:vAlign w:val="center"/>
          </w:tcPr>
          <w:p>
            <w:pPr>
              <w:jc w:val="center"/>
            </w:pPr>
            <w:r>
              <w:rPr>
                <w:color w:val="000000"/>
                <w:sz w:val="24"/>
              </w:rPr>
              <w:t>19农发05</w:t>
            </w:r>
          </w:p>
        </w:tc>
        <w:tc>
          <w:tcPr>
            <w:vAlign w:val="center"/>
          </w:tcPr>
          <w:p>
            <w:pPr>
              <w:jc w:val="right"/>
            </w:pPr>
            <w:r>
              <w:rPr>
                <w:color w:val="000000"/>
                <w:sz w:val="24"/>
              </w:rPr>
              <w:t>600,000</w:t>
            </w:r>
          </w:p>
        </w:tc>
        <w:tc>
          <w:tcPr>
            <w:vAlign w:val="center"/>
          </w:tcPr>
          <w:p>
            <w:pPr>
              <w:jc w:val="right"/>
            </w:pPr>
            <w:r>
              <w:rPr>
                <w:color w:val="000000"/>
                <w:sz w:val="24"/>
              </w:rPr>
              <w:t>60,078,000.00</w:t>
            </w:r>
          </w:p>
        </w:tc>
        <w:tc>
          <w:tcPr>
            <w:vAlign w:val="center"/>
          </w:tcPr>
          <w:p>
            <w:pPr>
              <w:jc w:val="right"/>
            </w:pPr>
            <w:r>
              <w:rPr>
                <w:color w:val="000000"/>
                <w:sz w:val="24"/>
              </w:rPr>
              <w:t>2.17</w:t>
            </w:r>
          </w:p>
        </w:tc>
      </w:tr>
      <w:tr>
        <w:tc>
          <w:tcPr>
            <w:vAlign w:val="center"/>
          </w:tcPr>
          <w:p>
            <w:pPr>
              <w:jc w:val="center"/>
            </w:pPr>
            <w:r>
              <w:rPr>
                <w:color w:val="000000"/>
                <w:sz w:val="24"/>
              </w:rPr>
              <w:t>3</w:t>
            </w:r>
          </w:p>
        </w:tc>
        <w:tc>
          <w:tcPr>
            <w:vAlign w:val="center"/>
          </w:tcPr>
          <w:p>
            <w:pPr>
              <w:jc w:val="center"/>
            </w:pPr>
            <w:r>
              <w:rPr>
                <w:color w:val="000000"/>
                <w:sz w:val="24"/>
              </w:rPr>
              <w:t>190211</w:t>
            </w:r>
          </w:p>
        </w:tc>
        <w:tc>
          <w:tcPr>
            <w:vAlign w:val="center"/>
          </w:tcPr>
          <w:p>
            <w:pPr>
              <w:jc w:val="center"/>
            </w:pPr>
            <w:r>
              <w:rPr>
                <w:color w:val="000000"/>
                <w:sz w:val="24"/>
              </w:rPr>
              <w:t>19国开11</w:t>
            </w:r>
          </w:p>
        </w:tc>
        <w:tc>
          <w:tcPr>
            <w:vAlign w:val="center"/>
          </w:tcPr>
          <w:p>
            <w:pPr>
              <w:jc w:val="right"/>
            </w:pPr>
            <w:r>
              <w:rPr>
                <w:color w:val="000000"/>
                <w:sz w:val="24"/>
              </w:rPr>
              <w:t>100,000</w:t>
            </w:r>
          </w:p>
        </w:tc>
        <w:tc>
          <w:tcPr>
            <w:vAlign w:val="center"/>
          </w:tcPr>
          <w:p>
            <w:pPr>
              <w:jc w:val="right"/>
            </w:pPr>
            <w:r>
              <w:rPr>
                <w:color w:val="000000"/>
                <w:sz w:val="24"/>
              </w:rPr>
              <w:t>10,014,000.00</w:t>
            </w:r>
          </w:p>
        </w:tc>
        <w:tc>
          <w:tcPr>
            <w:vAlign w:val="center"/>
          </w:tcPr>
          <w:p>
            <w:pPr>
              <w:jc w:val="right"/>
            </w:pPr>
            <w:r>
              <w:rPr>
                <w:color w:val="000000"/>
                <w:sz w:val="24"/>
              </w:rPr>
              <w:t>0.36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442,752.49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2,027,986.26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711,195.76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3,181,934.51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571E42" w:rsidR="00571E42" w:rsidRDefault="00571E42" w:rsidRPr="00571E42">
      <w:pPr>
        <w:autoSpaceDE w:val="0"/>
        <w:autoSpaceDN w:val="0"/>
        <w:adjustRightInd w:val="0"/>
        <w:spacing w:before="29" w:line="288" w:lineRule="auto"/>
        <w:jc w:val="right"/>
        <w:rPr>
          <w:rFonts w:eastAsiaTheme="minorEastAsia"/>
          <w:bCs/>
          <w:sz w:val="24"/>
        </w:rPr>
      </w:pPr>
      <w:r w:rsidRPr="001B7979">
        <w:rPr>
          <w:color w:val="000000"/>
          <w:sz w:val="24"/>
        </w:rPr>
        <w:t/>
      </w:r>
      <w:r w:rsidRPr="001B7979">
        <w:rPr>
          <w:color w:val="00000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1D5CD0" w:rsidRPr="007F52FA" w:rsidTr="00837861">
        <w:trPr>
          <w:jc w:val="center"/>
        </w:trPr>
        <w:tc>
          <w:tcPr>
            <w:tcW w:type="dxa" w:w="1083"/>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1302"/>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type="dxa" w:w="1301"/>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type="dxa" w:w="1805"/>
            <w:vAlign w:val="center"/>
          </w:tcPr>
          <w:p w:rsidP="007C14DF" w:rsidR="001D5CD0" w:rsidRDefault="001D5CD0" w:rsidRPr="001843E2">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p>
        </w:tc>
        <w:tc>
          <w:tcPr>
            <w:tcW w:type="dxa" w:w="165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1843E2">
              <w:rPr>
                <w:rFonts w:hint="eastAsia"/>
                <w:color w:val="000000"/>
                <w:kern w:val="0"/>
                <w:sz w:val="24"/>
              </w:rPr>
              <w:t>(</w:t>
            </w:r>
            <w:r w:rsidR="001843E2">
              <w:rPr>
                <w:color w:val="000000"/>
                <w:kern w:val="0"/>
                <w:sz w:val="24"/>
              </w:rPr>
              <w:t>%</w:t>
            </w:r>
            <w:r w:rsidR="001843E2">
              <w:rPr>
                <w:rFonts w:hint="eastAsia"/>
                <w:color w:val="000000"/>
                <w:kern w:val="0"/>
                <w:sz w:val="24"/>
              </w:rPr>
              <w:t>)</w:t>
            </w:r>
          </w:p>
        </w:tc>
        <w:tc>
          <w:tcPr>
            <w:tcW w:type="dxa" w:w="136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688188</w:t>
            </w:r>
          </w:p>
        </w:tc>
        <w:tc>
          <w:tcPr>
            <w:vAlign w:val="center"/>
          </w:tcPr>
          <w:p>
            <w:pPr>
              <w:jc w:val="center"/>
            </w:pPr>
            <w:r>
              <w:rPr>
                <w:rFonts w:eastAsiaTheme="minorEastAsia"/>
                <w:color w:val="000000"/>
                <w:sz w:val="24"/>
              </w:rPr>
              <w:t>柏楚电子</w:t>
            </w:r>
          </w:p>
        </w:tc>
        <w:tc>
          <w:tcPr>
            <w:vAlign w:val="center"/>
          </w:tcPr>
          <w:p>
            <w:pPr>
              <w:jc w:val="right"/>
            </w:pPr>
            <w:r>
              <w:rPr>
                <w:rFonts w:eastAsiaTheme="minorEastAsia"/>
                <w:color w:val="000000"/>
                <w:sz w:val="24"/>
              </w:rPr>
              <w:t>1,193,450.23</w:t>
            </w:r>
          </w:p>
        </w:tc>
        <w:tc>
          <w:tcPr>
            <w:vAlign w:val="center"/>
          </w:tcPr>
          <w:p>
            <w:pPr>
              <w:jc w:val="right"/>
            </w:pPr>
            <w:r>
              <w:rPr>
                <w:rFonts w:eastAsiaTheme="minorEastAsia"/>
                <w:color w:val="000000"/>
                <w:sz w:val="24"/>
              </w:rPr>
              <w:t>0.04</w:t>
            </w:r>
          </w:p>
        </w:tc>
        <w:tc>
          <w:tcPr>
            <w:vAlign w:val="center"/>
          </w:tcPr>
          <w:p>
            <w:pPr>
              <w:jc w:val="right"/>
            </w:pPr>
            <w:r>
              <w:rPr>
                <w:rFonts w:eastAsiaTheme="minorEastAsia"/>
                <w:color w:val="000000"/>
                <w:sz w:val="24"/>
              </w:rPr>
              <w:t>限售股</w:t>
            </w:r>
          </w:p>
        </w:tc>
      </w:tr>
    </w:tbl>
    <w:p w:rsidP="007C14DF" w:rsidR="001D5CD0" w:rsidRDefault="001D5CD0" w:rsidRPr="007F52FA">
      <w:pPr>
        <w:spacing w:before="29" w:line="288" w:lineRule="auto"/>
        <w:rPr>
          <w:rFonts w:eastAsiaTheme="minorEastAsia"/>
          <w:sz w:val="24"/>
        </w:rPr>
      </w:pP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交银成长混合A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交银成长混合H</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622,643,828.28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195,336.96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11,503,662.05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34,782,389.85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5,014.80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599,365,100.48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190,322.16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pPr>
        <w:spacing w:line="360" w:lineRule="auto"/>
        <w:ind w:firstLine="420" w:firstLineChars="200"/>
        <w:rPr>
          <w:rFonts w:ascii="宋体" w:hAnsi="宋体"/>
          <w:color w:val="000000"/>
          <w:szCs w:val="21"/>
        </w:rPr>
      </w:pPr>
      <w:r>
        <w:rPr>
          <w:rFonts w:ascii="宋体" w:hAnsi="宋体" w:hint="eastAsia"/>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2、根据富时集团的通知，富时中国国债指数（FTSE China Government Bond Index）在2019年12月31日收盘后停止计算编制，该指数正式变更为富时中国国债指数（FTSE Chinese Government Bond Index），本基金据此调整业绩比较基准，本次调整业绩比较基准不涉及指数中文名称更改，无需修改基金合同，变更内容将自2020年1月1日起生效。详情请查阅本基金管理人于2019年12月21日发布的《交银施罗德基金管理有限公司关于交银施罗德成长混合型证券投资基金业绩比较基准变更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1、中国证监会批准交银施罗德成长股票证券投资基金募集的文件；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2、《交银施罗德成长混合型证券投资基金基金合同》；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3、《交银施罗德成长混合型证券投资基金招募说明书》；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4、《交银施罗德成长混合型证券投资基金托管协议》；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5、关于募集交银施罗德成长股票证券投资基金之法律意见书；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8、报告期内交银施罗德成长混合型证券投资基金在指定报刊上各项公告的原稿。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交银施罗德成长混合型证券投资基金2019年第4季度报告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