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交银施罗德创新成长混合型证券投资基金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交银创新成长混合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006223</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006223</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2018年9月27日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165,712,717.23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本基金通过优化资产配置和灵活运用多种投资策略，把握港股通资本市场开放政策下的投资机会，力争实现基金资产的稳定增值。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沪深300指数收益率×50%+恒生指数收益率×30%+中证综合债券指数收益率×20%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8,168,315.15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27,487,311.31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0.1668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249,606,613.83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1.5063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12.71%</w:t>
            </w:r>
          </w:p>
        </w:tc>
        <w:tc>
          <w:tcPr>
            <w:vAlign w:val="center"/>
          </w:tcPr>
          <w:p>
            <w:pPr>
              <w:jc w:val="center"/>
            </w:pPr>
            <w:r>
              <w:rPr>
                <w:color w:val="000000"/>
                <w:sz w:val="24"/>
                <w:szCs w:val="24"/>
              </w:rPr>
              <w:t>0.93%</w:t>
            </w:r>
          </w:p>
        </w:tc>
        <w:tc>
          <w:tcPr>
            <w:vAlign w:val="center"/>
          </w:tcPr>
          <w:p>
            <w:pPr>
              <w:jc w:val="center"/>
            </w:pPr>
            <w:r>
              <w:rPr>
                <w:color w:val="000000"/>
                <w:sz w:val="24"/>
                <w:szCs w:val="24"/>
              </w:rPr>
              <w:t>6.39%</w:t>
            </w:r>
          </w:p>
        </w:tc>
        <w:tc>
          <w:tcPr>
            <w:vAlign w:val="center"/>
          </w:tcPr>
          <w:p>
            <w:pPr>
              <w:jc w:val="center"/>
            </w:pPr>
            <w:r>
              <w:rPr>
                <w:color w:val="000000"/>
                <w:sz w:val="24"/>
                <w:szCs w:val="24"/>
              </w:rPr>
              <w:t>0.59%</w:t>
            </w:r>
          </w:p>
        </w:tc>
        <w:tc>
          <w:tcPr>
            <w:vAlign w:val="center"/>
          </w:tcPr>
          <w:p>
            <w:pPr>
              <w:jc w:val="center"/>
            </w:pPr>
            <w:r>
              <w:rPr>
                <w:color w:val="000000"/>
                <w:sz w:val="24"/>
                <w:szCs w:val="24"/>
              </w:rPr>
              <w:t>6.32%</w:t>
            </w:r>
          </w:p>
        </w:tc>
        <w:tc>
          <w:tcPr>
            <w:vAlign w:val="center"/>
          </w:tcPr>
          <w:p>
            <w:pPr>
              <w:jc w:val="center"/>
            </w:pPr>
            <w:r>
              <w:rPr>
                <w:color w:val="000000"/>
                <w:sz w:val="24"/>
                <w:szCs w:val="24"/>
              </w:rPr>
              <w:t>0.34%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交银施罗德创新成长混合型证券投资基金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2018年9月27日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2018年9月27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周中</w:t>
            </w:r>
          </w:p>
        </w:tc>
        <w:tc>
          <w:tcPr>
            <w:vAlign w:val="center"/>
          </w:tcPr>
          <w:p>
            <w:pPr>
              <w:jc w:val="center"/>
            </w:pPr>
            <w:r>
              <w:rPr>
                <w:color w:val="000000"/>
                <w:sz w:val="24"/>
                <w:szCs w:val="24"/>
              </w:rPr>
              <w:t>交银环球精选混合(QDII)、交银创新成长混合的基金经理</w:t>
            </w:r>
          </w:p>
        </w:tc>
        <w:tc>
          <w:tcPr>
            <w:vAlign w:val="center"/>
          </w:tcPr>
          <w:p>
            <w:pPr>
              <w:jc w:val="center"/>
            </w:pPr>
            <w:r>
              <w:rPr>
                <w:color w:val="000000"/>
                <w:sz w:val="24"/>
                <w:szCs w:val="24"/>
              </w:rPr>
              <w:t>2018-09-27</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周中先生，中国国籍，复旦大学金融学硕士。历任野村证券亚太区股票研究部研究助理，中银国际证券研究部研究员、高级经理，瑞银证券研究部行业分析师、董事。2015年加入交银施罗德基金管理有限公司。2015年12月12日至2019年9月19日担任交银施罗德全球自然资源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四季度市场整体表现比较平稳，房地产整体韧性十足，地产投资持续超预期使得经济增速虽然持续下行但是总体风险可控。成长类个股的表现普遍较好。港股也逐步走出政治动荡的阴霾，长线资金开始进一步流向估值较低的港股市场。</w:t>
      </w:r>
    </w:p>
    <w:p>
      <w:pPr>
        <w:spacing w:before="29" w:line="288" w:lineRule="auto"/>
        <w:ind w:firstLine="480" w:firstLineChars="200"/>
        <w:rPr>
          <w:color w:val="000000"/>
          <w:sz w:val="24"/>
          <w:szCs w:val="24"/>
        </w:rPr>
      </w:pPr>
      <w:r>
        <w:rPr>
          <w:color w:val="000000"/>
          <w:sz w:val="24"/>
          <w:szCs w:val="24"/>
        </w:rPr>
        <w:t>本基金四季度总体仓位保持较高水平，我们依然坚持自下而上精选个股的投资策略，重点投资于受宏观经济波动影响较小的成长类个股，因为目前港股中的优质成长股正在越来越体现出较好的配置价值，我们在组合配置方面逐步提升港股的比重。</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一季度，我们认为在政策持续托底的预期之下，整体的宏观经济表现不会太差，而在这样的环境之中，具备较强持续竞争力的上市公司会持续强化其竞争优势，趁势获取更多的市场份额。我们继续坚持买入并持有产品竞争力强且管理层可靠的公司。</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221,964,527.43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84.90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221,964,527.43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84.90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812,700.00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0.31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812,700.00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0.31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30,382,313.74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11.62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8,293,929.67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3.17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261,453,470.84</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4,819,457.00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1.93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106,049,145.54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42.49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4,410,000.00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39,894,849.90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15.98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9,579,500.00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1,609,000.00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0.64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107,696.00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6,578.04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8,046,000.00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7,152,356.00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181,674,582.48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72.78</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tbl>
      <w:tblPr>
        <w:tblW w:type="dxa" w:w="8634"/>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1" w:val="04A0"/>
      </w:tblPr>
      <w:tblGrid>
        <w:gridCol w:w="2397"/>
        <w:gridCol w:w="3119"/>
        <w:gridCol w:w="3118"/>
      </w:tblGrid>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行业类别</w:t>
            </w:r>
            <w:r w:rsidRPr="00FF0BBF">
              <w:rPr>
                <w:color w:val="000000"/>
                <w:sz w:val="24"/>
              </w:rPr>
              <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公允价值（人民币）</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tc>
          <w:tcPr>
            <w:vAlign w:val="center"/>
          </w:tcPr>
          <w:p>
            <w:pPr>
              <w:jc w:val="center"/>
            </w:pPr>
            <w:r>
              <w:rPr>
                <w:color w:val="000000"/>
                <w:sz w:val="24"/>
              </w:rPr>
              <w:t>非日常生活消费品</w:t>
            </w:r>
          </w:p>
        </w:tc>
        <w:tc>
          <w:tcPr>
            <w:vAlign w:val="center"/>
          </w:tcPr>
          <w:p>
            <w:pPr>
              <w:jc w:val="center"/>
            </w:pPr>
            <w:r>
              <w:rPr>
                <w:color w:val="000000"/>
                <w:sz w:val="24"/>
              </w:rPr>
              <w:t>8,215,198.38</w:t>
            </w:r>
          </w:p>
        </w:tc>
        <w:tc>
          <w:tcPr>
            <w:vAlign w:val="center"/>
          </w:tcPr>
          <w:p>
            <w:pPr>
              <w:jc w:val="center"/>
            </w:pPr>
            <w:r>
              <w:rPr>
                <w:color w:val="000000"/>
                <w:sz w:val="24"/>
              </w:rPr>
              <w:t>3.29</w:t>
            </w:r>
          </w:p>
        </w:tc>
      </w:tr>
      <w:tr>
        <w:tc>
          <w:tcPr>
            <w:vAlign w:val="center"/>
          </w:tcPr>
          <w:p>
            <w:pPr>
              <w:jc w:val="center"/>
            </w:pPr>
            <w:r>
              <w:rPr>
                <w:color w:val="000000"/>
                <w:sz w:val="24"/>
              </w:rPr>
              <w:t>金融</w:t>
            </w:r>
          </w:p>
        </w:tc>
        <w:tc>
          <w:tcPr>
            <w:vAlign w:val="center"/>
          </w:tcPr>
          <w:p>
            <w:pPr>
              <w:jc w:val="center"/>
            </w:pPr>
            <w:r>
              <w:rPr>
                <w:color w:val="000000"/>
                <w:sz w:val="24"/>
              </w:rPr>
              <w:t>2,198,244.12</w:t>
            </w:r>
          </w:p>
        </w:tc>
        <w:tc>
          <w:tcPr>
            <w:vAlign w:val="center"/>
          </w:tcPr>
          <w:p>
            <w:pPr>
              <w:jc w:val="center"/>
            </w:pPr>
            <w:r>
              <w:rPr>
                <w:color w:val="000000"/>
                <w:sz w:val="24"/>
              </w:rPr>
              <w:t>0.88</w:t>
            </w:r>
          </w:p>
        </w:tc>
      </w:tr>
      <w:tr>
        <w:tc>
          <w:tcPr>
            <w:vAlign w:val="center"/>
          </w:tcPr>
          <w:p>
            <w:pPr>
              <w:jc w:val="center"/>
            </w:pPr>
            <w:r>
              <w:rPr>
                <w:color w:val="000000"/>
                <w:sz w:val="24"/>
              </w:rPr>
              <w:t>通讯服务</w:t>
            </w:r>
          </w:p>
        </w:tc>
        <w:tc>
          <w:tcPr>
            <w:vAlign w:val="center"/>
          </w:tcPr>
          <w:p>
            <w:pPr>
              <w:jc w:val="center"/>
            </w:pPr>
            <w:r>
              <w:rPr>
                <w:color w:val="000000"/>
                <w:sz w:val="24"/>
              </w:rPr>
              <w:t>15,385,021.50</w:t>
            </w:r>
          </w:p>
        </w:tc>
        <w:tc>
          <w:tcPr>
            <w:vAlign w:val="center"/>
          </w:tcPr>
          <w:p>
            <w:pPr>
              <w:jc w:val="center"/>
            </w:pPr>
            <w:r>
              <w:rPr>
                <w:color w:val="000000"/>
                <w:sz w:val="24"/>
              </w:rPr>
              <w:t>6.16</w:t>
            </w:r>
          </w:p>
        </w:tc>
      </w:tr>
      <w:tr>
        <w:tc>
          <w:tcPr>
            <w:vAlign w:val="center"/>
          </w:tcPr>
          <w:p>
            <w:pPr>
              <w:jc w:val="center"/>
            </w:pPr>
            <w:r>
              <w:rPr>
                <w:color w:val="000000"/>
                <w:sz w:val="24"/>
              </w:rPr>
              <w:t>信息技术</w:t>
            </w:r>
          </w:p>
        </w:tc>
        <w:tc>
          <w:tcPr>
            <w:vAlign w:val="center"/>
          </w:tcPr>
          <w:p>
            <w:pPr>
              <w:jc w:val="center"/>
            </w:pPr>
            <w:r>
              <w:rPr>
                <w:color w:val="000000"/>
                <w:sz w:val="24"/>
              </w:rPr>
              <w:t>13,101,230.39</w:t>
            </w:r>
          </w:p>
        </w:tc>
        <w:tc>
          <w:tcPr>
            <w:vAlign w:val="center"/>
          </w:tcPr>
          <w:p>
            <w:pPr>
              <w:jc w:val="center"/>
            </w:pPr>
            <w:r>
              <w:rPr>
                <w:color w:val="000000"/>
                <w:sz w:val="24"/>
              </w:rPr>
              <w:t>5.25</w:t>
            </w:r>
          </w:p>
        </w:tc>
      </w:tr>
      <w:tr>
        <w:tc>
          <w:tcPr>
            <w:vAlign w:val="center"/>
          </w:tcPr>
          <w:p>
            <w:pPr>
              <w:jc w:val="center"/>
            </w:pPr>
            <w:r>
              <w:rPr>
                <w:color w:val="000000"/>
                <w:sz w:val="24"/>
              </w:rPr>
              <w:t>原材料</w:t>
            </w:r>
          </w:p>
        </w:tc>
        <w:tc>
          <w:tcPr>
            <w:vAlign w:val="center"/>
          </w:tcPr>
          <w:p>
            <w:pPr>
              <w:jc w:val="center"/>
            </w:pPr>
            <w:r>
              <w:rPr>
                <w:color w:val="000000"/>
                <w:sz w:val="24"/>
              </w:rPr>
              <w:t>1,390,250.56</w:t>
            </w:r>
          </w:p>
        </w:tc>
        <w:tc>
          <w:tcPr>
            <w:vAlign w:val="center"/>
          </w:tcPr>
          <w:p>
            <w:pPr>
              <w:jc w:val="center"/>
            </w:pPr>
            <w:r>
              <w:rPr>
                <w:color w:val="000000"/>
                <w:sz w:val="24"/>
              </w:rPr>
              <w:t>0.56</w:t>
            </w:r>
          </w:p>
        </w:tc>
      </w:tr>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合计</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40,289,944.95</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16.14</w:t>
            </w:r>
          </w:p>
        </w:tc>
      </w:tr>
    </w:tbl>
    <w:p w:rsidP="00F51C4E" w:rsidR="00F51C4E" w:rsidRDefault="00F51C4E">
      <w:pPr>
        <w:spacing w:before="29" w:line="360" w:lineRule="auto"/>
        <w:ind w:left="17"/>
        <w:rPr>
          <w:color w:val="000000"/>
          <w:sz w:val="24"/>
        </w:rPr>
      </w:pPr>
      <w:r w:rsidRPr="00FF0BBF">
        <w:rPr>
          <w:color w:val="000000"/>
          <w:sz w:val="24"/>
        </w:rPr>
        <w:t>注：以上分类采用全球行业分类标准（GICS）。</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00700.HK</w:t>
            </w:r>
          </w:p>
        </w:tc>
        <w:tc>
          <w:tcPr>
            <w:vAlign w:val="center"/>
          </w:tcPr>
          <w:p>
            <w:pPr>
              <w:jc w:val="center"/>
            </w:pPr>
            <w:r>
              <w:rPr>
                <w:color w:val="000000"/>
                <w:sz w:val="24"/>
                <w:szCs w:val="24"/>
              </w:rPr>
              <w:t>腾讯控股</w:t>
            </w:r>
          </w:p>
        </w:tc>
        <w:tc>
          <w:tcPr>
            <w:vAlign w:val="center"/>
          </w:tcPr>
          <w:p>
            <w:pPr>
              <w:jc w:val="right"/>
            </w:pPr>
            <w:r>
              <w:rPr>
                <w:color w:val="000000"/>
                <w:sz w:val="24"/>
                <w:szCs w:val="24"/>
              </w:rPr>
              <w:t>40,000</w:t>
            </w:r>
          </w:p>
        </w:tc>
        <w:tc>
          <w:tcPr>
            <w:vAlign w:val="center"/>
          </w:tcPr>
          <w:p>
            <w:pPr>
              <w:jc w:val="right"/>
            </w:pPr>
            <w:r>
              <w:rPr>
                <w:color w:val="000000"/>
                <w:sz w:val="24"/>
                <w:szCs w:val="24"/>
              </w:rPr>
              <w:t>13,458,198.72</w:t>
            </w:r>
          </w:p>
        </w:tc>
        <w:tc>
          <w:tcPr>
            <w:vAlign w:val="center"/>
          </w:tcPr>
          <w:p>
            <w:pPr>
              <w:jc w:val="right"/>
            </w:pPr>
            <w:r>
              <w:rPr>
                <w:color w:val="000000"/>
                <w:sz w:val="24"/>
                <w:szCs w:val="24"/>
              </w:rPr>
              <w:t>5.39</w:t>
            </w:r>
          </w:p>
        </w:tc>
      </w:tr>
      <w:tr>
        <w:tc>
          <w:tcPr>
            <w:vAlign w:val="center"/>
          </w:tcPr>
          <w:p>
            <w:pPr>
              <w:jc w:val="center"/>
            </w:pPr>
            <w:r>
              <w:rPr>
                <w:color w:val="000000"/>
                <w:sz w:val="24"/>
                <w:szCs w:val="24"/>
              </w:rPr>
              <w:t>2</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800,000</w:t>
            </w:r>
          </w:p>
        </w:tc>
        <w:tc>
          <w:tcPr>
            <w:vAlign w:val="center"/>
          </w:tcPr>
          <w:p>
            <w:pPr>
              <w:jc w:val="right"/>
            </w:pPr>
            <w:r>
              <w:rPr>
                <w:color w:val="000000"/>
                <w:sz w:val="24"/>
                <w:szCs w:val="24"/>
              </w:rPr>
              <w:t>11,440,000.00</w:t>
            </w:r>
          </w:p>
        </w:tc>
        <w:tc>
          <w:tcPr>
            <w:vAlign w:val="center"/>
          </w:tcPr>
          <w:p>
            <w:pPr>
              <w:jc w:val="right"/>
            </w:pPr>
            <w:r>
              <w:rPr>
                <w:color w:val="000000"/>
                <w:sz w:val="24"/>
                <w:szCs w:val="24"/>
              </w:rPr>
              <w:t>4.58</w:t>
            </w:r>
          </w:p>
        </w:tc>
      </w:tr>
      <w:tr>
        <w:tc>
          <w:tcPr>
            <w:vAlign w:val="center"/>
          </w:tcPr>
          <w:p>
            <w:pPr>
              <w:jc w:val="center"/>
            </w:pPr>
            <w:r>
              <w:rPr>
                <w:color w:val="000000"/>
                <w:sz w:val="24"/>
                <w:szCs w:val="24"/>
              </w:rPr>
              <w:t>3</w:t>
            </w:r>
          </w:p>
        </w:tc>
        <w:tc>
          <w:tcPr>
            <w:vAlign w:val="center"/>
          </w:tcPr>
          <w:p>
            <w:pPr>
              <w:jc w:val="center"/>
            </w:pPr>
            <w:r>
              <w:rPr>
                <w:color w:val="000000"/>
                <w:sz w:val="24"/>
                <w:szCs w:val="24"/>
              </w:rPr>
              <w:t>300014</w:t>
            </w:r>
          </w:p>
        </w:tc>
        <w:tc>
          <w:tcPr>
            <w:vAlign w:val="center"/>
          </w:tcPr>
          <w:p>
            <w:pPr>
              <w:jc w:val="center"/>
            </w:pPr>
            <w:r>
              <w:rPr>
                <w:color w:val="000000"/>
                <w:sz w:val="24"/>
                <w:szCs w:val="24"/>
              </w:rPr>
              <w:t>亿纬锂能</w:t>
            </w:r>
          </w:p>
        </w:tc>
        <w:tc>
          <w:tcPr>
            <w:vAlign w:val="center"/>
          </w:tcPr>
          <w:p>
            <w:pPr>
              <w:jc w:val="right"/>
            </w:pPr>
            <w:r>
              <w:rPr>
                <w:color w:val="000000"/>
                <w:sz w:val="24"/>
                <w:szCs w:val="24"/>
              </w:rPr>
              <w:t>200,000</w:t>
            </w:r>
          </w:p>
        </w:tc>
        <w:tc>
          <w:tcPr>
            <w:vAlign w:val="center"/>
          </w:tcPr>
          <w:p>
            <w:pPr>
              <w:jc w:val="right"/>
            </w:pPr>
            <w:r>
              <w:rPr>
                <w:color w:val="000000"/>
                <w:sz w:val="24"/>
                <w:szCs w:val="24"/>
              </w:rPr>
              <w:t>10,032,000.00</w:t>
            </w:r>
          </w:p>
        </w:tc>
        <w:tc>
          <w:tcPr>
            <w:vAlign w:val="center"/>
          </w:tcPr>
          <w:p>
            <w:pPr>
              <w:jc w:val="right"/>
            </w:pPr>
            <w:r>
              <w:rPr>
                <w:color w:val="000000"/>
                <w:sz w:val="24"/>
                <w:szCs w:val="24"/>
              </w:rPr>
              <w:t>4.02</w:t>
            </w:r>
          </w:p>
        </w:tc>
      </w:tr>
      <w:tr>
        <w:tc>
          <w:tcPr>
            <w:vAlign w:val="center"/>
          </w:tcPr>
          <w:p>
            <w:pPr>
              <w:jc w:val="center"/>
            </w:pPr>
            <w:r>
              <w:rPr>
                <w:color w:val="000000"/>
                <w:sz w:val="24"/>
                <w:szCs w:val="24"/>
              </w:rPr>
              <w:t>4</w:t>
            </w:r>
          </w:p>
        </w:tc>
        <w:tc>
          <w:tcPr>
            <w:vAlign w:val="center"/>
          </w:tcPr>
          <w:p>
            <w:pPr>
              <w:jc w:val="center"/>
            </w:pPr>
            <w:r>
              <w:rPr>
                <w:color w:val="000000"/>
                <w:sz w:val="24"/>
                <w:szCs w:val="24"/>
              </w:rPr>
              <w:t>300078</w:t>
            </w:r>
          </w:p>
        </w:tc>
        <w:tc>
          <w:tcPr>
            <w:vAlign w:val="center"/>
          </w:tcPr>
          <w:p>
            <w:pPr>
              <w:jc w:val="center"/>
            </w:pPr>
            <w:r>
              <w:rPr>
                <w:color w:val="000000"/>
                <w:sz w:val="24"/>
                <w:szCs w:val="24"/>
              </w:rPr>
              <w:t>思创医惠</w:t>
            </w:r>
          </w:p>
        </w:tc>
        <w:tc>
          <w:tcPr>
            <w:vAlign w:val="center"/>
          </w:tcPr>
          <w:p>
            <w:pPr>
              <w:jc w:val="right"/>
            </w:pPr>
            <w:r>
              <w:rPr>
                <w:color w:val="000000"/>
                <w:sz w:val="24"/>
                <w:szCs w:val="24"/>
              </w:rPr>
              <w:t>720,000</w:t>
            </w:r>
          </w:p>
        </w:tc>
        <w:tc>
          <w:tcPr>
            <w:vAlign w:val="center"/>
          </w:tcPr>
          <w:p>
            <w:pPr>
              <w:jc w:val="right"/>
            </w:pPr>
            <w:r>
              <w:rPr>
                <w:color w:val="000000"/>
                <w:sz w:val="24"/>
                <w:szCs w:val="24"/>
              </w:rPr>
              <w:t>8,841,600.00</w:t>
            </w:r>
          </w:p>
        </w:tc>
        <w:tc>
          <w:tcPr>
            <w:vAlign w:val="center"/>
          </w:tcPr>
          <w:p>
            <w:pPr>
              <w:jc w:val="right"/>
            </w:pPr>
            <w:r>
              <w:rPr>
                <w:color w:val="000000"/>
                <w:sz w:val="24"/>
                <w:szCs w:val="24"/>
              </w:rPr>
              <w:t>3.54</w:t>
            </w:r>
          </w:p>
        </w:tc>
      </w:tr>
      <w:tr>
        <w:tc>
          <w:tcPr>
            <w:vAlign w:val="center"/>
          </w:tcPr>
          <w:p>
            <w:pPr>
              <w:jc w:val="center"/>
            </w:pPr>
            <w:r>
              <w:rPr>
                <w:color w:val="000000"/>
                <w:sz w:val="24"/>
                <w:szCs w:val="24"/>
              </w:rPr>
              <w:t>5</w:t>
            </w:r>
          </w:p>
        </w:tc>
        <w:tc>
          <w:tcPr>
            <w:vAlign w:val="center"/>
          </w:tcPr>
          <w:p>
            <w:pPr>
              <w:jc w:val="center"/>
            </w:pPr>
            <w:r>
              <w:rPr>
                <w:color w:val="000000"/>
                <w:sz w:val="24"/>
                <w:szCs w:val="24"/>
              </w:rPr>
              <w:t>01810.HK</w:t>
            </w:r>
          </w:p>
        </w:tc>
        <w:tc>
          <w:tcPr>
            <w:vAlign w:val="center"/>
          </w:tcPr>
          <w:p>
            <w:pPr>
              <w:jc w:val="center"/>
            </w:pPr>
            <w:r>
              <w:rPr>
                <w:color w:val="000000"/>
                <w:sz w:val="24"/>
                <w:szCs w:val="24"/>
              </w:rPr>
              <w:t>小米集团－Ｗ</w:t>
            </w:r>
          </w:p>
        </w:tc>
        <w:tc>
          <w:tcPr>
            <w:vAlign w:val="center"/>
          </w:tcPr>
          <w:p>
            <w:pPr>
              <w:jc w:val="right"/>
            </w:pPr>
            <w:r>
              <w:rPr>
                <w:color w:val="000000"/>
                <w:sz w:val="24"/>
                <w:szCs w:val="24"/>
              </w:rPr>
              <w:t>900,000</w:t>
            </w:r>
          </w:p>
        </w:tc>
        <w:tc>
          <w:tcPr>
            <w:vAlign w:val="center"/>
          </w:tcPr>
          <w:p>
            <w:pPr>
              <w:jc w:val="right"/>
            </w:pPr>
            <w:r>
              <w:rPr>
                <w:color w:val="000000"/>
                <w:sz w:val="24"/>
                <w:szCs w:val="24"/>
              </w:rPr>
              <w:t>8,690,857.56</w:t>
            </w:r>
          </w:p>
        </w:tc>
        <w:tc>
          <w:tcPr>
            <w:vAlign w:val="center"/>
          </w:tcPr>
          <w:p>
            <w:pPr>
              <w:jc w:val="right"/>
            </w:pPr>
            <w:r>
              <w:rPr>
                <w:color w:val="000000"/>
                <w:sz w:val="24"/>
                <w:szCs w:val="24"/>
              </w:rPr>
              <w:t>3.48</w:t>
            </w:r>
          </w:p>
        </w:tc>
      </w:tr>
      <w:tr>
        <w:tc>
          <w:tcPr>
            <w:vAlign w:val="center"/>
          </w:tcPr>
          <w:p>
            <w:pPr>
              <w:jc w:val="center"/>
            </w:pPr>
            <w:r>
              <w:rPr>
                <w:color w:val="000000"/>
                <w:sz w:val="24"/>
                <w:szCs w:val="24"/>
              </w:rPr>
              <w:t>6</w:t>
            </w:r>
          </w:p>
        </w:tc>
        <w:tc>
          <w:tcPr>
            <w:vAlign w:val="center"/>
          </w:tcPr>
          <w:p>
            <w:pPr>
              <w:jc w:val="center"/>
            </w:pPr>
            <w:r>
              <w:rPr>
                <w:color w:val="000000"/>
                <w:sz w:val="24"/>
                <w:szCs w:val="24"/>
              </w:rPr>
              <w:t>03690.HK</w:t>
            </w:r>
          </w:p>
        </w:tc>
        <w:tc>
          <w:tcPr>
            <w:vAlign w:val="center"/>
          </w:tcPr>
          <w:p>
            <w:pPr>
              <w:jc w:val="center"/>
            </w:pPr>
            <w:r>
              <w:rPr>
                <w:color w:val="000000"/>
                <w:sz w:val="24"/>
                <w:szCs w:val="24"/>
              </w:rPr>
              <w:t>美团点评－Ｗ</w:t>
            </w:r>
          </w:p>
        </w:tc>
        <w:tc>
          <w:tcPr>
            <w:vAlign w:val="center"/>
          </w:tcPr>
          <w:p>
            <w:pPr>
              <w:jc w:val="right"/>
            </w:pPr>
            <w:r>
              <w:rPr>
                <w:color w:val="000000"/>
                <w:sz w:val="24"/>
                <w:szCs w:val="24"/>
              </w:rPr>
              <w:t>90,000</w:t>
            </w:r>
          </w:p>
        </w:tc>
        <w:tc>
          <w:tcPr>
            <w:vAlign w:val="center"/>
          </w:tcPr>
          <w:p>
            <w:pPr>
              <w:jc w:val="right"/>
            </w:pPr>
            <w:r>
              <w:rPr>
                <w:color w:val="000000"/>
                <w:sz w:val="24"/>
                <w:szCs w:val="24"/>
              </w:rPr>
              <w:t>8,215,198.38</w:t>
            </w:r>
          </w:p>
        </w:tc>
        <w:tc>
          <w:tcPr>
            <w:vAlign w:val="center"/>
          </w:tcPr>
          <w:p>
            <w:pPr>
              <w:jc w:val="right"/>
            </w:pPr>
            <w:r>
              <w:rPr>
                <w:color w:val="000000"/>
                <w:sz w:val="24"/>
                <w:szCs w:val="24"/>
              </w:rPr>
              <w:t>3.29</w:t>
            </w:r>
          </w:p>
        </w:tc>
      </w:tr>
      <w:tr>
        <w:tc>
          <w:tcPr>
            <w:vAlign w:val="center"/>
          </w:tcPr>
          <w:p>
            <w:pPr>
              <w:jc w:val="center"/>
            </w:pPr>
            <w:r>
              <w:rPr>
                <w:color w:val="000000"/>
                <w:sz w:val="24"/>
                <w:szCs w:val="24"/>
              </w:rPr>
              <w:t>7</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450,000</w:t>
            </w:r>
          </w:p>
        </w:tc>
        <w:tc>
          <w:tcPr>
            <w:vAlign w:val="center"/>
          </w:tcPr>
          <w:p>
            <w:pPr>
              <w:jc w:val="right"/>
            </w:pPr>
            <w:r>
              <w:rPr>
                <w:color w:val="000000"/>
                <w:sz w:val="24"/>
                <w:szCs w:val="24"/>
              </w:rPr>
              <w:t>8,046,000.00</w:t>
            </w:r>
          </w:p>
        </w:tc>
        <w:tc>
          <w:tcPr>
            <w:vAlign w:val="center"/>
          </w:tcPr>
          <w:p>
            <w:pPr>
              <w:jc w:val="right"/>
            </w:pPr>
            <w:r>
              <w:rPr>
                <w:color w:val="000000"/>
                <w:sz w:val="24"/>
                <w:szCs w:val="24"/>
              </w:rPr>
              <w:t>3.22</w:t>
            </w:r>
          </w:p>
        </w:tc>
      </w:tr>
      <w:tr>
        <w:tc>
          <w:tcPr>
            <w:vAlign w:val="center"/>
          </w:tcPr>
          <w:p>
            <w:pPr>
              <w:jc w:val="center"/>
            </w:pPr>
            <w:r>
              <w:rPr>
                <w:color w:val="000000"/>
                <w:sz w:val="24"/>
                <w:szCs w:val="24"/>
              </w:rPr>
              <w:t>8</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150,000</w:t>
            </w:r>
          </w:p>
        </w:tc>
        <w:tc>
          <w:tcPr>
            <w:vAlign w:val="center"/>
          </w:tcPr>
          <w:p>
            <w:pPr>
              <w:jc w:val="right"/>
            </w:pPr>
            <w:r>
              <w:rPr>
                <w:color w:val="000000"/>
                <w:sz w:val="24"/>
                <w:szCs w:val="24"/>
              </w:rPr>
              <w:t>6,967,500.00</w:t>
            </w:r>
          </w:p>
        </w:tc>
        <w:tc>
          <w:tcPr>
            <w:vAlign w:val="center"/>
          </w:tcPr>
          <w:p>
            <w:pPr>
              <w:jc w:val="right"/>
            </w:pPr>
            <w:r>
              <w:rPr>
                <w:color w:val="000000"/>
                <w:sz w:val="24"/>
                <w:szCs w:val="24"/>
              </w:rPr>
              <w:t>2.79</w:t>
            </w:r>
          </w:p>
        </w:tc>
      </w:tr>
      <w:tr>
        <w:tc>
          <w:tcPr>
            <w:vAlign w:val="center"/>
          </w:tcPr>
          <w:p>
            <w:pPr>
              <w:jc w:val="center"/>
            </w:pPr>
            <w:r>
              <w:rPr>
                <w:color w:val="000000"/>
                <w:sz w:val="24"/>
                <w:szCs w:val="24"/>
              </w:rPr>
              <w:t>9</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250,000</w:t>
            </w:r>
          </w:p>
        </w:tc>
        <w:tc>
          <w:tcPr>
            <w:vAlign w:val="center"/>
          </w:tcPr>
          <w:p>
            <w:pPr>
              <w:jc w:val="right"/>
            </w:pPr>
            <w:r>
              <w:rPr>
                <w:color w:val="000000"/>
                <w:sz w:val="24"/>
                <w:szCs w:val="24"/>
              </w:rPr>
              <w:t>6,910,000.00</w:t>
            </w:r>
          </w:p>
        </w:tc>
        <w:tc>
          <w:tcPr>
            <w:vAlign w:val="center"/>
          </w:tcPr>
          <w:p>
            <w:pPr>
              <w:jc w:val="right"/>
            </w:pPr>
            <w:r>
              <w:rPr>
                <w:color w:val="000000"/>
                <w:sz w:val="24"/>
                <w:szCs w:val="24"/>
              </w:rPr>
              <w:t>2.77</w:t>
            </w:r>
          </w:p>
        </w:tc>
      </w:tr>
      <w:tr>
        <w:tc>
          <w:tcPr>
            <w:vAlign w:val="center"/>
          </w:tcPr>
          <w:p>
            <w:pPr>
              <w:jc w:val="center"/>
            </w:pPr>
            <w:r>
              <w:rPr>
                <w:color w:val="000000"/>
                <w:sz w:val="24"/>
                <w:szCs w:val="24"/>
              </w:rPr>
              <w:t>10</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400,000</w:t>
            </w:r>
          </w:p>
        </w:tc>
        <w:tc>
          <w:tcPr>
            <w:vAlign w:val="center"/>
          </w:tcPr>
          <w:p>
            <w:pPr>
              <w:jc w:val="right"/>
            </w:pPr>
            <w:r>
              <w:rPr>
                <w:color w:val="000000"/>
                <w:sz w:val="24"/>
                <w:szCs w:val="24"/>
              </w:rPr>
              <w:t>6,840,000.00</w:t>
            </w:r>
          </w:p>
        </w:tc>
        <w:tc>
          <w:tcPr>
            <w:vAlign w:val="center"/>
          </w:tcPr>
          <w:p>
            <w:pPr>
              <w:jc w:val="right"/>
            </w:pPr>
            <w:r>
              <w:rPr>
                <w:color w:val="000000"/>
                <w:sz w:val="24"/>
                <w:szCs w:val="24"/>
              </w:rPr>
              <w:t>2.74</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500,300.00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0.20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312,400.00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0.13</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812,700.00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0.33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019611</w:t>
            </w:r>
          </w:p>
        </w:tc>
        <w:tc>
          <w:tcPr>
            <w:vAlign w:val="center"/>
          </w:tcPr>
          <w:p>
            <w:pPr>
              <w:jc w:val="center"/>
            </w:pPr>
            <w:r>
              <w:rPr>
                <w:color w:val="000000"/>
                <w:sz w:val="24"/>
                <w:szCs w:val="24"/>
              </w:rPr>
              <w:t>19国债01</w:t>
            </w:r>
          </w:p>
        </w:tc>
        <w:tc>
          <w:tcPr>
            <w:vAlign w:val="center"/>
          </w:tcPr>
          <w:p>
            <w:pPr>
              <w:jc w:val="right"/>
            </w:pPr>
            <w:r>
              <w:rPr>
                <w:color w:val="000000"/>
                <w:sz w:val="24"/>
                <w:szCs w:val="24"/>
              </w:rPr>
              <w:t>5,000</w:t>
            </w:r>
          </w:p>
        </w:tc>
        <w:tc>
          <w:tcPr>
            <w:vAlign w:val="center"/>
          </w:tcPr>
          <w:p>
            <w:pPr>
              <w:jc w:val="right"/>
            </w:pPr>
            <w:r>
              <w:rPr>
                <w:color w:val="000000"/>
                <w:sz w:val="24"/>
                <w:szCs w:val="24"/>
              </w:rPr>
              <w:t>500,300.00</w:t>
            </w:r>
          </w:p>
        </w:tc>
        <w:tc>
          <w:tcPr>
            <w:vAlign w:val="center"/>
          </w:tcPr>
          <w:p>
            <w:pPr>
              <w:jc w:val="right"/>
            </w:pPr>
            <w:r>
              <w:rPr>
                <w:color w:val="000000"/>
                <w:sz w:val="24"/>
                <w:szCs w:val="24"/>
              </w:rPr>
              <w:t>0.20</w:t>
            </w:r>
          </w:p>
        </w:tc>
      </w:tr>
      <w:tr>
        <w:tc>
          <w:tcPr>
            <w:vAlign w:val="center"/>
          </w:tcPr>
          <w:p>
            <w:pPr>
              <w:jc w:val="center"/>
            </w:pPr>
            <w:r>
              <w:rPr>
                <w:color w:val="000000"/>
                <w:sz w:val="24"/>
                <w:szCs w:val="24"/>
              </w:rPr>
              <w:t>2</w:t>
            </w:r>
          </w:p>
        </w:tc>
        <w:tc>
          <w:tcPr>
            <w:vAlign w:val="center"/>
          </w:tcPr>
          <w:p>
            <w:pPr>
              <w:jc w:val="center"/>
            </w:pPr>
            <w:r>
              <w:rPr>
                <w:color w:val="000000"/>
                <w:sz w:val="24"/>
                <w:szCs w:val="24"/>
              </w:rPr>
              <w:t>128084</w:t>
            </w:r>
          </w:p>
        </w:tc>
        <w:tc>
          <w:tcPr>
            <w:vAlign w:val="center"/>
          </w:tcPr>
          <w:p>
            <w:pPr>
              <w:jc w:val="center"/>
            </w:pPr>
            <w:r>
              <w:rPr>
                <w:color w:val="000000"/>
                <w:sz w:val="24"/>
                <w:szCs w:val="24"/>
              </w:rPr>
              <w:t>木森转债</w:t>
            </w:r>
          </w:p>
        </w:tc>
        <w:tc>
          <w:tcPr>
            <w:vAlign w:val="center"/>
          </w:tcPr>
          <w:p>
            <w:pPr>
              <w:jc w:val="right"/>
            </w:pPr>
            <w:r>
              <w:rPr>
                <w:color w:val="000000"/>
                <w:sz w:val="24"/>
                <w:szCs w:val="24"/>
              </w:rPr>
              <w:t>3,124</w:t>
            </w:r>
          </w:p>
        </w:tc>
        <w:tc>
          <w:tcPr>
            <w:vAlign w:val="center"/>
          </w:tcPr>
          <w:p>
            <w:pPr>
              <w:jc w:val="right"/>
            </w:pPr>
            <w:r>
              <w:rPr>
                <w:color w:val="000000"/>
                <w:sz w:val="24"/>
                <w:szCs w:val="24"/>
              </w:rPr>
              <w:t>312,400.00</w:t>
            </w:r>
          </w:p>
        </w:tc>
        <w:tc>
          <w:tcPr>
            <w:vAlign w:val="center"/>
          </w:tcPr>
          <w:p>
            <w:pPr>
              <w:jc w:val="right"/>
            </w:pPr>
            <w:r>
              <w:rPr>
                <w:color w:val="000000"/>
                <w:sz w:val="24"/>
                <w:szCs w:val="24"/>
              </w:rPr>
              <w:t>0.13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917,810.03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7,129,874.22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14,243.43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232,001.99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8,293,929.67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156,040,930.87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33,687,023.13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24,015,236.77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165,712,717.23</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1、中国证监会准予交银施罗德创新成长混合型证券投资基金募集注册的文件；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2、《交银施罗德创新成长混合型证券投资基金基金合同》；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3、《交银施罗德创新成长混合型证券投资基金招募说明书》；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4、《交银施罗德创新成长混合型证券投资基金托管协议》；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5、关于申请募集注册交银施罗德创新成长混合型证券投资基金的法律意见书；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8、报告期内交银施罗德创新成长混合型证券投资基金在指定报刊上各项公告的原稿。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交银施罗德创新成长混合型证券投资基金2019年第4季度报告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