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交银施罗德理财21天债券型证券投资基金</w:t>
      </w:r>
    </w:p>
    <w:p w:rsidP="00281564" w:rsidR="00B60E27" w:rsidRDefault="00B60E27" w:rsidRPr="001E1B20">
      <w:pPr>
        <w:spacing w:before="29" w:line="288" w:lineRule="auto"/>
        <w:jc w:val="center"/>
        <w:rPr>
          <w:b/>
          <w:sz w:val="36"/>
          <w:szCs w:val="36"/>
        </w:rPr>
      </w:pPr>
      <w:r w:rsidRPr="001E1B20">
        <w:rPr>
          <w:b/>
          <w:sz w:val="36"/>
          <w:szCs w:val="36"/>
        </w:rPr>
        <w:t>2019年第4季度报告</w:t>
      </w:r>
    </w:p>
    <w:p w:rsidP="00281564" w:rsidR="002B45A4" w:rsidRDefault="00D87D00" w:rsidRPr="001E1B20">
      <w:pPr>
        <w:spacing w:before="29" w:line="288" w:lineRule="auto"/>
        <w:jc w:val="center"/>
        <w:rPr>
          <w:b/>
          <w:sz w:val="36"/>
          <w:szCs w:val="36"/>
        </w:rPr>
      </w:pPr>
      <w:r w:rsidRPr="001E1B20">
        <w:rPr>
          <w:b/>
          <w:sz w:val="36"/>
          <w:szCs w:val="36"/>
        </w:rPr>
        <w:t>2019年12月31日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中国农业银行股份有限公司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二〇二〇年一月二十一日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本报告期自2019年10月1日起至12月31日止。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交银理财21天债券</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2012年11月5日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14,468,741,072.69</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本基金属于债券型证券投资基金，长期风险收益水平低于股票型基金、混合型基金，高于货币市场型证券投资基金。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交银理财21天债券A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交银理财21天债券B</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519716</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519717</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8,442,470.97</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14,460,298,601.72</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(2019年10月1日-2019年12月31日)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交银理财21天债券A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交银理财21天债券B</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55,938.11</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106,776,249.81</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55,938.11</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106,776,249.81</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8,442,470.97</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14,460,298,601.72</w:t>
            </w:r>
          </w:p>
        </w:tc>
      </w:tr>
    </w:tbl>
    <w:p>
      <w:pPr>
        <w:autoSpaceDE w:val="0"/>
        <w:autoSpaceDN w:val="0"/>
        <w:adjustRightInd w:val="0"/>
        <w:spacing w:before="29" w:line="288" w:lineRule="auto"/>
        <w:jc w:val="left"/>
        <w:rPr>
          <w:color w:val="000000"/>
          <w:sz w:val="24"/>
        </w:rPr>
      </w:pPr>
      <w:r>
        <w:rPr>
          <w:color w:val="000000"/>
          <w:sz w:val="24"/>
        </w:rPr>
        <w:t>注：1、自2013年1月9日起，本基金实行销售服务费分类收费方式，分设两类基金份额：A类基金份额和B类基金份额。A类基金份额与B类基金份额的管理费、托管费相同，A类基金份额按照0.30%的年费率计提销售服务费，B类基金份额按照0.01%的年费率计提销售服务费。在计算主要财务指标时，A类基金份额与分类前基金连续计算，B类基金份额按新设基金计算；</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交银理财21天债券A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0.6619%</w:t>
            </w:r>
          </w:p>
        </w:tc>
        <w:tc>
          <w:tcPr>
            <w:vAlign w:val="center"/>
          </w:tcPr>
          <w:p>
            <w:pPr>
              <w:jc w:val="center"/>
            </w:pPr>
            <w:r>
              <w:rPr>
                <w:rFonts w:ascii="Times New Roman" w:hAnsi="Times New Roman"/>
                <w:color w:val="000000"/>
              </w:rPr>
              <w:t>0.0008%</w:t>
            </w:r>
          </w:p>
        </w:tc>
        <w:tc>
          <w:tcPr>
            <w:vAlign w:val="center"/>
          </w:tcPr>
          <w:p>
            <w:pPr>
              <w:jc w:val="center"/>
            </w:pPr>
            <w:r>
              <w:rPr>
                <w:rFonts w:ascii="Times New Roman" w:hAnsi="Times New Roman"/>
                <w:color w:val="000000"/>
              </w:rPr>
              <w:t>0.3403%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0.3216%</w:t>
            </w:r>
          </w:p>
        </w:tc>
        <w:tc>
          <w:tcPr>
            <w:vAlign w:val="center"/>
          </w:tcPr>
          <w:p>
            <w:pPr>
              <w:jc w:val="center"/>
            </w:pPr>
            <w:r>
              <w:rPr>
                <w:rFonts w:ascii="Times New Roman" w:hAnsi="Times New Roman"/>
                <w:color w:val="000000"/>
              </w:rPr>
              <w:t>0.0008%</w:t>
            </w:r>
          </w:p>
        </w:tc>
      </w:tr>
    </w:tbl>
    <w:p>
      <w:pPr>
        <w:autoSpaceDE w:val="0"/>
        <w:autoSpaceDN w:val="0"/>
        <w:adjustRightInd w:val="0"/>
        <w:spacing w:before="29" w:line="288" w:lineRule="auto"/>
        <w:jc w:val="left"/>
        <w:rPr>
          <w:color w:val="000000"/>
          <w:sz w:val="24"/>
        </w:rPr>
      </w:pPr>
      <w:r>
        <w:rPr>
          <w:color w:val="000000"/>
          <w:sz w:val="24"/>
        </w:rPr>
        <w:t>注：1、本表净值收益率数据所取的基金运作周期为基金合同生效日为起始日的运作周期。</w:t>
      </w:r>
    </w:p>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 xml:space="preserve">    2、本基金每日计算当日收益并分配，并在运作期期末集中支付。</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交银理财21天债券B</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0.7354%</w:t>
            </w:r>
          </w:p>
        </w:tc>
        <w:tc>
          <w:tcPr>
            <w:vAlign w:val="center"/>
          </w:tcPr>
          <w:p>
            <w:pPr>
              <w:jc w:val="center"/>
            </w:pPr>
            <w:r>
              <w:rPr>
                <w:rFonts w:ascii="Times New Roman" w:hAnsi="Times New Roman"/>
                <w:color w:val="000000"/>
              </w:rPr>
              <w:t>0.0008%</w:t>
            </w:r>
          </w:p>
        </w:tc>
        <w:tc>
          <w:tcPr>
            <w:vAlign w:val="center"/>
          </w:tcPr>
          <w:p>
            <w:pPr>
              <w:jc w:val="center"/>
            </w:pPr>
            <w:r>
              <w:rPr>
                <w:rFonts w:ascii="Times New Roman" w:hAnsi="Times New Roman"/>
                <w:color w:val="000000"/>
              </w:rPr>
              <w:t>0.3403%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0.3951%</w:t>
            </w:r>
          </w:p>
        </w:tc>
        <w:tc>
          <w:tcPr>
            <w:vAlign w:val="center"/>
          </w:tcPr>
          <w:p>
            <w:pPr>
              <w:jc w:val="center"/>
            </w:pPr>
            <w:r>
              <w:rPr>
                <w:rFonts w:ascii="Times New Roman" w:hAnsi="Times New Roman"/>
                <w:color w:val="000000"/>
              </w:rPr>
              <w:t>0.0008%</w:t>
            </w:r>
          </w:p>
        </w:tc>
      </w:tr>
    </w:tbl>
    <w:p>
      <w:pPr>
        <w:autoSpaceDE w:val="0"/>
        <w:autoSpaceDN w:val="0"/>
        <w:adjustRightInd w:val="0"/>
        <w:spacing w:before="29" w:line="288" w:lineRule="auto"/>
        <w:jc w:val="left"/>
        <w:rPr>
          <w:color w:val="000000"/>
          <w:sz w:val="24"/>
        </w:rPr>
      </w:pPr>
      <w:r>
        <w:rPr>
          <w:color w:val="000000"/>
          <w:sz w:val="24"/>
        </w:rPr>
        <w:t>注：1、本表净值收益率数据所取的基金运作周期为基金分类日为起始日的运作周期。</w:t>
      </w:r>
    </w:p>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 xml:space="preserve">    2、本基金每日计算当日收益并分配，并在运作期期末集中支付。</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交银施罗德理财21天债券型证券投资基金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2012年11月5日</w:t>
      </w:r>
      <w:r w:rsidR="00A7219D" w:rsidRPr="000E4C40">
        <w:rPr>
          <w:rFonts w:hAnsi="宋体"/>
          <w:color w:val="000000"/>
          <w:kern w:val="0"/>
          <w:sz w:val="24"/>
        </w:rPr>
        <w:t>至</w:t>
      </w:r>
      <w:r w:rsidR="00A7219D" w:rsidRPr="000E4C40">
        <w:rPr>
          <w:color w:val="000000"/>
          <w:kern w:val="0"/>
          <w:sz w:val="24"/>
        </w:rPr>
        <w:t>2019年12月31日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交银理财21天债券A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注：图示日期为2012年11月5日至2019年12月31日。本基金建仓期为自基金合同生效日起的6个月。截至建仓期结束，本基金各项资产配置比例符合基金合同及招募说明书有关投资比例的约定。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交银理财21天债券B</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注：图示日期为2013年1月9日至2019年12月31日。本基金建仓期为自基金合同生效日起的6个月。截至建仓期结束，本基金各项资产配置比例符合基金合同及招募说明书有关投资比例的约定。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2015-05-27</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bl>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中美贸易谈判达成第一阶段协议，海外风险偏好回升，基本面数据略超预期，通胀持续走高。总体来说，基本面数据对债券市场都相对偏空，但债市表现出较强的韧性。长端利率总体呈震荡走势，十年国债收益率从3.14%小幅下行1bp到3.13%。由于资金面总体宽松、机构整体配置压力较大，相对来说确定性较强的中短端债券受到资金的追捧，收益率下行明显。期限利差走阔，收益率曲线明显陡峭化。</w:t>
      </w:r>
    </w:p>
    <w:p>
      <w:pPr>
        <w:spacing w:before="29" w:line="288" w:lineRule="auto"/>
        <w:ind w:firstLine="480" w:firstLineChars="200"/>
        <w:rPr>
          <w:color w:val="000000"/>
          <w:sz w:val="24"/>
        </w:rPr>
      </w:pPr>
      <w:r>
        <w:rPr>
          <w:color w:val="000000"/>
          <w:sz w:val="24"/>
        </w:rPr>
        <w:t>基金操作方面，本组合多投资于估值波动较小的银行存款存单与高等级短期信用债，组合整体流动性良好。年末时点货币市场工具收益率有一定幅度的上行，我们视组合流动性情况适当拉长久期，增配了部分高评级的同业存款存单、短期融资券等资产，提高了组合静态收益。</w:t>
      </w:r>
    </w:p>
    <w:p>
      <w:pPr>
        <w:spacing w:before="29" w:line="288" w:lineRule="auto"/>
        <w:ind w:firstLine="480" w:firstLineChars="200"/>
        <w:rPr>
          <w:color w:val="000000"/>
          <w:sz w:val="24"/>
        </w:rPr>
      </w:pPr>
      <w:r>
        <w:rPr>
          <w:color w:val="000000"/>
          <w:sz w:val="24"/>
        </w:rPr>
        <w:t>展望2020年一季度，我们认为在降成本环境下货币环境延续宽松，流动性总量将维持合理充裕。但我们将密切关注通胀是否会超预期上行从而带来货币政策的边际变化，也将继续观察银行理财子公司的发展以及类货币型理财产品对行业生态的影响。</w:t>
      </w:r>
    </w:p>
    <w:p w:rsidP="00281564" w:rsidR="00C4627A" w:rsidRDefault="00C4627A" w:rsidRPr="000E4C40">
      <w:pPr>
        <w:spacing w:before="29" w:line="288" w:lineRule="auto"/>
        <w:ind w:firstLine="480" w:firstLineChars="20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9,855,685,277.30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66.28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9,768,448,819.50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65.69</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87,236,457.80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0.59</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4,970,433,608.12</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33.43</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43,447,185.58</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0.29</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14,869,566,071.00</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5.61</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382,089,318.90</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2.64</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本基金合同约定：“本基金进入全国银行间同业市场进行债券回购的资金余额不得超过基金资产净值的40%”。本报告期内，本基金未发生超标情况。</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112</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113</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68</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本基金合同约定：“本基金投资组合的平均剩余期限在每个交易日均不得超过141天”。本报告期内，本基金未发生超标情况。</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6.85</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2.64</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3.93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46.58</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9.56</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35.56</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102.47</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2.64</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730,254,913.93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5.05</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730,254,913.93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5.05</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1,682,381,774.37</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11.63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40,455,754.00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0.28</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7,315,356,377.20</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50.56</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9,768,448,819.50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67.51</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190402</w:t>
            </w:r>
          </w:p>
        </w:tc>
        <w:tc>
          <w:tcPr>
            <w:vAlign w:val="center"/>
          </w:tcPr>
          <w:p>
            <w:pPr>
              <w:jc w:val="center"/>
            </w:pPr>
            <w:r>
              <w:rPr>
                <w:color w:val="000000"/>
                <w:sz w:val="24"/>
              </w:rPr>
              <w:t>19农发02</w:t>
            </w:r>
          </w:p>
        </w:tc>
        <w:tc>
          <w:tcPr>
            <w:vAlign w:val="center"/>
          </w:tcPr>
          <w:p>
            <w:pPr>
              <w:jc w:val="right"/>
            </w:pPr>
            <w:r>
              <w:rPr>
                <w:color w:val="000000"/>
                <w:sz w:val="24"/>
              </w:rPr>
              <w:t>3,100,000</w:t>
            </w:r>
          </w:p>
        </w:tc>
        <w:tc>
          <w:tcPr>
            <w:vAlign w:val="center"/>
          </w:tcPr>
          <w:p>
            <w:pPr>
              <w:jc w:val="right"/>
            </w:pPr>
            <w:r>
              <w:rPr>
                <w:color w:val="000000"/>
                <w:sz w:val="24"/>
              </w:rPr>
              <w:t>309,911,707.54</w:t>
            </w:r>
          </w:p>
        </w:tc>
        <w:tc>
          <w:tcPr>
            <w:vAlign w:val="center"/>
          </w:tcPr>
          <w:p>
            <w:pPr>
              <w:jc w:val="right"/>
            </w:pPr>
            <w:r>
              <w:rPr>
                <w:color w:val="000000"/>
                <w:sz w:val="24"/>
              </w:rPr>
              <w:t>2.14</w:t>
            </w:r>
          </w:p>
        </w:tc>
      </w:tr>
      <w:tr>
        <w:tc>
          <w:tcPr>
            <w:vAlign w:val="center"/>
          </w:tcPr>
          <w:p>
            <w:pPr>
              <w:jc w:val="center"/>
            </w:pPr>
            <w:r>
              <w:rPr>
                <w:color w:val="000000"/>
                <w:sz w:val="24"/>
              </w:rPr>
              <w:t>2</w:t>
            </w:r>
          </w:p>
        </w:tc>
        <w:tc>
          <w:tcPr>
            <w:vAlign w:val="center"/>
          </w:tcPr>
          <w:p>
            <w:pPr>
              <w:jc w:val="center"/>
            </w:pPr>
            <w:r>
              <w:rPr>
                <w:color w:val="000000"/>
                <w:sz w:val="24"/>
              </w:rPr>
              <w:t>011902758</w:t>
            </w:r>
          </w:p>
        </w:tc>
        <w:tc>
          <w:tcPr>
            <w:vAlign w:val="center"/>
          </w:tcPr>
          <w:p>
            <w:pPr>
              <w:jc w:val="center"/>
            </w:pPr>
            <w:r>
              <w:rPr>
                <w:color w:val="000000"/>
                <w:sz w:val="24"/>
              </w:rPr>
              <w:t>19邮政SCP004</w:t>
            </w:r>
          </w:p>
        </w:tc>
        <w:tc>
          <w:tcPr>
            <w:vAlign w:val="center"/>
          </w:tcPr>
          <w:p>
            <w:pPr>
              <w:jc w:val="right"/>
            </w:pPr>
            <w:r>
              <w:rPr>
                <w:color w:val="000000"/>
                <w:sz w:val="24"/>
              </w:rPr>
              <w:t>3,000,000</w:t>
            </w:r>
          </w:p>
        </w:tc>
        <w:tc>
          <w:tcPr>
            <w:vAlign w:val="center"/>
          </w:tcPr>
          <w:p>
            <w:pPr>
              <w:jc w:val="right"/>
            </w:pPr>
            <w:r>
              <w:rPr>
                <w:color w:val="000000"/>
                <w:sz w:val="24"/>
              </w:rPr>
              <w:t>299,145,046.40</w:t>
            </w:r>
          </w:p>
        </w:tc>
        <w:tc>
          <w:tcPr>
            <w:vAlign w:val="center"/>
          </w:tcPr>
          <w:p>
            <w:pPr>
              <w:jc w:val="right"/>
            </w:pPr>
            <w:r>
              <w:rPr>
                <w:color w:val="000000"/>
                <w:sz w:val="24"/>
              </w:rPr>
              <w:t>2.07</w:t>
            </w:r>
          </w:p>
        </w:tc>
      </w:tr>
      <w:tr>
        <w:tc>
          <w:tcPr>
            <w:vAlign w:val="center"/>
          </w:tcPr>
          <w:p>
            <w:pPr>
              <w:jc w:val="center"/>
            </w:pPr>
            <w:r>
              <w:rPr>
                <w:color w:val="000000"/>
                <w:sz w:val="24"/>
              </w:rPr>
              <w:t>3</w:t>
            </w:r>
          </w:p>
        </w:tc>
        <w:tc>
          <w:tcPr>
            <w:vAlign w:val="center"/>
          </w:tcPr>
          <w:p>
            <w:pPr>
              <w:jc w:val="center"/>
            </w:pPr>
            <w:r>
              <w:rPr>
                <w:color w:val="000000"/>
                <w:sz w:val="24"/>
              </w:rPr>
              <w:t>190301</w:t>
            </w:r>
          </w:p>
        </w:tc>
        <w:tc>
          <w:tcPr>
            <w:vAlign w:val="center"/>
          </w:tcPr>
          <w:p>
            <w:pPr>
              <w:jc w:val="center"/>
            </w:pPr>
            <w:r>
              <w:rPr>
                <w:color w:val="000000"/>
                <w:sz w:val="24"/>
              </w:rPr>
              <w:t>19进出01</w:t>
            </w:r>
          </w:p>
        </w:tc>
        <w:tc>
          <w:tcPr>
            <w:vAlign w:val="center"/>
          </w:tcPr>
          <w:p>
            <w:pPr>
              <w:jc w:val="right"/>
            </w:pPr>
            <w:r>
              <w:rPr>
                <w:color w:val="000000"/>
                <w:sz w:val="24"/>
              </w:rPr>
              <w:t>2,700,000</w:t>
            </w:r>
          </w:p>
        </w:tc>
        <w:tc>
          <w:tcPr>
            <w:vAlign w:val="center"/>
          </w:tcPr>
          <w:p>
            <w:pPr>
              <w:jc w:val="right"/>
            </w:pPr>
            <w:r>
              <w:rPr>
                <w:color w:val="000000"/>
                <w:sz w:val="24"/>
              </w:rPr>
              <w:t>269,993,640.94</w:t>
            </w:r>
          </w:p>
        </w:tc>
        <w:tc>
          <w:tcPr>
            <w:vAlign w:val="center"/>
          </w:tcPr>
          <w:p>
            <w:pPr>
              <w:jc w:val="right"/>
            </w:pPr>
            <w:r>
              <w:rPr>
                <w:color w:val="000000"/>
                <w:sz w:val="24"/>
              </w:rPr>
              <w:t>1.87</w:t>
            </w:r>
          </w:p>
        </w:tc>
      </w:tr>
      <w:tr>
        <w:tc>
          <w:tcPr>
            <w:vAlign w:val="center"/>
          </w:tcPr>
          <w:p>
            <w:pPr>
              <w:jc w:val="center"/>
            </w:pPr>
            <w:r>
              <w:rPr>
                <w:color w:val="000000"/>
                <w:sz w:val="24"/>
              </w:rPr>
              <w:t>4</w:t>
            </w:r>
          </w:p>
        </w:tc>
        <w:tc>
          <w:tcPr>
            <w:vAlign w:val="center"/>
          </w:tcPr>
          <w:p>
            <w:pPr>
              <w:jc w:val="center"/>
            </w:pPr>
            <w:r>
              <w:rPr>
                <w:color w:val="000000"/>
                <w:sz w:val="24"/>
              </w:rPr>
              <w:t>011902485</w:t>
            </w:r>
          </w:p>
        </w:tc>
        <w:tc>
          <w:tcPr>
            <w:vAlign w:val="center"/>
          </w:tcPr>
          <w:p>
            <w:pPr>
              <w:jc w:val="center"/>
            </w:pPr>
            <w:r>
              <w:rPr>
                <w:color w:val="000000"/>
                <w:sz w:val="24"/>
              </w:rPr>
              <w:t>19京基投SCP002</w:t>
            </w:r>
          </w:p>
        </w:tc>
        <w:tc>
          <w:tcPr>
            <w:vAlign w:val="center"/>
          </w:tcPr>
          <w:p>
            <w:pPr>
              <w:jc w:val="right"/>
            </w:pPr>
            <w:r>
              <w:rPr>
                <w:color w:val="000000"/>
                <w:sz w:val="24"/>
              </w:rPr>
              <w:t>2,700,000</w:t>
            </w:r>
          </w:p>
        </w:tc>
        <w:tc>
          <w:tcPr>
            <w:vAlign w:val="center"/>
          </w:tcPr>
          <w:p>
            <w:pPr>
              <w:jc w:val="right"/>
            </w:pPr>
            <w:r>
              <w:rPr>
                <w:color w:val="000000"/>
                <w:sz w:val="24"/>
              </w:rPr>
              <w:t>269,380,251.08</w:t>
            </w:r>
          </w:p>
        </w:tc>
        <w:tc>
          <w:tcPr>
            <w:vAlign w:val="center"/>
          </w:tcPr>
          <w:p>
            <w:pPr>
              <w:jc w:val="right"/>
            </w:pPr>
            <w:r>
              <w:rPr>
                <w:color w:val="000000"/>
                <w:sz w:val="24"/>
              </w:rPr>
              <w:t>1.86</w:t>
            </w:r>
          </w:p>
        </w:tc>
      </w:tr>
      <w:tr>
        <w:tc>
          <w:tcPr>
            <w:vAlign w:val="center"/>
          </w:tcPr>
          <w:p>
            <w:pPr>
              <w:jc w:val="center"/>
            </w:pPr>
            <w:r>
              <w:rPr>
                <w:color w:val="000000"/>
                <w:sz w:val="24"/>
              </w:rPr>
              <w:t>5</w:t>
            </w:r>
          </w:p>
        </w:tc>
        <w:tc>
          <w:tcPr>
            <w:vAlign w:val="center"/>
          </w:tcPr>
          <w:p>
            <w:pPr>
              <w:jc w:val="center"/>
            </w:pPr>
            <w:r>
              <w:rPr>
                <w:color w:val="000000"/>
                <w:sz w:val="24"/>
              </w:rPr>
              <w:t>111909143</w:t>
            </w:r>
          </w:p>
        </w:tc>
        <w:tc>
          <w:tcPr>
            <w:vAlign w:val="center"/>
          </w:tcPr>
          <w:p>
            <w:pPr>
              <w:jc w:val="center"/>
            </w:pPr>
            <w:r>
              <w:rPr>
                <w:color w:val="000000"/>
                <w:sz w:val="24"/>
              </w:rPr>
              <w:t>19浦发银行CD143</w:t>
            </w:r>
          </w:p>
        </w:tc>
        <w:tc>
          <w:tcPr>
            <w:vAlign w:val="center"/>
          </w:tcPr>
          <w:p>
            <w:pPr>
              <w:jc w:val="right"/>
            </w:pPr>
            <w:r>
              <w:rPr>
                <w:color w:val="000000"/>
                <w:sz w:val="24"/>
              </w:rPr>
              <w:t>2,500,000</w:t>
            </w:r>
          </w:p>
        </w:tc>
        <w:tc>
          <w:tcPr>
            <w:vAlign w:val="center"/>
          </w:tcPr>
          <w:p>
            <w:pPr>
              <w:jc w:val="right"/>
            </w:pPr>
            <w:r>
              <w:rPr>
                <w:color w:val="000000"/>
                <w:sz w:val="24"/>
              </w:rPr>
              <w:t>247,129,422.50</w:t>
            </w:r>
          </w:p>
        </w:tc>
        <w:tc>
          <w:tcPr>
            <w:vAlign w:val="center"/>
          </w:tcPr>
          <w:p>
            <w:pPr>
              <w:jc w:val="right"/>
            </w:pPr>
            <w:r>
              <w:rPr>
                <w:color w:val="000000"/>
                <w:sz w:val="24"/>
              </w:rPr>
              <w:t>1.71</w:t>
            </w:r>
          </w:p>
        </w:tc>
      </w:tr>
      <w:tr>
        <w:tc>
          <w:tcPr>
            <w:vAlign w:val="center"/>
          </w:tcPr>
          <w:p>
            <w:pPr>
              <w:jc w:val="center"/>
            </w:pPr>
            <w:r>
              <w:rPr>
                <w:color w:val="000000"/>
                <w:sz w:val="24"/>
              </w:rPr>
              <w:t>6</w:t>
            </w:r>
          </w:p>
        </w:tc>
        <w:tc>
          <w:tcPr>
            <w:vAlign w:val="center"/>
          </w:tcPr>
          <w:p>
            <w:pPr>
              <w:jc w:val="center"/>
            </w:pPr>
            <w:r>
              <w:rPr>
                <w:color w:val="000000"/>
                <w:sz w:val="24"/>
              </w:rPr>
              <w:t>111915231</w:t>
            </w:r>
          </w:p>
        </w:tc>
        <w:tc>
          <w:tcPr>
            <w:vAlign w:val="center"/>
          </w:tcPr>
          <w:p>
            <w:pPr>
              <w:jc w:val="center"/>
            </w:pPr>
            <w:r>
              <w:rPr>
                <w:color w:val="000000"/>
                <w:sz w:val="24"/>
              </w:rPr>
              <w:t>19民生银行CD231</w:t>
            </w:r>
          </w:p>
        </w:tc>
        <w:tc>
          <w:tcPr>
            <w:vAlign w:val="center"/>
          </w:tcPr>
          <w:p>
            <w:pPr>
              <w:jc w:val="right"/>
            </w:pPr>
            <w:r>
              <w:rPr>
                <w:color w:val="000000"/>
                <w:sz w:val="24"/>
              </w:rPr>
              <w:t>2,500,000</w:t>
            </w:r>
          </w:p>
        </w:tc>
        <w:tc>
          <w:tcPr>
            <w:vAlign w:val="center"/>
          </w:tcPr>
          <w:p>
            <w:pPr>
              <w:jc w:val="right"/>
            </w:pPr>
            <w:r>
              <w:rPr>
                <w:color w:val="000000"/>
                <w:sz w:val="24"/>
              </w:rPr>
              <w:t>246,389,726.29</w:t>
            </w:r>
          </w:p>
        </w:tc>
        <w:tc>
          <w:tcPr>
            <w:vAlign w:val="center"/>
          </w:tcPr>
          <w:p>
            <w:pPr>
              <w:jc w:val="right"/>
            </w:pPr>
            <w:r>
              <w:rPr>
                <w:color w:val="000000"/>
                <w:sz w:val="24"/>
              </w:rPr>
              <w:t>1.70</w:t>
            </w:r>
          </w:p>
        </w:tc>
      </w:tr>
      <w:tr>
        <w:tc>
          <w:tcPr>
            <w:vAlign w:val="center"/>
          </w:tcPr>
          <w:p>
            <w:pPr>
              <w:jc w:val="center"/>
            </w:pPr>
            <w:r>
              <w:rPr>
                <w:color w:val="000000"/>
                <w:sz w:val="24"/>
              </w:rPr>
              <w:t>7</w:t>
            </w:r>
          </w:p>
        </w:tc>
        <w:tc>
          <w:tcPr>
            <w:vAlign w:val="center"/>
          </w:tcPr>
          <w:p>
            <w:pPr>
              <w:jc w:val="center"/>
            </w:pPr>
            <w:r>
              <w:rPr>
                <w:color w:val="000000"/>
                <w:sz w:val="24"/>
              </w:rPr>
              <w:t>111908128</w:t>
            </w:r>
          </w:p>
        </w:tc>
        <w:tc>
          <w:tcPr>
            <w:vAlign w:val="center"/>
          </w:tcPr>
          <w:p>
            <w:pPr>
              <w:jc w:val="center"/>
            </w:pPr>
            <w:r>
              <w:rPr>
                <w:color w:val="000000"/>
                <w:sz w:val="24"/>
              </w:rPr>
              <w:t>19中信银行CD128</w:t>
            </w:r>
          </w:p>
        </w:tc>
        <w:tc>
          <w:tcPr>
            <w:vAlign w:val="center"/>
          </w:tcPr>
          <w:p>
            <w:pPr>
              <w:jc w:val="right"/>
            </w:pPr>
            <w:r>
              <w:rPr>
                <w:color w:val="000000"/>
                <w:sz w:val="24"/>
              </w:rPr>
              <w:t>2,500,000</w:t>
            </w:r>
          </w:p>
        </w:tc>
        <w:tc>
          <w:tcPr>
            <w:vAlign w:val="center"/>
          </w:tcPr>
          <w:p>
            <w:pPr>
              <w:jc w:val="right"/>
            </w:pPr>
            <w:r>
              <w:rPr>
                <w:color w:val="000000"/>
                <w:sz w:val="24"/>
              </w:rPr>
              <w:t>246,342,916.03</w:t>
            </w:r>
          </w:p>
        </w:tc>
        <w:tc>
          <w:tcPr>
            <w:vAlign w:val="center"/>
          </w:tcPr>
          <w:p>
            <w:pPr>
              <w:jc w:val="right"/>
            </w:pPr>
            <w:r>
              <w:rPr>
                <w:color w:val="000000"/>
                <w:sz w:val="24"/>
              </w:rPr>
              <w:t>1.70</w:t>
            </w:r>
          </w:p>
        </w:tc>
      </w:tr>
      <w:tr>
        <w:tc>
          <w:tcPr>
            <w:vAlign w:val="center"/>
          </w:tcPr>
          <w:p>
            <w:pPr>
              <w:jc w:val="center"/>
            </w:pPr>
            <w:r>
              <w:rPr>
                <w:color w:val="000000"/>
                <w:sz w:val="24"/>
              </w:rPr>
              <w:t>8</w:t>
            </w:r>
          </w:p>
        </w:tc>
        <w:tc>
          <w:tcPr>
            <w:vAlign w:val="center"/>
          </w:tcPr>
          <w:p>
            <w:pPr>
              <w:jc w:val="center"/>
            </w:pPr>
            <w:r>
              <w:rPr>
                <w:color w:val="000000"/>
                <w:sz w:val="24"/>
              </w:rPr>
              <w:t>111909199</w:t>
            </w:r>
          </w:p>
        </w:tc>
        <w:tc>
          <w:tcPr>
            <w:vAlign w:val="center"/>
          </w:tcPr>
          <w:p>
            <w:pPr>
              <w:jc w:val="center"/>
            </w:pPr>
            <w:r>
              <w:rPr>
                <w:color w:val="000000"/>
                <w:sz w:val="24"/>
              </w:rPr>
              <w:t>19浦发银行CD199</w:t>
            </w:r>
          </w:p>
        </w:tc>
        <w:tc>
          <w:tcPr>
            <w:vAlign w:val="center"/>
          </w:tcPr>
          <w:p>
            <w:pPr>
              <w:jc w:val="right"/>
            </w:pPr>
            <w:r>
              <w:rPr>
                <w:color w:val="000000"/>
                <w:sz w:val="24"/>
              </w:rPr>
              <w:t>2,500,000</w:t>
            </w:r>
          </w:p>
        </w:tc>
        <w:tc>
          <w:tcPr>
            <w:vAlign w:val="center"/>
          </w:tcPr>
          <w:p>
            <w:pPr>
              <w:jc w:val="right"/>
            </w:pPr>
            <w:r>
              <w:rPr>
                <w:color w:val="000000"/>
                <w:sz w:val="24"/>
              </w:rPr>
              <w:t>246,342,916.03</w:t>
            </w:r>
          </w:p>
        </w:tc>
        <w:tc>
          <w:tcPr>
            <w:vAlign w:val="center"/>
          </w:tcPr>
          <w:p>
            <w:pPr>
              <w:jc w:val="right"/>
            </w:pPr>
            <w:r>
              <w:rPr>
                <w:color w:val="000000"/>
                <w:sz w:val="24"/>
              </w:rPr>
              <w:t>1.70</w:t>
            </w:r>
          </w:p>
        </w:tc>
      </w:tr>
      <w:tr>
        <w:tc>
          <w:tcPr>
            <w:vAlign w:val="center"/>
          </w:tcPr>
          <w:p>
            <w:pPr>
              <w:jc w:val="center"/>
            </w:pPr>
            <w:r>
              <w:rPr>
                <w:color w:val="000000"/>
                <w:sz w:val="24"/>
              </w:rPr>
              <w:t>9</w:t>
            </w:r>
          </w:p>
        </w:tc>
        <w:tc>
          <w:tcPr>
            <w:vAlign w:val="center"/>
          </w:tcPr>
          <w:p>
            <w:pPr>
              <w:jc w:val="center"/>
            </w:pPr>
            <w:r>
              <w:rPr>
                <w:color w:val="000000"/>
                <w:sz w:val="24"/>
              </w:rPr>
              <w:t>111911064</w:t>
            </w:r>
          </w:p>
        </w:tc>
        <w:tc>
          <w:tcPr>
            <w:vAlign w:val="center"/>
          </w:tcPr>
          <w:p>
            <w:pPr>
              <w:jc w:val="center"/>
            </w:pPr>
            <w:r>
              <w:rPr>
                <w:color w:val="000000"/>
                <w:sz w:val="24"/>
              </w:rPr>
              <w:t>19平安银行CD064</w:t>
            </w:r>
          </w:p>
        </w:tc>
        <w:tc>
          <w:tcPr>
            <w:vAlign w:val="center"/>
          </w:tcPr>
          <w:p>
            <w:pPr>
              <w:jc w:val="right"/>
            </w:pPr>
            <w:r>
              <w:rPr>
                <w:color w:val="000000"/>
                <w:sz w:val="24"/>
              </w:rPr>
              <w:t>2,100,000</w:t>
            </w:r>
          </w:p>
        </w:tc>
        <w:tc>
          <w:tcPr>
            <w:vAlign w:val="center"/>
          </w:tcPr>
          <w:p>
            <w:pPr>
              <w:jc w:val="right"/>
            </w:pPr>
            <w:r>
              <w:rPr>
                <w:color w:val="000000"/>
                <w:sz w:val="24"/>
              </w:rPr>
              <w:t>207,606,548.60</w:t>
            </w:r>
          </w:p>
        </w:tc>
        <w:tc>
          <w:tcPr>
            <w:vAlign w:val="center"/>
          </w:tcPr>
          <w:p>
            <w:pPr>
              <w:jc w:val="right"/>
            </w:pPr>
            <w:r>
              <w:rPr>
                <w:color w:val="000000"/>
                <w:sz w:val="24"/>
              </w:rPr>
              <w:t>1.43</w:t>
            </w:r>
          </w:p>
        </w:tc>
      </w:tr>
      <w:tr>
        <w:tc>
          <w:tcPr>
            <w:vAlign w:val="center"/>
          </w:tcPr>
          <w:p>
            <w:pPr>
              <w:jc w:val="center"/>
            </w:pPr>
            <w:r>
              <w:rPr>
                <w:color w:val="000000"/>
                <w:sz w:val="24"/>
              </w:rPr>
              <w:t>10</w:t>
            </w:r>
          </w:p>
        </w:tc>
        <w:tc>
          <w:tcPr>
            <w:vAlign w:val="center"/>
          </w:tcPr>
          <w:p>
            <w:pPr>
              <w:jc w:val="center"/>
            </w:pPr>
            <w:r>
              <w:rPr>
                <w:color w:val="000000"/>
                <w:sz w:val="24"/>
              </w:rPr>
              <w:t>111918379</w:t>
            </w:r>
          </w:p>
        </w:tc>
        <w:tc>
          <w:tcPr>
            <w:vAlign w:val="center"/>
          </w:tcPr>
          <w:p>
            <w:pPr>
              <w:jc w:val="center"/>
            </w:pPr>
            <w:r>
              <w:rPr>
                <w:color w:val="000000"/>
                <w:sz w:val="24"/>
              </w:rPr>
              <w:t>19华夏银行CD379</w:t>
            </w:r>
          </w:p>
        </w:tc>
        <w:tc>
          <w:tcPr>
            <w:vAlign w:val="center"/>
          </w:tcPr>
          <w:p>
            <w:pPr>
              <w:jc w:val="right"/>
            </w:pPr>
            <w:r>
              <w:rPr>
                <w:color w:val="000000"/>
                <w:sz w:val="24"/>
              </w:rPr>
              <w:t>2,100,000</w:t>
            </w:r>
          </w:p>
        </w:tc>
        <w:tc>
          <w:tcPr>
            <w:vAlign w:val="center"/>
          </w:tcPr>
          <w:p>
            <w:pPr>
              <w:jc w:val="right"/>
            </w:pPr>
            <w:r>
              <w:rPr>
                <w:color w:val="000000"/>
                <w:sz w:val="24"/>
              </w:rPr>
              <w:t>205,445,162.68</w:t>
            </w:r>
          </w:p>
        </w:tc>
        <w:tc>
          <w:tcPr>
            <w:vAlign w:val="center"/>
          </w:tcPr>
          <w:p>
            <w:pPr>
              <w:jc w:val="right"/>
            </w:pPr>
            <w:r>
              <w:rPr>
                <w:color w:val="000000"/>
                <w:sz w:val="24"/>
              </w:rPr>
              <w:t>1.42</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0.0593%</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0.0062%</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0.0273%</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本基金本报告期内未存在负偏离度的绝对值达到0.25%的情况。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本基金本报告期内未存在正偏离度的绝对值达到0.5%的情况。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r w:rsidRPr="00E97D49">
        <w:rPr>
          <w:rFonts w:hint="eastAsia"/>
          <w:color w:val="000000"/>
          <w:kern w:val="0"/>
          <w:sz w:val="24"/>
        </w:rPr>
        <w:t>金额单位：人民币元</w:t>
      </w:r>
    </w:p>
    <w:tbl>
      <w:tblPr>
        <w:tblStyle w:val="aa"/>
        <w:tblW w:type="dxa" w:w="8868"/>
        <w:jc w:val="center"/>
        <w:tblCellMar>
          <w:top w:type="dxa" w:w="57"/>
          <w:bottom w:type="dxa" w:w="57"/>
        </w:tblCellMar>
        <w:tblLook w:firstColumn="1" w:firstRow="1" w:lastColumn="0" w:lastRow="0" w:noHBand="0" w:noVBand="1" w:val="04A0"/>
      </w:tblPr>
      <w:tblGrid>
        <w:gridCol w:w="1519"/>
        <w:gridCol w:w="1519"/>
        <w:gridCol w:w="1519"/>
        <w:gridCol w:w="1626"/>
        <w:gridCol w:w="1519"/>
        <w:gridCol w:w="1600"/>
      </w:tblGrid>
      <w:tr w:rsidR="00BF1111" w:rsidRPr="000E4C40" w:rsidTr="00B13F60">
        <w:trPr>
          <w:jc w:val="center"/>
        </w:trPr>
        <w:tc>
          <w:tcPr>
            <w:tcW w:type="dxa" w:w="1547"/>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54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type="dxa" w:w="1548"/>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1989319</w:t>
            </w:r>
          </w:p>
        </w:tc>
        <w:tc>
          <w:tcPr>
            <w:vAlign w:val="center"/>
          </w:tcPr>
          <w:p>
            <w:pPr>
              <w:jc w:val="center"/>
            </w:pPr>
            <w:r>
              <w:rPr>
                <w:color w:val="000000"/>
                <w:sz w:val="24"/>
              </w:rPr>
              <w:t>19上和3A1_bc</w:t>
            </w:r>
          </w:p>
        </w:tc>
        <w:tc>
          <w:tcPr>
            <w:vAlign w:val="center"/>
          </w:tcPr>
          <w:p>
            <w:pPr>
              <w:jc w:val="right"/>
            </w:pPr>
            <w:r>
              <w:rPr>
                <w:color w:val="000000"/>
                <w:sz w:val="24"/>
              </w:rPr>
              <w:t>3,100,000</w:t>
            </w:r>
          </w:p>
        </w:tc>
        <w:tc>
          <w:tcPr>
            <w:vAlign w:val="center"/>
          </w:tcPr>
          <w:p>
            <w:pPr>
              <w:jc w:val="right"/>
            </w:pPr>
            <w:r>
              <w:rPr>
                <w:color w:val="000000"/>
                <w:sz w:val="24"/>
              </w:rPr>
              <w:t>87,203,000.00</w:t>
            </w:r>
          </w:p>
        </w:tc>
        <w:tc>
          <w:tcPr>
            <w:vAlign w:val="center"/>
          </w:tcPr>
          <w:p>
            <w:pPr>
              <w:jc w:val="right"/>
            </w:pPr>
            <w:r>
              <w:rPr>
                <w:color w:val="000000"/>
                <w:sz w:val="24"/>
              </w:rPr>
              <w:t>0.60</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43,447,185.58</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43,447,185.58</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bookmarkStart w:id="2" w:name="_GoBack"/>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bookmarkEnd w:id="2"/>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交银理财21天债券A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交银理财21天债券B</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8,477,621.75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14,567,088,410.49</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63,374.54</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107,612,495.45</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98,525.32</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214,402,304.22</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8,442,470.97</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14,460,298,601.72</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 xml:space="preserve"> 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本基金管理人本报告期内未进行本基金的申购、赎回、红利再投等；本基金管理人本报告期末持有本基金份额0.00份，占本基金期末总份额的0.00%。</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3,631,839,306.63</w:t>
            </w:r>
          </w:p>
        </w:tc>
        <w:tc>
          <w:tcPr>
            <w:vAlign w:val="center"/>
          </w:tcPr>
          <w:p>
            <w:pPr>
              <w:jc w:val="center"/>
            </w:pPr>
            <w:r>
              <w:rPr>
                <w:rFonts w:ascii="宋体" w:hAnsi="宋体" w:hint="eastAsia"/>
                <w:color w:val="000000"/>
                <w:kern w:val="0"/>
                <w:szCs w:val="21"/>
              </w:rPr>
              <w:t>27,447,638.51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3,659,286,945.14</w:t>
            </w:r>
          </w:p>
        </w:tc>
        <w:tc>
          <w:tcPr>
            <w:vAlign w:val="center"/>
          </w:tcPr>
          <w:p>
            <w:pPr>
              <w:jc w:val="center"/>
            </w:pPr>
            <w:r>
              <w:rPr>
                <w:rFonts w:ascii="宋体" w:hAnsi="宋体" w:hint="eastAsia"/>
                <w:color w:val="000000"/>
                <w:kern w:val="0"/>
                <w:szCs w:val="21"/>
              </w:rPr>
              <w:t>25.29%</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8.2 影响投资者决策的其他重要信息</w:t>
      </w:r>
    </w:p>
    <w:p w:rsidP="003D1E1A" w:rsidR="003D1E1A" w:rsidRDefault="003D1E1A">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281564" w:rsidR="001B3FBF" w:rsidRDefault="001B3FBF" w:rsidRPr="000E4C40">
      <w:pPr>
        <w:spacing w:before="29" w:line="288" w:lineRule="auto"/>
        <w:ind w:firstLine="480" w:firstLineChars="200"/>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1、中国证监会批准交银施罗德理财21天债券型证券投资基金募集的文件； </w:t>
      </w:r>
    </w:p>
    <w:p>
      <w:pPr>
        <w:spacing w:before="29" w:line="288" w:lineRule="auto"/>
        <w:ind w:firstLine="480" w:firstLineChars="200"/>
        <w:rPr>
          <w:color w:val="000000"/>
          <w:sz w:val="24"/>
        </w:rPr>
      </w:pPr>
      <w:r>
        <w:rPr>
          <w:color w:val="000000"/>
          <w:sz w:val="24"/>
        </w:rPr>
        <w:t xml:space="preserve">2、《交银施罗德理财21天债券型证券投资基金基金合同》； </w:t>
      </w:r>
    </w:p>
    <w:p>
      <w:pPr>
        <w:spacing w:before="29" w:line="288" w:lineRule="auto"/>
        <w:ind w:firstLine="480" w:firstLineChars="200"/>
        <w:rPr>
          <w:color w:val="000000"/>
          <w:sz w:val="24"/>
        </w:rPr>
      </w:pPr>
      <w:r>
        <w:rPr>
          <w:color w:val="000000"/>
          <w:sz w:val="24"/>
        </w:rPr>
        <w:t xml:space="preserve">3、《交银施罗德理财21天债券型证券投资基金招募说明书》； </w:t>
      </w:r>
    </w:p>
    <w:p>
      <w:pPr>
        <w:spacing w:before="29" w:line="288" w:lineRule="auto"/>
        <w:ind w:firstLine="480" w:firstLineChars="200"/>
        <w:rPr>
          <w:color w:val="000000"/>
          <w:sz w:val="24"/>
        </w:rPr>
      </w:pPr>
      <w:r>
        <w:rPr>
          <w:color w:val="000000"/>
          <w:sz w:val="24"/>
        </w:rPr>
        <w:t xml:space="preserve">4、《交银施罗德理财21天债券型证券投资基金托管协议》； </w:t>
      </w:r>
    </w:p>
    <w:p>
      <w:pPr>
        <w:spacing w:before="29" w:line="288" w:lineRule="auto"/>
        <w:ind w:firstLine="480" w:firstLineChars="200"/>
        <w:rPr>
          <w:color w:val="000000"/>
          <w:sz w:val="24"/>
        </w:rPr>
      </w:pPr>
      <w:r>
        <w:rPr>
          <w:color w:val="000000"/>
          <w:sz w:val="24"/>
        </w:rPr>
        <w:t xml:space="preserve">5、关于募集交银施罗德理财21天债券型证券投资基金之法律意见书；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8、报告期内交银施罗德理财21天债券型证券投资基金在指定报刊上各项公告的原稿。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30" w:rsidRDefault="00EE2130">
      <w:r>
        <w:separator/>
      </w:r>
    </w:p>
  </w:endnote>
  <w:endnote w:type="continuationSeparator" w:id="0">
    <w:p w:rsidR="00EE2130" w:rsidRDefault="00E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6DC3">
      <w:rPr>
        <w:noProof/>
        <w:kern w:val="0"/>
        <w:szCs w:val="21"/>
      </w:rPr>
      <w:t>18</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346DC3">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EE2130" w:rsidRDefault="00EE2130">
      <w:r>
        <w:separator/>
      </w:r>
    </w:p>
  </w:footnote>
  <w:footnote w:id="0" w:type="continuationSeparator">
    <w:p w:rsidR="00EE2130" w:rsidRDefault="00EE213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交银施罗德理财21天债券型证券投资基金2019年第4季度报告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5C4DA2-A388-404C-A21B-6B2BD1FD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23</Pages>
  <Words>3613</Words>
  <Characters>20597</Characters>
  <Application>Microsoft Office Word</Application>
  <DocSecurity>0</DocSecurity>
  <Lines>171</Lines>
  <Paragraphs>48</Paragraphs>
  <ScaleCrop>false</ScaleCrop>
  <Company>jysld</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2019-08-22T08:33:00Z</dcterms:modified>
  <cp:revision>331</cp:revision>
</cp:coreProperties>
</file>