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交银施罗德定期支付双息平衡混合型证券投资基金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651,487,805.13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50%×中证红利指数收益率+50%×中债综合全价指数收益率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114,319,271.50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212,703,600.99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0.3791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2,454,039,006.18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10.96%</w:t>
            </w:r>
          </w:p>
        </w:tc>
        <w:tc>
          <w:tcPr>
            <w:vAlign w:val="center"/>
          </w:tcPr>
          <w:p>
            <w:pPr>
              <w:jc w:val="center"/>
            </w:pPr>
            <w:r>
              <w:rPr>
                <w:color w:val="000000"/>
                <w:sz w:val="24"/>
                <w:szCs w:val="24"/>
              </w:rPr>
              <w:t>0.81%</w:t>
            </w:r>
          </w:p>
        </w:tc>
        <w:tc>
          <w:tcPr>
            <w:vAlign w:val="center"/>
          </w:tcPr>
          <w:p>
            <w:pPr>
              <w:jc w:val="center"/>
            </w:pPr>
            <w:r>
              <w:rPr>
                <w:color w:val="000000"/>
                <w:sz w:val="24"/>
                <w:szCs w:val="24"/>
              </w:rPr>
              <w:t>3.26%</w:t>
            </w:r>
          </w:p>
        </w:tc>
        <w:tc>
          <w:tcPr>
            <w:vAlign w:val="center"/>
          </w:tcPr>
          <w:p>
            <w:pPr>
              <w:jc w:val="center"/>
            </w:pPr>
            <w:r>
              <w:rPr>
                <w:color w:val="000000"/>
                <w:sz w:val="24"/>
                <w:szCs w:val="24"/>
              </w:rPr>
              <w:t>0.35%</w:t>
            </w:r>
          </w:p>
        </w:tc>
        <w:tc>
          <w:tcPr>
            <w:vAlign w:val="center"/>
          </w:tcPr>
          <w:p>
            <w:pPr>
              <w:jc w:val="center"/>
            </w:pPr>
            <w:r>
              <w:rPr>
                <w:color w:val="000000"/>
                <w:sz w:val="24"/>
                <w:szCs w:val="24"/>
              </w:rPr>
              <w:t>7.70%</w:t>
            </w:r>
          </w:p>
        </w:tc>
        <w:tc>
          <w:tcPr>
            <w:vAlign w:val="center"/>
          </w:tcPr>
          <w:p>
            <w:pPr>
              <w:jc w:val="center"/>
            </w:pPr>
            <w:r>
              <w:rPr>
                <w:color w:val="000000"/>
                <w:sz w:val="24"/>
                <w:szCs w:val="24"/>
              </w:rPr>
              <w:t>0.46%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交银施罗德定期支付双息平衡混合型证券投资基金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2015-08-15</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随着5G建设在全球范围内逐渐升温，电子半导体行业的景气度走高。几年前“互联网+”的投资潮在新零售、直播等领域逐渐开花结果。新能源车的鼓励性政策在全球范围内预期再起。在这些成长领域的带动下，中小板指数和创业板指数本季度表现较好，分别上升10.59%及10.48%。同时，宏观数据和中观高频指标显示国内经济接近库存周期与产能周期底部的状态，下行空间有限，市场对传统周期性行业也有重估。本基金在这一季度规模有比较大的增长，我们在传媒娱乐、新能源车以及半导体行业相关的投资获得超额收益，跑赢业绩比较基准。</w:t>
      </w:r>
    </w:p>
    <w:p>
      <w:pPr>
        <w:spacing w:before="29" w:line="288" w:lineRule="auto"/>
        <w:ind w:firstLine="480" w:firstLineChars="200"/>
        <w:rPr>
          <w:color w:val="000000"/>
          <w:sz w:val="24"/>
          <w:szCs w:val="24"/>
        </w:rPr>
      </w:pPr>
      <w:r>
        <w:rPr>
          <w:color w:val="000000"/>
          <w:sz w:val="24"/>
          <w:szCs w:val="24"/>
        </w:rPr>
        <w:t>本基金一直以来有独立思考的投资框架，并不断迭代进化。我们进一步系统性的梳理过去投资中的经验，总结出三维投资框架。我们将企业的价值观放在投资选股的至高位置，甄选为客户创造真实价值的优秀公司，摈弃“唯赚钱论”，即使那些公司有看似美妙的商业模型和财务指标。在统一的价值观下，我们投资的企业可以有不同的商业模式，不同的产业周期位置，不同的行业景气度状况。这样形成多个维度的对冲，聚焦阿尔法真成长，使得基金能够得以稳健运行。我们按照商业模型的相似性，总结出四个大类的投资方向——消费服务业、品牌消费品、政企服务业、优势制造业。在基金合同约定的投资范围内，投资少量的超低估值品种用于维持短期组合平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随着今年下半年来成长股的快速上涨，不少成长股不再低估，甚至高估，同时对基金管理人的投资选股以及风险定价能力要求不断提高。但通过我们大量的微观调研和总结，我们仍然能以不一样的视角去找到投资标的。我们发现不少所谓的传统行业有机会在新的科学技术和现代管理赋能下去“刷新”重塑。同时，我们也发现有一批新的全球稀缺资产有重估空间。我们不应当只是就科技论科技，就核心资产论核心资产，应该有新的定义。稳健源自前瞻，我们将继续努力为持有人赚取稳健而长期的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1,692,590,550.29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1,692,590,550.29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63.32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130,091,000.00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130,091,000.00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396,000,714.00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14.81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323,465,191.84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130,875,184.23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2,673,022,640.36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820,960,558.10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8,051,438.24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52,684,023.42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281,771,434.82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78,176,515.18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71,668,941.77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137,368,267.32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241,902,793.40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1,692,590,550.29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68.97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5,023,570</w:t>
            </w:r>
          </w:p>
        </w:tc>
        <w:tc>
          <w:tcPr>
            <w:vAlign w:val="center"/>
          </w:tcPr>
          <w:p>
            <w:pPr>
              <w:jc w:val="right"/>
            </w:pPr>
            <w:r>
              <w:rPr>
                <w:color w:val="000000"/>
                <w:sz w:val="24"/>
                <w:szCs w:val="24"/>
              </w:rPr>
              <w:t>175,624,007.20</w:t>
            </w:r>
          </w:p>
        </w:tc>
        <w:tc>
          <w:tcPr>
            <w:vAlign w:val="center"/>
          </w:tcPr>
          <w:p>
            <w:pPr>
              <w:jc w:val="right"/>
            </w:pPr>
            <w:r>
              <w:rPr>
                <w:color w:val="000000"/>
                <w:sz w:val="24"/>
                <w:szCs w:val="24"/>
              </w:rPr>
              <w:t>7.16</w:t>
            </w:r>
          </w:p>
        </w:tc>
      </w:tr>
      <w:tr>
        <w:tc>
          <w:tcPr>
            <w:vAlign w:val="center"/>
          </w:tcPr>
          <w:p>
            <w:pPr>
              <w:jc w:val="center"/>
            </w:pPr>
            <w:r>
              <w:rPr>
                <w:color w:val="000000"/>
                <w:sz w:val="24"/>
                <w:szCs w:val="24"/>
              </w:rPr>
              <w:t>2</w:t>
            </w:r>
          </w:p>
        </w:tc>
        <w:tc>
          <w:tcPr>
            <w:vAlign w:val="center"/>
          </w:tcPr>
          <w:p>
            <w:pPr>
              <w:jc w:val="center"/>
            </w:pPr>
            <w:r>
              <w:rPr>
                <w:color w:val="000000"/>
                <w:sz w:val="24"/>
                <w:szCs w:val="24"/>
              </w:rPr>
              <w:t>000725</w:t>
            </w:r>
          </w:p>
        </w:tc>
        <w:tc>
          <w:tcPr>
            <w:vAlign w:val="center"/>
          </w:tcPr>
          <w:p>
            <w:pPr>
              <w:jc w:val="center"/>
            </w:pPr>
            <w:r>
              <w:rPr>
                <w:color w:val="000000"/>
                <w:sz w:val="24"/>
                <w:szCs w:val="24"/>
              </w:rPr>
              <w:t>京东方A</w:t>
            </w:r>
          </w:p>
        </w:tc>
        <w:tc>
          <w:tcPr>
            <w:vAlign w:val="center"/>
          </w:tcPr>
          <w:p>
            <w:pPr>
              <w:jc w:val="right"/>
            </w:pPr>
            <w:r>
              <w:rPr>
                <w:color w:val="000000"/>
                <w:sz w:val="24"/>
                <w:szCs w:val="24"/>
              </w:rPr>
              <w:t>30,967,000</w:t>
            </w:r>
          </w:p>
        </w:tc>
        <w:tc>
          <w:tcPr>
            <w:vAlign w:val="center"/>
          </w:tcPr>
          <w:p>
            <w:pPr>
              <w:jc w:val="right"/>
            </w:pPr>
            <w:r>
              <w:rPr>
                <w:color w:val="000000"/>
                <w:sz w:val="24"/>
                <w:szCs w:val="24"/>
              </w:rPr>
              <w:t>140,590,180.00</w:t>
            </w:r>
          </w:p>
        </w:tc>
        <w:tc>
          <w:tcPr>
            <w:vAlign w:val="center"/>
          </w:tcPr>
          <w:p>
            <w:pPr>
              <w:jc w:val="right"/>
            </w:pPr>
            <w:r>
              <w:rPr>
                <w:color w:val="000000"/>
                <w:sz w:val="24"/>
                <w:szCs w:val="24"/>
              </w:rPr>
              <w:t>5.73</w:t>
            </w:r>
          </w:p>
        </w:tc>
      </w:tr>
      <w:tr>
        <w:tc>
          <w:tcPr>
            <w:vAlign w:val="center"/>
          </w:tcPr>
          <w:p>
            <w:pPr>
              <w:jc w:val="center"/>
            </w:pPr>
            <w:r>
              <w:rPr>
                <w:color w:val="000000"/>
                <w:sz w:val="24"/>
                <w:szCs w:val="24"/>
              </w:rPr>
              <w:t>3</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7,682,789</w:t>
            </w:r>
          </w:p>
        </w:tc>
        <w:tc>
          <w:tcPr>
            <w:vAlign w:val="center"/>
          </w:tcPr>
          <w:p>
            <w:pPr>
              <w:jc w:val="right"/>
            </w:pPr>
            <w:r>
              <w:rPr>
                <w:color w:val="000000"/>
                <w:sz w:val="24"/>
                <w:szCs w:val="24"/>
              </w:rPr>
              <w:t>137,368,267.32</w:t>
            </w:r>
          </w:p>
        </w:tc>
        <w:tc>
          <w:tcPr>
            <w:vAlign w:val="center"/>
          </w:tcPr>
          <w:p>
            <w:pPr>
              <w:jc w:val="right"/>
            </w:pPr>
            <w:r>
              <w:rPr>
                <w:color w:val="000000"/>
                <w:sz w:val="24"/>
                <w:szCs w:val="24"/>
              </w:rPr>
              <w:t>5.60</w:t>
            </w:r>
          </w:p>
        </w:tc>
      </w:tr>
      <w:tr>
        <w:tc>
          <w:tcPr>
            <w:vAlign w:val="center"/>
          </w:tcPr>
          <w:p>
            <w:pPr>
              <w:jc w:val="center"/>
            </w:pPr>
            <w:r>
              <w:rPr>
                <w:color w:val="000000"/>
                <w:sz w:val="24"/>
                <w:szCs w:val="24"/>
              </w:rPr>
              <w:t>4</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2,948,962</w:t>
            </w:r>
          </w:p>
        </w:tc>
        <w:tc>
          <w:tcPr>
            <w:vAlign w:val="center"/>
          </w:tcPr>
          <w:p>
            <w:pPr>
              <w:jc w:val="right"/>
            </w:pPr>
            <w:r>
              <w:rPr>
                <w:color w:val="000000"/>
                <w:sz w:val="24"/>
                <w:szCs w:val="24"/>
              </w:rPr>
              <w:t>136,303,284.90</w:t>
            </w:r>
          </w:p>
        </w:tc>
        <w:tc>
          <w:tcPr>
            <w:vAlign w:val="center"/>
          </w:tcPr>
          <w:p>
            <w:pPr>
              <w:jc w:val="right"/>
            </w:pPr>
            <w:r>
              <w:rPr>
                <w:color w:val="000000"/>
                <w:sz w:val="24"/>
                <w:szCs w:val="24"/>
              </w:rPr>
              <w:t>5.55</w:t>
            </w:r>
          </w:p>
        </w:tc>
      </w:tr>
      <w:tr>
        <w:tc>
          <w:tcPr>
            <w:vAlign w:val="center"/>
          </w:tcPr>
          <w:p>
            <w:pPr>
              <w:jc w:val="center"/>
            </w:pPr>
            <w:r>
              <w:rPr>
                <w:color w:val="000000"/>
                <w:sz w:val="24"/>
                <w:szCs w:val="24"/>
              </w:rPr>
              <w:t>5</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6,291,943</w:t>
            </w:r>
          </w:p>
        </w:tc>
        <w:tc>
          <w:tcPr>
            <w:vAlign w:val="center"/>
          </w:tcPr>
          <w:p>
            <w:pPr>
              <w:jc w:val="right"/>
            </w:pPr>
            <w:r>
              <w:rPr>
                <w:color w:val="000000"/>
                <w:sz w:val="24"/>
                <w:szCs w:val="24"/>
              </w:rPr>
              <w:t>122,692,888.50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4,664,193</w:t>
            </w:r>
          </w:p>
        </w:tc>
        <w:tc>
          <w:tcPr>
            <w:vAlign w:val="center"/>
          </w:tcPr>
          <w:p>
            <w:pPr>
              <w:jc w:val="right"/>
            </w:pPr>
            <w:r>
              <w:rPr>
                <w:color w:val="000000"/>
                <w:sz w:val="24"/>
                <w:szCs w:val="24"/>
              </w:rPr>
              <w:t>80,830,464.69</w:t>
            </w:r>
          </w:p>
        </w:tc>
        <w:tc>
          <w:tcPr>
            <w:vAlign w:val="center"/>
          </w:tcPr>
          <w:p>
            <w:pPr>
              <w:jc w:val="right"/>
            </w:pPr>
            <w:r>
              <w:rPr>
                <w:color w:val="000000"/>
                <w:sz w:val="24"/>
                <w:szCs w:val="24"/>
              </w:rPr>
              <w:t>3.29</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2,429,351</w:t>
            </w:r>
          </w:p>
        </w:tc>
        <w:tc>
          <w:tcPr>
            <w:vAlign w:val="center"/>
          </w:tcPr>
          <w:p>
            <w:pPr>
              <w:jc w:val="right"/>
            </w:pPr>
            <w:r>
              <w:rPr>
                <w:color w:val="000000"/>
                <w:sz w:val="24"/>
                <w:szCs w:val="24"/>
              </w:rPr>
              <w:t>78,176,515.18</w:t>
            </w:r>
          </w:p>
        </w:tc>
        <w:tc>
          <w:tcPr>
            <w:vAlign w:val="center"/>
          </w:tcPr>
          <w:p>
            <w:pPr>
              <w:jc w:val="right"/>
            </w:pPr>
            <w:r>
              <w:rPr>
                <w:color w:val="000000"/>
                <w:sz w:val="24"/>
                <w:szCs w:val="24"/>
              </w:rPr>
              <w:t>3.19</w:t>
            </w:r>
          </w:p>
        </w:tc>
      </w:tr>
      <w:tr>
        <w:tc>
          <w:tcPr>
            <w:vAlign w:val="center"/>
          </w:tcPr>
          <w:p>
            <w:pPr>
              <w:jc w:val="center"/>
            </w:pPr>
            <w:r>
              <w:rPr>
                <w:color w:val="000000"/>
                <w:sz w:val="24"/>
                <w:szCs w:val="24"/>
              </w:rPr>
              <w:t>8</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4,799,547</w:t>
            </w:r>
          </w:p>
        </w:tc>
        <w:tc>
          <w:tcPr>
            <w:vAlign w:val="center"/>
          </w:tcPr>
          <w:p>
            <w:pPr>
              <w:jc w:val="right"/>
            </w:pPr>
            <w:r>
              <w:rPr>
                <w:color w:val="000000"/>
                <w:sz w:val="24"/>
                <w:szCs w:val="24"/>
              </w:rPr>
              <w:t>71,561,245.77</w:t>
            </w:r>
          </w:p>
        </w:tc>
        <w:tc>
          <w:tcPr>
            <w:vAlign w:val="center"/>
          </w:tcPr>
          <w:p>
            <w:pPr>
              <w:jc w:val="right"/>
            </w:pPr>
            <w:r>
              <w:rPr>
                <w:color w:val="000000"/>
                <w:sz w:val="24"/>
                <w:szCs w:val="24"/>
              </w:rPr>
              <w:t>2.92</w:t>
            </w:r>
          </w:p>
        </w:tc>
      </w:tr>
      <w:tr>
        <w:tc>
          <w:tcPr>
            <w:vAlign w:val="center"/>
          </w:tcPr>
          <w:p>
            <w:pPr>
              <w:jc w:val="center"/>
            </w:pPr>
            <w:r>
              <w:rPr>
                <w:color w:val="000000"/>
                <w:sz w:val="24"/>
                <w:szCs w:val="24"/>
              </w:rPr>
              <w:t>9</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4,017,860</w:t>
            </w:r>
          </w:p>
        </w:tc>
        <w:tc>
          <w:tcPr>
            <w:vAlign w:val="center"/>
          </w:tcPr>
          <w:p>
            <w:pPr>
              <w:jc w:val="right"/>
            </w:pPr>
            <w:r>
              <w:rPr>
                <w:color w:val="000000"/>
                <w:sz w:val="24"/>
                <w:szCs w:val="24"/>
              </w:rPr>
              <w:t>68,705,406.00</w:t>
            </w:r>
          </w:p>
        </w:tc>
        <w:tc>
          <w:tcPr>
            <w:vAlign w:val="center"/>
          </w:tcPr>
          <w:p>
            <w:pPr>
              <w:jc w:val="right"/>
            </w:pPr>
            <w:r>
              <w:rPr>
                <w:color w:val="000000"/>
                <w:sz w:val="24"/>
                <w:szCs w:val="24"/>
              </w:rPr>
              <w:t>2.80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2,548,396</w:t>
            </w:r>
          </w:p>
        </w:tc>
        <w:tc>
          <w:tcPr>
            <w:vAlign w:val="center"/>
          </w:tcPr>
          <w:p>
            <w:pPr>
              <w:jc w:val="right"/>
            </w:pPr>
            <w:r>
              <w:rPr>
                <w:color w:val="000000"/>
                <w:sz w:val="24"/>
                <w:szCs w:val="24"/>
              </w:rPr>
              <w:t>68,628,304.28</w:t>
            </w:r>
          </w:p>
        </w:tc>
        <w:tc>
          <w:tcPr>
            <w:vAlign w:val="center"/>
          </w:tcPr>
          <w:p>
            <w:pPr>
              <w:jc w:val="right"/>
            </w:pPr>
            <w:r>
              <w:rPr>
                <w:color w:val="000000"/>
                <w:sz w:val="24"/>
                <w:szCs w:val="24"/>
              </w:rPr>
              <w:t>2.80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130,091,000.00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130,091,000.00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130,091,000.00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1,300,000</w:t>
            </w:r>
          </w:p>
        </w:tc>
        <w:tc>
          <w:tcPr>
            <w:vAlign w:val="center"/>
          </w:tcPr>
          <w:p>
            <w:pPr>
              <w:jc w:val="right"/>
            </w:pPr>
            <w:r>
              <w:rPr>
                <w:color w:val="000000"/>
                <w:sz w:val="24"/>
                <w:szCs w:val="24"/>
              </w:rPr>
              <w:t>130,091,000.00</w:t>
            </w:r>
          </w:p>
        </w:tc>
        <w:tc>
          <w:tcPr>
            <w:vAlign w:val="center"/>
          </w:tcPr>
          <w:p>
            <w:pPr>
              <w:jc w:val="right"/>
            </w:pPr>
            <w:r>
              <w:rPr>
                <w:color w:val="000000"/>
                <w:sz w:val="24"/>
                <w:szCs w:val="24"/>
              </w:rPr>
              <w:t>5.30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423,348.66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114,990,175.13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781,094.21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14,680,566.23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130,875,184.23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17,904,000.00</w:t>
            </w:r>
          </w:p>
        </w:tc>
        <w:tc>
          <w:tcPr>
            <w:vAlign w:val="center"/>
          </w:tcPr>
          <w:p>
            <w:pPr>
              <w:jc w:val="right"/>
            </w:pPr>
            <w:r>
              <w:rPr>
                <w:color w:val="000000"/>
                <w:sz w:val="24"/>
                <w:szCs w:val="24"/>
              </w:rPr>
              <w:t>0.73</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489,723,174.37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363,232,722.36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201,468,091.60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651,487,805.13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1、中国证监会批准交银施罗德定期支付双息平衡混合型证券投资基金募集的文件；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2、《交银施罗德定期支付双息平衡混合型证券投资基金基金合同》；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3、《交银施罗德定期支付双息平衡混合型证券投资基金招募说明书》；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4、《交银施罗德定期支付双息平衡混合型证券投资基金托管协议》；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5、关于募集交银施罗德定期支付双息平衡混合型证券投资基金之法律意见书；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8、报告期内交银施罗德定期支付双息平衡混合型证券投资基金在指定报刊上各项公告的原稿。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交银施罗德定期支付双息平衡混合型证券投资基金2019年第4季度报告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