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交银施罗德增强收益债券型证券投资基金</w:t>
      </w:r>
    </w:p>
    <w:p w:rsidP="00C15CAC" w:rsidR="002279D3" w:rsidRDefault="002279D3" w:rsidRPr="0081286B">
      <w:pPr>
        <w:spacing w:before="29" w:line="288" w:lineRule="auto"/>
        <w:jc w:val="center"/>
        <w:rPr>
          <w:b/>
          <w:sz w:val="36"/>
          <w:szCs w:val="36"/>
        </w:rPr>
      </w:pPr>
      <w:r w:rsidRPr="0081286B">
        <w:rPr>
          <w:b/>
          <w:sz w:val="36"/>
          <w:szCs w:val="36"/>
        </w:rPr>
        <w:t>2019年第4季度报告</w:t>
      </w:r>
    </w:p>
    <w:p w:rsidP="00C15CAC" w:rsidR="004061AC" w:rsidRDefault="00655CD8" w:rsidRPr="0081286B">
      <w:pPr>
        <w:spacing w:before="29" w:line="288" w:lineRule="auto"/>
        <w:jc w:val="center"/>
        <w:rPr>
          <w:b/>
          <w:sz w:val="36"/>
          <w:szCs w:val="36"/>
        </w:rPr>
      </w:pPr>
      <w:r w:rsidRPr="0081286B">
        <w:rPr>
          <w:b/>
          <w:sz w:val="36"/>
          <w:szCs w:val="36"/>
        </w:rPr>
        <w:t>2019年12月31日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二〇二〇年一月二十一日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基金托管人中国建设银行股份有限公司根据本基金合同规定，于2020年1月20日复核了本报告中的财务指标、净值表现和投资组合报告等内容，保证复核内容不存在虚假记载、误导性陈述或者重大遗漏。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交银增强收益债券</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519729</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519729</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2016年12月30日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16,126,709.06</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在严格控制投资风险的基础上，力争实现基金资产的长期稳定增值。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将依据宏观经济数据和金融运行数据、货币政策、财政政策、以及债券市场和股票市场风险收益特征，分析判断市场利率水平变动趋势和股票市场走势。并根据宏观经济、基准利率水平、股票市场整体估值水平，预测债券、可转债、新股申购等大类资产下一阶段的预期收益率水平，结合各类别资产的波动性以及流动性状况分析，进行大类资产配置。</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90%×中证综合债券指数收益率+10%×沪深300指数收益率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本基金为债券型证券投资基金，其长期平均的预期收益和风险高于货币市场基金，低于混合型基金和股票型基金，属于证券投资基金中中等风险品种。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(2019年10月1日-2019年12月31日)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376,642.54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593,503.61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0.0352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22,418,047.66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1.390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2.66%</w:t>
            </w:r>
          </w:p>
        </w:tc>
        <w:tc>
          <w:tcPr>
            <w:vAlign w:val="center"/>
          </w:tcPr>
          <w:p>
            <w:pPr>
              <w:jc w:val="center"/>
            </w:pPr>
            <w:r>
              <w:rPr>
                <w:color w:val="000000"/>
                <w:sz w:val="24"/>
                <w:szCs w:val="24"/>
              </w:rPr>
              <w:t>0.16%</w:t>
            </w:r>
          </w:p>
        </w:tc>
        <w:tc>
          <w:tcPr>
            <w:vAlign w:val="center"/>
          </w:tcPr>
          <w:p>
            <w:pPr>
              <w:jc w:val="center"/>
            </w:pPr>
            <w:r>
              <w:rPr>
                <w:color w:val="000000"/>
                <w:sz w:val="24"/>
                <w:szCs w:val="24"/>
              </w:rPr>
              <w:t>1.83%</w:t>
            </w:r>
          </w:p>
        </w:tc>
        <w:tc>
          <w:tcPr>
            <w:vAlign w:val="center"/>
          </w:tcPr>
          <w:p>
            <w:pPr>
              <w:jc w:val="center"/>
            </w:pPr>
            <w:r>
              <w:rPr>
                <w:color w:val="000000"/>
                <w:sz w:val="24"/>
                <w:szCs w:val="24"/>
              </w:rPr>
              <w:t>0.08%</w:t>
            </w:r>
          </w:p>
        </w:tc>
        <w:tc>
          <w:tcPr>
            <w:vAlign w:val="center"/>
          </w:tcPr>
          <w:p>
            <w:pPr>
              <w:jc w:val="center"/>
            </w:pPr>
            <w:r>
              <w:rPr>
                <w:color w:val="000000"/>
                <w:sz w:val="24"/>
                <w:szCs w:val="24"/>
              </w:rPr>
              <w:t>0.83%</w:t>
            </w:r>
          </w:p>
        </w:tc>
        <w:tc>
          <w:tcPr>
            <w:vAlign w:val="center"/>
          </w:tcPr>
          <w:p>
            <w:pPr>
              <w:jc w:val="center"/>
            </w:pPr>
            <w:r>
              <w:rPr>
                <w:color w:val="000000"/>
                <w:sz w:val="24"/>
                <w:szCs w:val="24"/>
              </w:rPr>
              <w:t>0.08%</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交银施罗德增强收益债券型证券投资基金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2016年12月30日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由交银施罗德荣泰保本混合型证券投资基金转型而来。基金转型日为2016年12月30日。本基金的投资转型期为交银施罗德荣泰保本混合型证券投资基金保本周期到期期间截止日的次日（即2016年12月30日）起的3个月。截至投资转型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凌超</w:t>
            </w:r>
          </w:p>
        </w:tc>
        <w:tc>
          <w:tcPr>
            <w:vAlign w:val="center"/>
          </w:tcPr>
          <w:p>
            <w:pPr>
              <w:jc w:val="center"/>
            </w:pPr>
            <w:r>
              <w:rPr>
                <w:color w:val="000000"/>
                <w:sz w:val="24"/>
                <w:szCs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公募)投资副总监</w:t>
            </w:r>
          </w:p>
        </w:tc>
        <w:tc>
          <w:tcPr>
            <w:vAlign w:val="center"/>
          </w:tcPr>
          <w:p>
            <w:pPr>
              <w:jc w:val="center"/>
            </w:pPr>
            <w:r>
              <w:rPr>
                <w:color w:val="000000"/>
                <w:sz w:val="24"/>
                <w:szCs w:val="24"/>
              </w:rPr>
              <w:t>2018-02-13</w:t>
            </w:r>
          </w:p>
        </w:tc>
        <w:tc>
          <w:tcPr>
            <w:vAlign w:val="center"/>
          </w:tcPr>
          <w:p>
            <w:pPr>
              <w:jc w:val="center"/>
            </w:pPr>
            <w:r>
              <w:rPr>
                <w:color w:val="000000"/>
                <w:sz w:val="24"/>
                <w:szCs w:val="24"/>
              </w:rPr>
              <w:t>-</w:t>
            </w:r>
          </w:p>
        </w:tc>
        <w:tc>
          <w:tcPr>
            <w:vAlign w:val="center"/>
          </w:tcPr>
          <w:p>
            <w:pPr>
              <w:jc w:val="center"/>
            </w:pPr>
            <w:r>
              <w:rPr>
                <w:color w:val="000000"/>
                <w:sz w:val="24"/>
                <w:szCs w:val="24"/>
              </w:rPr>
              <w:t>13年</w:t>
            </w:r>
          </w:p>
        </w:tc>
        <w:tc>
          <w:tcPr>
            <w:vAlign w:val="center"/>
          </w:tcPr>
          <w:p>
            <w:pPr>
              <w:jc w:val="both"/>
            </w:pPr>
            <w:r>
              <w:rPr>
                <w:color w:val="000000"/>
                <w:sz w:val="24"/>
                <w:szCs w:val="24"/>
              </w:rPr>
              <w:t>凌超先生，华中科技大学数量经济学硕士、武汉科技大学信息与计算科学学士。2006年至2009年任长江证券股份有限公司研究员、投资经理，2009年至2012年任光大保德信基金有限管理公司研究员、基金助理、基金经理，2012年至2016年任海富通基金管理有限公司投资顾问、基金经理，2016年至2017年任天弘基金管理有限公司固定收益部副总经理、基金经理。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2019年2月28日至2019年5月30日担任转型前的交银施罗德荣祥保本混合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本报告期内，债券市场受通胀预期、资金面等因素影响，收益率呈现倒V走势。十月，因通胀上行压力及社融数据较强，市场恐慌资金面收紧，债市持续回调。十一月伊始，央行持续降低政策利率，市场资金面较为宽松，债市收益率不断下行。进入十二月，资金面宽松持续，但受海外市场风险因素阶段缓解、国内逆周期调控政策上行预期影响，长端债券收益率震荡走平，中短久期债券收益率持续下行。</w:t>
      </w:r>
    </w:p>
    <w:p>
      <w:pPr>
        <w:spacing w:before="29" w:line="288" w:lineRule="auto"/>
        <w:ind w:firstLine="480" w:firstLineChars="200"/>
        <w:rPr>
          <w:color w:val="000000"/>
          <w:sz w:val="24"/>
          <w:szCs w:val="24"/>
        </w:rPr>
      </w:pPr>
      <w:r>
        <w:rPr>
          <w:color w:val="000000"/>
          <w:sz w:val="24"/>
          <w:szCs w:val="24"/>
        </w:rPr>
        <w:t>2019年四季度，权益市场表现相对强势，科技主线延续强势，传媒、新能源车板块异军突起，地产和基建相关板块也有不错表现。指数层面看，成长优于大盘。从行业看，建筑、电子、家电以及传媒等板块领涨，军工及部分强周期板块表现相对弱势。</w:t>
      </w:r>
    </w:p>
    <w:p>
      <w:pPr>
        <w:spacing w:before="29" w:line="288" w:lineRule="auto"/>
        <w:ind w:firstLine="480" w:firstLineChars="200"/>
        <w:rPr>
          <w:color w:val="000000"/>
          <w:sz w:val="24"/>
          <w:szCs w:val="24"/>
        </w:rPr>
      </w:pPr>
      <w:r>
        <w:rPr>
          <w:color w:val="000000"/>
          <w:sz w:val="24"/>
          <w:szCs w:val="24"/>
        </w:rPr>
        <w:t>在基金操作中，对于债券部分我们维持中短久期利率债底仓配置。权益方面，组合在保持仓位灵活的同时，参与了科技类等主流板块的投资机会。此外，组合还积极参与权益及转债的一级市场申购，以增厚收益。</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一季度，尽管经济内生企稳动力不强的情况难以扭转，中期经济承压的格局未变，但在宏观逆周期调控政策发力，资金面维持中性偏宽的格局下，短期经济增长存在改善可能。考虑到债券收益率受资金面影响下行较多，因此我们对明年一季度债券市场维持震荡观望的观点，维持中短久期利率债底仓配置，并根据市场变化动态调整组合久期。权益方面，我们持续关注景气度好转行业的投资机会，同时也关注经济逐步企稳背景下，周期板块盈利改善的机会。我们将继续积极参加权益及转债的一级市场申购，以期增厚组合收益。</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本基金本报告期内连续六十个工作日以上出现基金资产净值低于5000万元的情形，截至本报告期末，本基金基金资产净值仍低于5000万元。</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2,002,722.00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8.55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2,002,722.00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8.55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19,983,568.96</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85.33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19,983,568.96</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85.33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931,430.50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3.98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500,354.61</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2.14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23,418,076.07</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445,203.00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1.99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892,527.00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3.98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448,240.00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216,752.00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0.97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2,002,722.00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8.93</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002230</w:t>
            </w:r>
          </w:p>
        </w:tc>
        <w:tc>
          <w:tcPr>
            <w:vAlign w:val="center"/>
          </w:tcPr>
          <w:p>
            <w:pPr>
              <w:jc w:val="center"/>
            </w:pPr>
            <w:r>
              <w:rPr>
                <w:color w:val="000000"/>
                <w:sz w:val="24"/>
                <w:szCs w:val="24"/>
              </w:rPr>
              <w:t>科大讯飞</w:t>
            </w:r>
          </w:p>
        </w:tc>
        <w:tc>
          <w:tcPr>
            <w:vAlign w:val="center"/>
          </w:tcPr>
          <w:p>
            <w:pPr>
              <w:jc w:val="right"/>
            </w:pPr>
            <w:r>
              <w:rPr>
                <w:color w:val="000000"/>
                <w:sz w:val="24"/>
                <w:szCs w:val="24"/>
              </w:rPr>
              <w:t>13,000</w:t>
            </w:r>
          </w:p>
        </w:tc>
        <w:tc>
          <w:tcPr>
            <w:vAlign w:val="center"/>
          </w:tcPr>
          <w:p>
            <w:pPr>
              <w:jc w:val="right"/>
            </w:pPr>
            <w:r>
              <w:rPr>
                <w:color w:val="000000"/>
                <w:sz w:val="24"/>
                <w:szCs w:val="24"/>
              </w:rPr>
              <w:t>448,240.00</w:t>
            </w:r>
          </w:p>
        </w:tc>
        <w:tc>
          <w:tcPr>
            <w:vAlign w:val="center"/>
          </w:tcPr>
          <w:p>
            <w:pPr>
              <w:jc w:val="right"/>
            </w:pPr>
            <w:r>
              <w:rPr>
                <w:color w:val="000000"/>
                <w:sz w:val="24"/>
                <w:szCs w:val="24"/>
              </w:rPr>
              <w:t>2.00</w:t>
            </w:r>
          </w:p>
        </w:tc>
      </w:tr>
      <w:tr>
        <w:tc>
          <w:tcPr>
            <w:vAlign w:val="center"/>
          </w:tcPr>
          <w:p>
            <w:pPr>
              <w:jc w:val="center"/>
            </w:pPr>
            <w:r>
              <w:rPr>
                <w:color w:val="000000"/>
                <w:sz w:val="24"/>
                <w:szCs w:val="24"/>
              </w:rPr>
              <w:t>2</w:t>
            </w:r>
          </w:p>
        </w:tc>
        <w:tc>
          <w:tcPr>
            <w:vAlign w:val="center"/>
          </w:tcPr>
          <w:p>
            <w:pPr>
              <w:jc w:val="center"/>
            </w:pPr>
            <w:r>
              <w:rPr>
                <w:color w:val="000000"/>
                <w:sz w:val="24"/>
                <w:szCs w:val="24"/>
              </w:rPr>
              <w:t>600019</w:t>
            </w:r>
          </w:p>
        </w:tc>
        <w:tc>
          <w:tcPr>
            <w:vAlign w:val="center"/>
          </w:tcPr>
          <w:p>
            <w:pPr>
              <w:jc w:val="center"/>
            </w:pPr>
            <w:r>
              <w:rPr>
                <w:color w:val="000000"/>
                <w:sz w:val="24"/>
                <w:szCs w:val="24"/>
              </w:rPr>
              <w:t>宝钢股份</w:t>
            </w:r>
          </w:p>
        </w:tc>
        <w:tc>
          <w:tcPr>
            <w:vAlign w:val="center"/>
          </w:tcPr>
          <w:p>
            <w:pPr>
              <w:jc w:val="right"/>
            </w:pPr>
            <w:r>
              <w:rPr>
                <w:color w:val="000000"/>
                <w:sz w:val="24"/>
                <w:szCs w:val="24"/>
              </w:rPr>
              <w:t>77,900</w:t>
            </w:r>
          </w:p>
        </w:tc>
        <w:tc>
          <w:tcPr>
            <w:vAlign w:val="center"/>
          </w:tcPr>
          <w:p>
            <w:pPr>
              <w:jc w:val="right"/>
            </w:pPr>
            <w:r>
              <w:rPr>
                <w:color w:val="000000"/>
                <w:sz w:val="24"/>
                <w:szCs w:val="24"/>
              </w:rPr>
              <w:t>447,146.00</w:t>
            </w:r>
          </w:p>
        </w:tc>
        <w:tc>
          <w:tcPr>
            <w:vAlign w:val="center"/>
          </w:tcPr>
          <w:p>
            <w:pPr>
              <w:jc w:val="right"/>
            </w:pPr>
            <w:r>
              <w:rPr>
                <w:color w:val="000000"/>
                <w:sz w:val="24"/>
                <w:szCs w:val="24"/>
              </w:rPr>
              <w:t>1.99</w:t>
            </w:r>
          </w:p>
        </w:tc>
      </w:tr>
      <w:tr>
        <w:tc>
          <w:tcPr>
            <w:vAlign w:val="center"/>
          </w:tcPr>
          <w:p>
            <w:pPr>
              <w:jc w:val="center"/>
            </w:pPr>
            <w:r>
              <w:rPr>
                <w:color w:val="000000"/>
                <w:sz w:val="24"/>
                <w:szCs w:val="24"/>
              </w:rPr>
              <w:t>3</w:t>
            </w:r>
          </w:p>
        </w:tc>
        <w:tc>
          <w:tcPr>
            <w:vAlign w:val="center"/>
          </w:tcPr>
          <w:p>
            <w:pPr>
              <w:jc w:val="center"/>
            </w:pPr>
            <w:r>
              <w:rPr>
                <w:color w:val="000000"/>
                <w:sz w:val="24"/>
                <w:szCs w:val="24"/>
              </w:rPr>
              <w:t>002050</w:t>
            </w:r>
          </w:p>
        </w:tc>
        <w:tc>
          <w:tcPr>
            <w:vAlign w:val="center"/>
          </w:tcPr>
          <w:p>
            <w:pPr>
              <w:jc w:val="center"/>
            </w:pPr>
            <w:r>
              <w:rPr>
                <w:color w:val="000000"/>
                <w:sz w:val="24"/>
                <w:szCs w:val="24"/>
              </w:rPr>
              <w:t>三花智控</w:t>
            </w:r>
          </w:p>
        </w:tc>
        <w:tc>
          <w:tcPr>
            <w:vAlign w:val="center"/>
          </w:tcPr>
          <w:p>
            <w:pPr>
              <w:jc w:val="right"/>
            </w:pPr>
            <w:r>
              <w:rPr>
                <w:color w:val="000000"/>
                <w:sz w:val="24"/>
                <w:szCs w:val="24"/>
              </w:rPr>
              <w:t>25,700</w:t>
            </w:r>
          </w:p>
        </w:tc>
        <w:tc>
          <w:tcPr>
            <w:vAlign w:val="center"/>
          </w:tcPr>
          <w:p>
            <w:pPr>
              <w:jc w:val="right"/>
            </w:pPr>
            <w:r>
              <w:rPr>
                <w:color w:val="000000"/>
                <w:sz w:val="24"/>
                <w:szCs w:val="24"/>
              </w:rPr>
              <w:t>445,381.00</w:t>
            </w:r>
          </w:p>
        </w:tc>
        <w:tc>
          <w:tcPr>
            <w:vAlign w:val="center"/>
          </w:tcPr>
          <w:p>
            <w:pPr>
              <w:jc w:val="right"/>
            </w:pPr>
            <w:r>
              <w:rPr>
                <w:color w:val="000000"/>
                <w:sz w:val="24"/>
                <w:szCs w:val="24"/>
              </w:rPr>
              <w:t>1.99</w:t>
            </w:r>
          </w:p>
        </w:tc>
      </w:tr>
      <w:tr>
        <w:tc>
          <w:tcPr>
            <w:vAlign w:val="center"/>
          </w:tcPr>
          <w:p>
            <w:pPr>
              <w:jc w:val="center"/>
            </w:pPr>
            <w:r>
              <w:rPr>
                <w:color w:val="000000"/>
                <w:sz w:val="24"/>
                <w:szCs w:val="24"/>
              </w:rPr>
              <w:t>4</w:t>
            </w:r>
          </w:p>
        </w:tc>
        <w:tc>
          <w:tcPr>
            <w:vAlign w:val="center"/>
          </w:tcPr>
          <w:p>
            <w:pPr>
              <w:jc w:val="center"/>
            </w:pPr>
            <w:r>
              <w:rPr>
                <w:color w:val="000000"/>
                <w:sz w:val="24"/>
                <w:szCs w:val="24"/>
              </w:rPr>
              <w:t>000603</w:t>
            </w:r>
          </w:p>
        </w:tc>
        <w:tc>
          <w:tcPr>
            <w:vAlign w:val="center"/>
          </w:tcPr>
          <w:p>
            <w:pPr>
              <w:jc w:val="center"/>
            </w:pPr>
            <w:r>
              <w:rPr>
                <w:color w:val="000000"/>
                <w:sz w:val="24"/>
                <w:szCs w:val="24"/>
              </w:rPr>
              <w:t>盛达资源</w:t>
            </w:r>
          </w:p>
        </w:tc>
        <w:tc>
          <w:tcPr>
            <w:vAlign w:val="center"/>
          </w:tcPr>
          <w:p>
            <w:pPr>
              <w:jc w:val="right"/>
            </w:pPr>
            <w:r>
              <w:rPr>
                <w:color w:val="000000"/>
                <w:sz w:val="24"/>
                <w:szCs w:val="24"/>
              </w:rPr>
              <w:t>29,700</w:t>
            </w:r>
          </w:p>
        </w:tc>
        <w:tc>
          <w:tcPr>
            <w:vAlign w:val="center"/>
          </w:tcPr>
          <w:p>
            <w:pPr>
              <w:jc w:val="right"/>
            </w:pPr>
            <w:r>
              <w:rPr>
                <w:color w:val="000000"/>
                <w:sz w:val="24"/>
                <w:szCs w:val="24"/>
              </w:rPr>
              <w:t>445,203.00</w:t>
            </w:r>
          </w:p>
        </w:tc>
        <w:tc>
          <w:tcPr>
            <w:vAlign w:val="center"/>
          </w:tcPr>
          <w:p>
            <w:pPr>
              <w:jc w:val="right"/>
            </w:pPr>
            <w:r>
              <w:rPr>
                <w:color w:val="000000"/>
                <w:sz w:val="24"/>
                <w:szCs w:val="24"/>
              </w:rPr>
              <w:t>1.99</w:t>
            </w:r>
          </w:p>
        </w:tc>
      </w:tr>
      <w:tr>
        <w:tc>
          <w:tcPr>
            <w:vAlign w:val="center"/>
          </w:tcPr>
          <w:p>
            <w:pPr>
              <w:jc w:val="center"/>
            </w:pPr>
            <w:r>
              <w:rPr>
                <w:color w:val="000000"/>
                <w:sz w:val="24"/>
                <w:szCs w:val="24"/>
              </w:rPr>
              <w:t>5</w:t>
            </w:r>
          </w:p>
        </w:tc>
        <w:tc>
          <w:tcPr>
            <w:vAlign w:val="center"/>
          </w:tcPr>
          <w:p>
            <w:pPr>
              <w:jc w:val="center"/>
            </w:pPr>
            <w:r>
              <w:rPr>
                <w:color w:val="000000"/>
                <w:sz w:val="24"/>
                <w:szCs w:val="24"/>
              </w:rPr>
              <w:t>300413</w:t>
            </w:r>
          </w:p>
        </w:tc>
        <w:tc>
          <w:tcPr>
            <w:vAlign w:val="center"/>
          </w:tcPr>
          <w:p>
            <w:pPr>
              <w:jc w:val="center"/>
            </w:pPr>
            <w:r>
              <w:rPr>
                <w:color w:val="000000"/>
                <w:sz w:val="24"/>
                <w:szCs w:val="24"/>
              </w:rPr>
              <w:t>芒果超媒</w:t>
            </w:r>
          </w:p>
        </w:tc>
        <w:tc>
          <w:tcPr>
            <w:vAlign w:val="center"/>
          </w:tcPr>
          <w:p>
            <w:pPr>
              <w:jc w:val="right"/>
            </w:pPr>
            <w:r>
              <w:rPr>
                <w:color w:val="000000"/>
                <w:sz w:val="24"/>
                <w:szCs w:val="24"/>
              </w:rPr>
              <w:t>6,200</w:t>
            </w:r>
          </w:p>
        </w:tc>
        <w:tc>
          <w:tcPr>
            <w:vAlign w:val="center"/>
          </w:tcPr>
          <w:p>
            <w:pPr>
              <w:jc w:val="right"/>
            </w:pPr>
            <w:r>
              <w:rPr>
                <w:color w:val="000000"/>
                <w:sz w:val="24"/>
                <w:szCs w:val="24"/>
              </w:rPr>
              <w:t>216,752.00</w:t>
            </w:r>
          </w:p>
        </w:tc>
        <w:tc>
          <w:tcPr>
            <w:vAlign w:val="center"/>
          </w:tcPr>
          <w:p>
            <w:pPr>
              <w:jc w:val="right"/>
            </w:pPr>
            <w:r>
              <w:rPr>
                <w:color w:val="000000"/>
                <w:sz w:val="24"/>
                <w:szCs w:val="24"/>
              </w:rPr>
              <w:t>0.97</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472,352.00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2.11</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15,241,711.10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67.99</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15,241,711.10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67.99</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4,269,505.86</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19.04</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19,983,568.96</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89.14</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108602</w:t>
            </w:r>
          </w:p>
        </w:tc>
        <w:tc>
          <w:tcPr>
            <w:vAlign w:val="center"/>
          </w:tcPr>
          <w:p>
            <w:pPr>
              <w:jc w:val="center"/>
            </w:pPr>
            <w:r>
              <w:rPr>
                <w:color w:val="000000"/>
                <w:sz w:val="24"/>
                <w:szCs w:val="24"/>
              </w:rPr>
              <w:t>国开1704</w:t>
            </w:r>
          </w:p>
        </w:tc>
        <w:tc>
          <w:tcPr>
            <w:vAlign w:val="center"/>
          </w:tcPr>
          <w:p>
            <w:pPr>
              <w:jc w:val="right"/>
            </w:pPr>
            <w:r>
              <w:rPr>
                <w:color w:val="000000"/>
                <w:sz w:val="24"/>
                <w:szCs w:val="24"/>
              </w:rPr>
              <w:t>87,420</w:t>
            </w:r>
          </w:p>
        </w:tc>
        <w:tc>
          <w:tcPr>
            <w:vAlign w:val="center"/>
          </w:tcPr>
          <w:p>
            <w:pPr>
              <w:jc w:val="right"/>
            </w:pPr>
            <w:r>
              <w:rPr>
                <w:color w:val="000000"/>
                <w:sz w:val="24"/>
                <w:szCs w:val="24"/>
              </w:rPr>
              <w:t>8,792,703.60</w:t>
            </w:r>
          </w:p>
        </w:tc>
        <w:tc>
          <w:tcPr>
            <w:vAlign w:val="center"/>
          </w:tcPr>
          <w:p>
            <w:pPr>
              <w:jc w:val="right"/>
            </w:pPr>
            <w:r>
              <w:rPr>
                <w:color w:val="000000"/>
                <w:sz w:val="24"/>
                <w:szCs w:val="24"/>
              </w:rPr>
              <w:t>39.22</w:t>
            </w:r>
          </w:p>
        </w:tc>
      </w:tr>
      <w:tr>
        <w:tc>
          <w:tcPr>
            <w:vAlign w:val="center"/>
          </w:tcPr>
          <w:p>
            <w:pPr>
              <w:jc w:val="center"/>
            </w:pPr>
            <w:r>
              <w:rPr>
                <w:color w:val="000000"/>
                <w:sz w:val="24"/>
                <w:szCs w:val="24"/>
              </w:rPr>
              <w:t>2</w:t>
            </w:r>
          </w:p>
        </w:tc>
        <w:tc>
          <w:tcPr>
            <w:vAlign w:val="center"/>
          </w:tcPr>
          <w:p>
            <w:pPr>
              <w:jc w:val="center"/>
            </w:pPr>
            <w:r>
              <w:rPr>
                <w:color w:val="000000"/>
                <w:sz w:val="24"/>
                <w:szCs w:val="24"/>
              </w:rPr>
              <w:t>018007</w:t>
            </w:r>
          </w:p>
        </w:tc>
        <w:tc>
          <w:tcPr>
            <w:vAlign w:val="center"/>
          </w:tcPr>
          <w:p>
            <w:pPr>
              <w:jc w:val="center"/>
            </w:pPr>
            <w:r>
              <w:rPr>
                <w:color w:val="000000"/>
                <w:sz w:val="24"/>
                <w:szCs w:val="24"/>
              </w:rPr>
              <w:t>国开1801</w:t>
            </w:r>
          </w:p>
        </w:tc>
        <w:tc>
          <w:tcPr>
            <w:vAlign w:val="center"/>
          </w:tcPr>
          <w:p>
            <w:pPr>
              <w:jc w:val="right"/>
            </w:pPr>
            <w:r>
              <w:rPr>
                <w:color w:val="000000"/>
                <w:sz w:val="24"/>
                <w:szCs w:val="24"/>
              </w:rPr>
              <w:t>64,010</w:t>
            </w:r>
          </w:p>
        </w:tc>
        <w:tc>
          <w:tcPr>
            <w:vAlign w:val="center"/>
          </w:tcPr>
          <w:p>
            <w:pPr>
              <w:jc w:val="right"/>
            </w:pPr>
            <w:r>
              <w:rPr>
                <w:color w:val="000000"/>
                <w:sz w:val="24"/>
                <w:szCs w:val="24"/>
              </w:rPr>
              <w:t>6,449,007.50</w:t>
            </w:r>
          </w:p>
        </w:tc>
        <w:tc>
          <w:tcPr>
            <w:vAlign w:val="center"/>
          </w:tcPr>
          <w:p>
            <w:pPr>
              <w:jc w:val="right"/>
            </w:pPr>
            <w:r>
              <w:rPr>
                <w:color w:val="000000"/>
                <w:sz w:val="24"/>
                <w:szCs w:val="24"/>
              </w:rPr>
              <w:t>28.77</w:t>
            </w:r>
          </w:p>
        </w:tc>
      </w:tr>
      <w:tr>
        <w:tc>
          <w:tcPr>
            <w:vAlign w:val="center"/>
          </w:tcPr>
          <w:p>
            <w:pPr>
              <w:jc w:val="center"/>
            </w:pPr>
            <w:r>
              <w:rPr>
                <w:color w:val="000000"/>
                <w:sz w:val="24"/>
                <w:szCs w:val="24"/>
              </w:rPr>
              <w:t>3</w:t>
            </w:r>
          </w:p>
        </w:tc>
        <w:tc>
          <w:tcPr>
            <w:vAlign w:val="center"/>
          </w:tcPr>
          <w:p>
            <w:pPr>
              <w:jc w:val="center"/>
            </w:pPr>
            <w:r>
              <w:rPr>
                <w:color w:val="000000"/>
                <w:sz w:val="24"/>
                <w:szCs w:val="24"/>
              </w:rPr>
              <w:t>128035</w:t>
            </w:r>
          </w:p>
        </w:tc>
        <w:tc>
          <w:tcPr>
            <w:vAlign w:val="center"/>
          </w:tcPr>
          <w:p>
            <w:pPr>
              <w:jc w:val="center"/>
            </w:pPr>
            <w:r>
              <w:rPr>
                <w:color w:val="000000"/>
                <w:sz w:val="24"/>
                <w:szCs w:val="24"/>
              </w:rPr>
              <w:t>大族转债</w:t>
            </w:r>
          </w:p>
        </w:tc>
        <w:tc>
          <w:tcPr>
            <w:vAlign w:val="center"/>
          </w:tcPr>
          <w:p>
            <w:pPr>
              <w:jc w:val="right"/>
            </w:pPr>
            <w:r>
              <w:rPr>
                <w:color w:val="000000"/>
                <w:sz w:val="24"/>
                <w:szCs w:val="24"/>
              </w:rPr>
              <w:t>8,050</w:t>
            </w:r>
          </w:p>
        </w:tc>
        <w:tc>
          <w:tcPr>
            <w:vAlign w:val="center"/>
          </w:tcPr>
          <w:p>
            <w:pPr>
              <w:jc w:val="right"/>
            </w:pPr>
            <w:r>
              <w:rPr>
                <w:color w:val="000000"/>
                <w:sz w:val="24"/>
                <w:szCs w:val="24"/>
              </w:rPr>
              <w:t>935,893.00</w:t>
            </w:r>
          </w:p>
        </w:tc>
        <w:tc>
          <w:tcPr>
            <w:vAlign w:val="center"/>
          </w:tcPr>
          <w:p>
            <w:pPr>
              <w:jc w:val="right"/>
            </w:pPr>
            <w:r>
              <w:rPr>
                <w:color w:val="000000"/>
                <w:sz w:val="24"/>
                <w:szCs w:val="24"/>
              </w:rPr>
              <w:t>4.17</w:t>
            </w:r>
          </w:p>
        </w:tc>
      </w:tr>
      <w:tr>
        <w:tc>
          <w:tcPr>
            <w:vAlign w:val="center"/>
          </w:tcPr>
          <w:p>
            <w:pPr>
              <w:jc w:val="center"/>
            </w:pPr>
            <w:r>
              <w:rPr>
                <w:color w:val="000000"/>
                <w:sz w:val="24"/>
                <w:szCs w:val="24"/>
              </w:rPr>
              <w:t>4</w:t>
            </w:r>
          </w:p>
        </w:tc>
        <w:tc>
          <w:tcPr>
            <w:vAlign w:val="center"/>
          </w:tcPr>
          <w:p>
            <w:pPr>
              <w:jc w:val="center"/>
            </w:pPr>
            <w:r>
              <w:rPr>
                <w:color w:val="000000"/>
                <w:sz w:val="24"/>
                <w:szCs w:val="24"/>
              </w:rPr>
              <w:t>110059</w:t>
            </w:r>
          </w:p>
        </w:tc>
        <w:tc>
          <w:tcPr>
            <w:vAlign w:val="center"/>
          </w:tcPr>
          <w:p>
            <w:pPr>
              <w:jc w:val="center"/>
            </w:pPr>
            <w:r>
              <w:rPr>
                <w:color w:val="000000"/>
                <w:sz w:val="24"/>
                <w:szCs w:val="24"/>
              </w:rPr>
              <w:t>浦发转债</w:t>
            </w:r>
          </w:p>
        </w:tc>
        <w:tc>
          <w:tcPr>
            <w:vAlign w:val="center"/>
          </w:tcPr>
          <w:p>
            <w:pPr>
              <w:jc w:val="right"/>
            </w:pPr>
            <w:r>
              <w:rPr>
                <w:color w:val="000000"/>
                <w:sz w:val="24"/>
                <w:szCs w:val="24"/>
              </w:rPr>
              <w:t>6,190</w:t>
            </w:r>
          </w:p>
        </w:tc>
        <w:tc>
          <w:tcPr>
            <w:vAlign w:val="center"/>
          </w:tcPr>
          <w:p>
            <w:pPr>
              <w:jc w:val="right"/>
            </w:pPr>
            <w:r>
              <w:rPr>
                <w:color w:val="000000"/>
                <w:sz w:val="24"/>
                <w:szCs w:val="24"/>
              </w:rPr>
              <w:t>676,195.60</w:t>
            </w:r>
          </w:p>
        </w:tc>
        <w:tc>
          <w:tcPr>
            <w:vAlign w:val="center"/>
          </w:tcPr>
          <w:p>
            <w:pPr>
              <w:jc w:val="right"/>
            </w:pPr>
            <w:r>
              <w:rPr>
                <w:color w:val="000000"/>
                <w:sz w:val="24"/>
                <w:szCs w:val="24"/>
              </w:rPr>
              <w:t>3.02</w:t>
            </w:r>
          </w:p>
        </w:tc>
      </w:tr>
      <w:tr>
        <w:tc>
          <w:tcPr>
            <w:vAlign w:val="center"/>
          </w:tcPr>
          <w:p>
            <w:pPr>
              <w:jc w:val="center"/>
            </w:pPr>
            <w:r>
              <w:rPr>
                <w:color w:val="000000"/>
                <w:sz w:val="24"/>
                <w:szCs w:val="24"/>
              </w:rPr>
              <w:t>5</w:t>
            </w:r>
          </w:p>
        </w:tc>
        <w:tc>
          <w:tcPr>
            <w:vAlign w:val="center"/>
          </w:tcPr>
          <w:p>
            <w:pPr>
              <w:jc w:val="center"/>
            </w:pPr>
            <w:r>
              <w:rPr>
                <w:color w:val="000000"/>
                <w:sz w:val="24"/>
                <w:szCs w:val="24"/>
              </w:rPr>
              <w:t>113011</w:t>
            </w:r>
          </w:p>
        </w:tc>
        <w:tc>
          <w:tcPr>
            <w:vAlign w:val="center"/>
          </w:tcPr>
          <w:p>
            <w:pPr>
              <w:jc w:val="center"/>
            </w:pPr>
            <w:r>
              <w:rPr>
                <w:color w:val="000000"/>
                <w:sz w:val="24"/>
                <w:szCs w:val="24"/>
              </w:rPr>
              <w:t>光大转债</w:t>
            </w:r>
          </w:p>
        </w:tc>
        <w:tc>
          <w:tcPr>
            <w:vAlign w:val="center"/>
          </w:tcPr>
          <w:p>
            <w:pPr>
              <w:jc w:val="right"/>
            </w:pPr>
            <w:r>
              <w:rPr>
                <w:color w:val="000000"/>
                <w:sz w:val="24"/>
                <w:szCs w:val="24"/>
              </w:rPr>
              <w:t>5,020</w:t>
            </w:r>
          </w:p>
        </w:tc>
        <w:tc>
          <w:tcPr>
            <w:vAlign w:val="center"/>
          </w:tcPr>
          <w:p>
            <w:pPr>
              <w:jc w:val="right"/>
            </w:pPr>
            <w:r>
              <w:rPr>
                <w:color w:val="000000"/>
                <w:sz w:val="24"/>
                <w:szCs w:val="24"/>
              </w:rPr>
              <w:t>625,793.20</w:t>
            </w:r>
          </w:p>
        </w:tc>
        <w:tc>
          <w:tcPr>
            <w:vAlign w:val="center"/>
          </w:tcPr>
          <w:p>
            <w:pPr>
              <w:jc w:val="right"/>
            </w:pPr>
            <w:r>
              <w:rPr>
                <w:color w:val="000000"/>
                <w:sz w:val="24"/>
                <w:szCs w:val="24"/>
              </w:rPr>
              <w:t>2.79</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19,171.26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101,697.69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349,159.95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30,325.71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500,354.61</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173B44" w:rsidR="00173B44" w:rsidRDefault="00173B44"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883"/>
        <w:gridCol w:w="1801"/>
        <w:gridCol w:w="1727"/>
        <w:gridCol w:w="1768"/>
        <w:gridCol w:w="1689"/>
      </w:tblGrid>
      <w:tr w:rsidR="003E62FB" w:rsidRPr="00414345" w:rsidTr="00A324F4">
        <w:trPr>
          <w:jc w:val="center"/>
        </w:trPr>
        <w:tc>
          <w:tcPr>
            <w:tcW w:type="dxa" w:w="180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729"/>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65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69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62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9D1BD9">
              <w:rPr>
                <w:rFonts w:hint="eastAsia"/>
                <w:color w:val="000000"/>
                <w:sz w:val="24"/>
                <w:szCs w:val="24"/>
              </w:rPr>
              <w:t>(</w:t>
            </w:r>
            <w:r w:rsidR="009D1BD9">
              <w:rPr>
                <w:color w:val="000000"/>
                <w:sz w:val="24"/>
                <w:szCs w:val="24"/>
              </w:rPr>
              <w:t>%</w:t>
            </w:r>
            <w:r w:rsidR="009D1BD9">
              <w:rPr>
                <w:rFonts w:hint="eastAsia"/>
                <w:color w:val="000000"/>
                <w:sz w:val="24"/>
                <w:szCs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128035</w:t>
            </w:r>
          </w:p>
        </w:tc>
        <w:tc>
          <w:tcPr>
            <w:vAlign w:val="center"/>
          </w:tcPr>
          <w:p>
            <w:pPr>
              <w:jc w:val="center"/>
            </w:pPr>
            <w:r>
              <w:rPr>
                <w:color w:val="000000"/>
                <w:sz w:val="24"/>
                <w:szCs w:val="24"/>
              </w:rPr>
              <w:t>大族转债</w:t>
            </w:r>
          </w:p>
        </w:tc>
        <w:tc>
          <w:tcPr>
            <w:vAlign w:val="center"/>
          </w:tcPr>
          <w:p>
            <w:pPr>
              <w:jc w:val="right"/>
            </w:pPr>
            <w:r>
              <w:rPr>
                <w:color w:val="000000"/>
                <w:sz w:val="24"/>
                <w:szCs w:val="24"/>
              </w:rPr>
              <w:t>935,893.00</w:t>
            </w:r>
          </w:p>
        </w:tc>
        <w:tc>
          <w:tcPr>
            <w:vAlign w:val="center"/>
          </w:tcPr>
          <w:p>
            <w:pPr>
              <w:jc w:val="right"/>
            </w:pPr>
            <w:r>
              <w:rPr>
                <w:color w:val="000000"/>
                <w:sz w:val="24"/>
                <w:szCs w:val="24"/>
              </w:rPr>
              <w:t>4.17</w:t>
            </w:r>
          </w:p>
        </w:tc>
      </w:tr>
      <w:tr>
        <w:tc>
          <w:tcPr>
            <w:vAlign w:val="center"/>
          </w:tcPr>
          <w:p>
            <w:pPr>
              <w:jc w:val="center"/>
            </w:pPr>
            <w:r>
              <w:rPr>
                <w:color w:val="000000"/>
                <w:sz w:val="24"/>
                <w:szCs w:val="24"/>
              </w:rPr>
              <w:t>2</w:t>
            </w:r>
          </w:p>
        </w:tc>
        <w:tc>
          <w:tcPr>
            <w:vAlign w:val="center"/>
          </w:tcPr>
          <w:p>
            <w:pPr>
              <w:jc w:val="center"/>
            </w:pPr>
            <w:r>
              <w:rPr>
                <w:color w:val="000000"/>
                <w:sz w:val="24"/>
                <w:szCs w:val="24"/>
              </w:rPr>
              <w:t>113011</w:t>
            </w:r>
          </w:p>
        </w:tc>
        <w:tc>
          <w:tcPr>
            <w:vAlign w:val="center"/>
          </w:tcPr>
          <w:p>
            <w:pPr>
              <w:jc w:val="center"/>
            </w:pPr>
            <w:r>
              <w:rPr>
                <w:color w:val="000000"/>
                <w:sz w:val="24"/>
                <w:szCs w:val="24"/>
              </w:rPr>
              <w:t>光大转债</w:t>
            </w:r>
          </w:p>
        </w:tc>
        <w:tc>
          <w:tcPr>
            <w:vAlign w:val="center"/>
          </w:tcPr>
          <w:p>
            <w:pPr>
              <w:jc w:val="right"/>
            </w:pPr>
            <w:r>
              <w:rPr>
                <w:color w:val="000000"/>
                <w:sz w:val="24"/>
                <w:szCs w:val="24"/>
              </w:rPr>
              <w:t>625,793.20</w:t>
            </w:r>
          </w:p>
        </w:tc>
        <w:tc>
          <w:tcPr>
            <w:vAlign w:val="center"/>
          </w:tcPr>
          <w:p>
            <w:pPr>
              <w:jc w:val="right"/>
            </w:pPr>
            <w:r>
              <w:rPr>
                <w:color w:val="000000"/>
                <w:sz w:val="24"/>
                <w:szCs w:val="24"/>
              </w:rPr>
              <w:t>2.79</w:t>
            </w:r>
          </w:p>
        </w:tc>
      </w:tr>
      <w:tr>
        <w:tc>
          <w:tcPr>
            <w:vAlign w:val="center"/>
          </w:tcPr>
          <w:p>
            <w:pPr>
              <w:jc w:val="center"/>
            </w:pPr>
            <w:r>
              <w:rPr>
                <w:color w:val="000000"/>
                <w:sz w:val="24"/>
                <w:szCs w:val="24"/>
              </w:rPr>
              <w:t>3</w:t>
            </w:r>
          </w:p>
        </w:tc>
        <w:tc>
          <w:tcPr>
            <w:vAlign w:val="center"/>
          </w:tcPr>
          <w:p>
            <w:pPr>
              <w:jc w:val="center"/>
            </w:pPr>
            <w:r>
              <w:rPr>
                <w:color w:val="000000"/>
                <w:sz w:val="24"/>
                <w:szCs w:val="24"/>
              </w:rPr>
              <w:t>128065</w:t>
            </w:r>
          </w:p>
        </w:tc>
        <w:tc>
          <w:tcPr>
            <w:vAlign w:val="center"/>
          </w:tcPr>
          <w:p>
            <w:pPr>
              <w:jc w:val="center"/>
            </w:pPr>
            <w:r>
              <w:rPr>
                <w:color w:val="000000"/>
                <w:sz w:val="24"/>
                <w:szCs w:val="24"/>
              </w:rPr>
              <w:t>雅化转债</w:t>
            </w:r>
          </w:p>
        </w:tc>
        <w:tc>
          <w:tcPr>
            <w:vAlign w:val="center"/>
          </w:tcPr>
          <w:p>
            <w:pPr>
              <w:jc w:val="right"/>
            </w:pPr>
            <w:r>
              <w:rPr>
                <w:color w:val="000000"/>
                <w:sz w:val="24"/>
                <w:szCs w:val="24"/>
              </w:rPr>
              <w:t>455,325.96</w:t>
            </w:r>
          </w:p>
        </w:tc>
        <w:tc>
          <w:tcPr>
            <w:vAlign w:val="center"/>
          </w:tcPr>
          <w:p>
            <w:pPr>
              <w:jc w:val="right"/>
            </w:pPr>
            <w:r>
              <w:rPr>
                <w:color w:val="000000"/>
                <w:sz w:val="24"/>
                <w:szCs w:val="24"/>
              </w:rPr>
              <w:t>2.03</w:t>
            </w:r>
          </w:p>
        </w:tc>
      </w:tr>
      <w:tr>
        <w:tc>
          <w:tcPr>
            <w:vAlign w:val="center"/>
          </w:tcPr>
          <w:p>
            <w:pPr>
              <w:jc w:val="center"/>
            </w:pPr>
            <w:r>
              <w:rPr>
                <w:color w:val="000000"/>
                <w:sz w:val="24"/>
                <w:szCs w:val="24"/>
              </w:rPr>
              <w:t>4</w:t>
            </w:r>
          </w:p>
        </w:tc>
        <w:tc>
          <w:tcPr>
            <w:vAlign w:val="center"/>
          </w:tcPr>
          <w:p>
            <w:pPr>
              <w:jc w:val="center"/>
            </w:pPr>
            <w:r>
              <w:rPr>
                <w:color w:val="000000"/>
                <w:sz w:val="24"/>
                <w:szCs w:val="24"/>
              </w:rPr>
              <w:t>123007</w:t>
            </w:r>
          </w:p>
        </w:tc>
        <w:tc>
          <w:tcPr>
            <w:vAlign w:val="center"/>
          </w:tcPr>
          <w:p>
            <w:pPr>
              <w:jc w:val="center"/>
            </w:pPr>
            <w:r>
              <w:rPr>
                <w:color w:val="000000"/>
                <w:sz w:val="24"/>
                <w:szCs w:val="24"/>
              </w:rPr>
              <w:t>道氏转债</w:t>
            </w:r>
          </w:p>
        </w:tc>
        <w:tc>
          <w:tcPr>
            <w:vAlign w:val="center"/>
          </w:tcPr>
          <w:p>
            <w:pPr>
              <w:jc w:val="right"/>
            </w:pPr>
            <w:r>
              <w:rPr>
                <w:color w:val="000000"/>
                <w:sz w:val="24"/>
                <w:szCs w:val="24"/>
              </w:rPr>
              <w:t>232,999.20</w:t>
            </w:r>
          </w:p>
        </w:tc>
        <w:tc>
          <w:tcPr>
            <w:vAlign w:val="center"/>
          </w:tcPr>
          <w:p>
            <w:pPr>
              <w:jc w:val="right"/>
            </w:pPr>
            <w:r>
              <w:rPr>
                <w:color w:val="000000"/>
                <w:sz w:val="24"/>
                <w:szCs w:val="24"/>
              </w:rPr>
              <w:t>1.04</w:t>
            </w:r>
          </w:p>
        </w:tc>
      </w:tr>
      <w:tr>
        <w:tc>
          <w:tcPr>
            <w:vAlign w:val="center"/>
          </w:tcPr>
          <w:p>
            <w:pPr>
              <w:jc w:val="center"/>
            </w:pPr>
            <w:r>
              <w:rPr>
                <w:color w:val="000000"/>
                <w:sz w:val="24"/>
                <w:szCs w:val="24"/>
              </w:rPr>
              <w:t>5</w:t>
            </w:r>
          </w:p>
        </w:tc>
        <w:tc>
          <w:tcPr>
            <w:vAlign w:val="center"/>
          </w:tcPr>
          <w:p>
            <w:pPr>
              <w:jc w:val="center"/>
            </w:pPr>
            <w:r>
              <w:rPr>
                <w:color w:val="000000"/>
                <w:sz w:val="24"/>
                <w:szCs w:val="24"/>
              </w:rPr>
              <w:t>113020</w:t>
            </w:r>
          </w:p>
        </w:tc>
        <w:tc>
          <w:tcPr>
            <w:vAlign w:val="center"/>
          </w:tcPr>
          <w:p>
            <w:pPr>
              <w:jc w:val="center"/>
            </w:pPr>
            <w:r>
              <w:rPr>
                <w:color w:val="000000"/>
                <w:sz w:val="24"/>
                <w:szCs w:val="24"/>
              </w:rPr>
              <w:t>桐昆转债</w:t>
            </w:r>
          </w:p>
        </w:tc>
        <w:tc>
          <w:tcPr>
            <w:vAlign w:val="center"/>
          </w:tcPr>
          <w:p>
            <w:pPr>
              <w:jc w:val="right"/>
            </w:pPr>
            <w:r>
              <w:rPr>
                <w:color w:val="000000"/>
                <w:sz w:val="24"/>
                <w:szCs w:val="24"/>
              </w:rPr>
              <w:t>226,861.00</w:t>
            </w:r>
          </w:p>
        </w:tc>
        <w:tc>
          <w:tcPr>
            <w:vAlign w:val="center"/>
          </w:tcPr>
          <w:p>
            <w:pPr>
              <w:jc w:val="right"/>
            </w:pPr>
            <w:r>
              <w:rPr>
                <w:color w:val="000000"/>
                <w:sz w:val="24"/>
                <w:szCs w:val="24"/>
              </w:rPr>
              <w:t>1.01</w:t>
            </w:r>
          </w:p>
        </w:tc>
      </w:tr>
      <w:tr>
        <w:tc>
          <w:tcPr>
            <w:vAlign w:val="center"/>
          </w:tcPr>
          <w:p>
            <w:pPr>
              <w:jc w:val="center"/>
            </w:pPr>
            <w:r>
              <w:rPr>
                <w:color w:val="000000"/>
                <w:sz w:val="24"/>
                <w:szCs w:val="24"/>
              </w:rPr>
              <w:t>6</w:t>
            </w:r>
          </w:p>
        </w:tc>
        <w:tc>
          <w:tcPr>
            <w:vAlign w:val="center"/>
          </w:tcPr>
          <w:p>
            <w:pPr>
              <w:jc w:val="center"/>
            </w:pPr>
            <w:r>
              <w:rPr>
                <w:color w:val="000000"/>
                <w:sz w:val="24"/>
                <w:szCs w:val="24"/>
              </w:rPr>
              <w:t>123025</w:t>
            </w:r>
          </w:p>
        </w:tc>
        <w:tc>
          <w:tcPr>
            <w:vAlign w:val="center"/>
          </w:tcPr>
          <w:p>
            <w:pPr>
              <w:jc w:val="center"/>
            </w:pPr>
            <w:r>
              <w:rPr>
                <w:color w:val="000000"/>
                <w:sz w:val="24"/>
                <w:szCs w:val="24"/>
              </w:rPr>
              <w:t>精测转债</w:t>
            </w:r>
          </w:p>
        </w:tc>
        <w:tc>
          <w:tcPr>
            <w:vAlign w:val="center"/>
          </w:tcPr>
          <w:p>
            <w:pPr>
              <w:jc w:val="right"/>
            </w:pPr>
            <w:r>
              <w:rPr>
                <w:color w:val="000000"/>
                <w:sz w:val="24"/>
                <w:szCs w:val="24"/>
              </w:rPr>
              <w:t>223,589.40</w:t>
            </w:r>
          </w:p>
        </w:tc>
        <w:tc>
          <w:tcPr>
            <w:vAlign w:val="center"/>
          </w:tcPr>
          <w:p>
            <w:pPr>
              <w:jc w:val="right"/>
            </w:pPr>
            <w:r>
              <w:rPr>
                <w:color w:val="000000"/>
                <w:sz w:val="24"/>
                <w:szCs w:val="24"/>
              </w:rPr>
              <w:t>1.00</w:t>
            </w:r>
          </w:p>
        </w:tc>
      </w:tr>
      <w:tr>
        <w:tc>
          <w:tcPr>
            <w:vAlign w:val="center"/>
          </w:tcPr>
          <w:p>
            <w:pPr>
              <w:jc w:val="center"/>
            </w:pPr>
            <w:r>
              <w:rPr>
                <w:color w:val="000000"/>
                <w:sz w:val="24"/>
                <w:szCs w:val="24"/>
              </w:rPr>
              <w:t>7</w:t>
            </w:r>
          </w:p>
        </w:tc>
        <w:tc>
          <w:tcPr>
            <w:vAlign w:val="center"/>
          </w:tcPr>
          <w:p>
            <w:pPr>
              <w:jc w:val="center"/>
            </w:pPr>
            <w:r>
              <w:rPr>
                <w:color w:val="000000"/>
                <w:sz w:val="24"/>
                <w:szCs w:val="24"/>
              </w:rPr>
              <w:t>128019</w:t>
            </w:r>
          </w:p>
        </w:tc>
        <w:tc>
          <w:tcPr>
            <w:vAlign w:val="center"/>
          </w:tcPr>
          <w:p>
            <w:pPr>
              <w:jc w:val="center"/>
            </w:pPr>
            <w:r>
              <w:rPr>
                <w:color w:val="000000"/>
                <w:sz w:val="24"/>
                <w:szCs w:val="24"/>
              </w:rPr>
              <w:t>久立转2</w:t>
            </w:r>
          </w:p>
        </w:tc>
        <w:tc>
          <w:tcPr>
            <w:vAlign w:val="center"/>
          </w:tcPr>
          <w:p>
            <w:pPr>
              <w:jc w:val="right"/>
            </w:pPr>
            <w:r>
              <w:rPr>
                <w:color w:val="000000"/>
                <w:sz w:val="24"/>
                <w:szCs w:val="24"/>
              </w:rPr>
              <w:t>222,511.20</w:t>
            </w:r>
          </w:p>
        </w:tc>
        <w:tc>
          <w:tcPr>
            <w:vAlign w:val="center"/>
          </w:tcPr>
          <w:p>
            <w:pPr>
              <w:jc w:val="right"/>
            </w:pPr>
            <w:r>
              <w:rPr>
                <w:color w:val="000000"/>
                <w:sz w:val="24"/>
                <w:szCs w:val="24"/>
              </w:rPr>
              <w:t>0.99</w:t>
            </w:r>
          </w:p>
        </w:tc>
      </w:tr>
      <w:tr>
        <w:tc>
          <w:tcPr>
            <w:vAlign w:val="center"/>
          </w:tcPr>
          <w:p>
            <w:pPr>
              <w:jc w:val="center"/>
            </w:pPr>
            <w:r>
              <w:rPr>
                <w:color w:val="000000"/>
                <w:sz w:val="24"/>
                <w:szCs w:val="24"/>
              </w:rPr>
              <w:t>8</w:t>
            </w:r>
          </w:p>
        </w:tc>
        <w:tc>
          <w:tcPr>
            <w:vAlign w:val="center"/>
          </w:tcPr>
          <w:p>
            <w:pPr>
              <w:jc w:val="center"/>
            </w:pPr>
            <w:r>
              <w:rPr>
                <w:color w:val="000000"/>
                <w:sz w:val="24"/>
                <w:szCs w:val="24"/>
              </w:rPr>
              <w:t>128059</w:t>
            </w:r>
          </w:p>
        </w:tc>
        <w:tc>
          <w:tcPr>
            <w:vAlign w:val="center"/>
          </w:tcPr>
          <w:p>
            <w:pPr>
              <w:jc w:val="center"/>
            </w:pPr>
            <w:r>
              <w:rPr>
                <w:color w:val="000000"/>
                <w:sz w:val="24"/>
                <w:szCs w:val="24"/>
              </w:rPr>
              <w:t>视源转债</w:t>
            </w:r>
          </w:p>
        </w:tc>
        <w:tc>
          <w:tcPr>
            <w:vAlign w:val="center"/>
          </w:tcPr>
          <w:p>
            <w:pPr>
              <w:jc w:val="right"/>
            </w:pPr>
            <w:r>
              <w:rPr>
                <w:color w:val="000000"/>
                <w:sz w:val="24"/>
                <w:szCs w:val="24"/>
              </w:rPr>
              <w:t>217,134.60</w:t>
            </w:r>
          </w:p>
        </w:tc>
        <w:tc>
          <w:tcPr>
            <w:vAlign w:val="center"/>
          </w:tcPr>
          <w:p>
            <w:pPr>
              <w:jc w:val="right"/>
            </w:pPr>
            <w:r>
              <w:rPr>
                <w:color w:val="000000"/>
                <w:sz w:val="24"/>
                <w:szCs w:val="24"/>
              </w:rPr>
              <w:t>0.97</w:t>
            </w:r>
          </w:p>
        </w:tc>
      </w:tr>
      <w:tr>
        <w:tc>
          <w:tcPr>
            <w:vAlign w:val="center"/>
          </w:tcPr>
          <w:p>
            <w:pPr>
              <w:jc w:val="center"/>
            </w:pPr>
            <w:r>
              <w:rPr>
                <w:color w:val="000000"/>
                <w:sz w:val="24"/>
                <w:szCs w:val="24"/>
              </w:rPr>
              <w:t>9</w:t>
            </w:r>
          </w:p>
        </w:tc>
        <w:tc>
          <w:tcPr>
            <w:vAlign w:val="center"/>
          </w:tcPr>
          <w:p>
            <w:pPr>
              <w:jc w:val="center"/>
            </w:pPr>
            <w:r>
              <w:rPr>
                <w:color w:val="000000"/>
                <w:sz w:val="24"/>
                <w:szCs w:val="24"/>
              </w:rPr>
              <w:t>123009</w:t>
            </w:r>
          </w:p>
        </w:tc>
        <w:tc>
          <w:tcPr>
            <w:vAlign w:val="center"/>
          </w:tcPr>
          <w:p>
            <w:pPr>
              <w:jc w:val="center"/>
            </w:pPr>
            <w:r>
              <w:rPr>
                <w:color w:val="000000"/>
                <w:sz w:val="24"/>
                <w:szCs w:val="24"/>
              </w:rPr>
              <w:t>星源转债</w:t>
            </w:r>
          </w:p>
        </w:tc>
        <w:tc>
          <w:tcPr>
            <w:vAlign w:val="center"/>
          </w:tcPr>
          <w:p>
            <w:pPr>
              <w:jc w:val="right"/>
            </w:pPr>
            <w:r>
              <w:rPr>
                <w:color w:val="000000"/>
                <w:sz w:val="24"/>
                <w:szCs w:val="24"/>
              </w:rPr>
              <w:t>212,330.70</w:t>
            </w:r>
          </w:p>
        </w:tc>
        <w:tc>
          <w:tcPr>
            <w:vAlign w:val="center"/>
          </w:tcPr>
          <w:p>
            <w:pPr>
              <w:jc w:val="right"/>
            </w:pPr>
            <w:r>
              <w:rPr>
                <w:color w:val="000000"/>
                <w:sz w:val="24"/>
                <w:szCs w:val="24"/>
              </w:rPr>
              <w:t>0.95</w:t>
            </w:r>
          </w:p>
        </w:tc>
      </w:tr>
      <w:tr>
        <w:tc>
          <w:tcPr>
            <w:vAlign w:val="center"/>
          </w:tcPr>
          <w:p>
            <w:pPr>
              <w:jc w:val="center"/>
            </w:pPr>
            <w:r>
              <w:rPr>
                <w:color w:val="000000"/>
                <w:sz w:val="24"/>
                <w:szCs w:val="24"/>
              </w:rPr>
              <w:t>10</w:t>
            </w:r>
          </w:p>
        </w:tc>
        <w:tc>
          <w:tcPr>
            <w:vAlign w:val="center"/>
          </w:tcPr>
          <w:p>
            <w:pPr>
              <w:jc w:val="center"/>
            </w:pPr>
            <w:r>
              <w:rPr>
                <w:color w:val="000000"/>
                <w:sz w:val="24"/>
                <w:szCs w:val="24"/>
              </w:rPr>
              <w:t>113522</w:t>
            </w:r>
          </w:p>
        </w:tc>
        <w:tc>
          <w:tcPr>
            <w:vAlign w:val="center"/>
          </w:tcPr>
          <w:p>
            <w:pPr>
              <w:jc w:val="center"/>
            </w:pPr>
            <w:r>
              <w:rPr>
                <w:color w:val="000000"/>
                <w:sz w:val="24"/>
                <w:szCs w:val="24"/>
              </w:rPr>
              <w:t>旭升转债</w:t>
            </w:r>
          </w:p>
        </w:tc>
        <w:tc>
          <w:tcPr>
            <w:vAlign w:val="center"/>
          </w:tcPr>
          <w:p>
            <w:pPr>
              <w:jc w:val="right"/>
            </w:pPr>
            <w:r>
              <w:rPr>
                <w:color w:val="000000"/>
                <w:sz w:val="24"/>
                <w:szCs w:val="24"/>
              </w:rPr>
              <w:t>202,772.00</w:t>
            </w:r>
          </w:p>
        </w:tc>
        <w:tc>
          <w:tcPr>
            <w:vAlign w:val="center"/>
          </w:tcPr>
          <w:p>
            <w:pPr>
              <w:jc w:val="right"/>
            </w:pPr>
            <w:r>
              <w:rPr>
                <w:color w:val="000000"/>
                <w:sz w:val="24"/>
                <w:szCs w:val="24"/>
              </w:rPr>
              <w:t>0.90</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bookmarkStart w:id="2" w:name="_GoBack"/>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bookmarkEnd w:id="2"/>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17,740,751.35</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587,549.17</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2,201,591.46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16,126,709.06</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r w:rsidRPr="004F4D27">
              <w:rPr>
                <w:rFonts w:ascii="宋体" w:hAnsi="宋体"/>
                <w:color w:val="000000"/>
                <w:kern w:val="0"/>
              </w:rPr>
              <w:lastRenderedPageBreak/>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lastRenderedPageBreak/>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个人</w:t>
            </w:r>
          </w:p>
        </w:tc>
        <w:tc>
          <w:tcPr>
            <w:vAlign w:val="center"/>
          </w:tcPr>
          <w:p>
            <w:pPr>
              <w:jc w:val="center"/>
            </w:pPr>
            <w:r>
              <w:rPr>
                <w:rFonts w:ascii="宋体" w:hAnsi="宋体"/>
                <w:kern w:val="0"/>
              </w:rPr>
              <w:t>1</w:t>
            </w:r>
          </w:p>
        </w:tc>
        <w:tc>
          <w:tcPr>
            <w:vAlign w:val="center"/>
          </w:tcPr>
          <w:p>
            <w:pPr>
              <w:jc w:val="center"/>
            </w:pPr>
            <w:r>
              <w:rPr>
                <w:rFonts w:ascii="宋体" w:hAnsi="宋体"/>
                <w:kern w:val="0"/>
              </w:rPr>
              <w:t>2019/10/1-2019/12/31</w:t>
            </w:r>
          </w:p>
        </w:tc>
        <w:tc>
          <w:tcPr>
            <w:vAlign w:val="center"/>
          </w:tcPr>
          <w:p>
            <w:pPr>
              <w:jc w:val="center"/>
            </w:pPr>
            <w:r>
              <w:rPr>
                <w:rFonts w:ascii="宋体" w:hAnsi="宋体"/>
                <w:kern w:val="0"/>
              </w:rPr>
              <w:t>5,000,575.00</w:t>
            </w:r>
          </w:p>
        </w:tc>
        <w:tc>
          <w:tcPr>
            <w:vAlign w:val="center"/>
          </w:tcPr>
          <w:p>
            <w:pPr>
              <w:jc w:val="center"/>
            </w:pPr>
            <w:r>
              <w:rPr>
                <w:rFonts w:ascii="宋体" w:hAnsi="宋体"/>
                <w:kern w:val="0"/>
              </w:rPr>
              <w:t>-</w:t>
            </w:r>
          </w:p>
        </w:tc>
        <w:tc>
          <w:tcPr>
            <w:vAlign w:val="center"/>
          </w:tcPr>
          <w:p>
            <w:pPr>
              <w:jc w:val="center"/>
            </w:pPr>
            <w:r>
              <w:rPr>
                <w:rFonts w:ascii="宋体" w:hAnsi="宋体"/>
                <w:kern w:val="0"/>
              </w:rPr>
              <w:t>-</w:t>
            </w:r>
          </w:p>
        </w:tc>
        <w:tc>
          <w:tcPr>
            <w:vAlign w:val="center"/>
          </w:tcPr>
          <w:p>
            <w:pPr>
              <w:jc w:val="center"/>
            </w:pPr>
            <w:r>
              <w:rPr>
                <w:rFonts w:ascii="宋体" w:hAnsi="宋体"/>
                <w:kern w:val="0"/>
              </w:rPr>
              <w:t>5,000,575.00</w:t>
            </w:r>
          </w:p>
        </w:tc>
        <w:tc>
          <w:tcPr>
            <w:vAlign w:val="center"/>
          </w:tcPr>
          <w:p>
            <w:pPr>
              <w:jc w:val="center"/>
            </w:pPr>
            <w:r>
              <w:rPr>
                <w:rFonts w:ascii="宋体" w:hAnsi="宋体"/>
                <w:kern w:val="0"/>
              </w:rPr>
              <w:t>31.01%</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hint="eastAsia"/>
          <w:b/>
          <w:bCs/>
          <w:color w:val="000000"/>
          <w:kern w:val="0"/>
          <w:sz w:val="24"/>
          <w:szCs w:val="24"/>
        </w:rPr>
        <w:t>8.2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1、中国证监会批准交银施罗德荣泰保本混合型证券投资基金募集的文件； </w:t>
      </w:r>
    </w:p>
    <w:p>
      <w:pPr>
        <w:spacing w:before="29" w:line="288" w:lineRule="auto"/>
        <w:ind w:firstLine="480" w:firstLineChars="200"/>
        <w:rPr>
          <w:color w:val="000000"/>
          <w:sz w:val="24"/>
          <w:szCs w:val="24"/>
        </w:rPr>
      </w:pPr>
      <w:r>
        <w:rPr>
          <w:color w:val="000000"/>
          <w:sz w:val="24"/>
          <w:szCs w:val="24"/>
        </w:rPr>
        <w:t>2、《交银施罗德增强收益债券型证券投资基金基金合同》；</w:t>
      </w:r>
    </w:p>
    <w:p>
      <w:pPr>
        <w:spacing w:before="29" w:line="288" w:lineRule="auto"/>
        <w:ind w:firstLine="480" w:firstLineChars="200"/>
        <w:rPr>
          <w:color w:val="000000"/>
          <w:sz w:val="24"/>
          <w:szCs w:val="24"/>
        </w:rPr>
      </w:pPr>
      <w:r>
        <w:rPr>
          <w:color w:val="000000"/>
          <w:sz w:val="24"/>
          <w:szCs w:val="24"/>
        </w:rPr>
        <w:t>3、《交银施罗德增强收益债券型证券投资基金招募说明书》；</w:t>
      </w:r>
    </w:p>
    <w:p>
      <w:pPr>
        <w:spacing w:before="29" w:line="288" w:lineRule="auto"/>
        <w:ind w:firstLine="480" w:firstLineChars="200"/>
        <w:rPr>
          <w:color w:val="000000"/>
          <w:sz w:val="24"/>
          <w:szCs w:val="24"/>
        </w:rPr>
      </w:pPr>
      <w:r>
        <w:rPr>
          <w:color w:val="000000"/>
          <w:sz w:val="24"/>
          <w:szCs w:val="24"/>
        </w:rPr>
        <w:t>4、《交银施罗德增强收益债券型证券投资基金托管协议》；</w:t>
      </w:r>
    </w:p>
    <w:p>
      <w:pPr>
        <w:spacing w:before="29" w:line="288" w:lineRule="auto"/>
        <w:ind w:firstLine="480" w:firstLineChars="200"/>
        <w:rPr>
          <w:color w:val="000000"/>
          <w:sz w:val="24"/>
          <w:szCs w:val="24"/>
        </w:rPr>
      </w:pPr>
      <w:r>
        <w:rPr>
          <w:color w:val="000000"/>
          <w:sz w:val="24"/>
          <w:szCs w:val="24"/>
        </w:rPr>
        <w:t>5、《交银施罗德荣泰保本混合型证券投资基金基金合同》；</w:t>
      </w:r>
    </w:p>
    <w:p>
      <w:pPr>
        <w:spacing w:before="29" w:line="288" w:lineRule="auto"/>
        <w:ind w:firstLine="480" w:firstLineChars="200"/>
        <w:rPr>
          <w:color w:val="000000"/>
          <w:sz w:val="24"/>
          <w:szCs w:val="24"/>
        </w:rPr>
      </w:pPr>
      <w:r>
        <w:rPr>
          <w:color w:val="000000"/>
          <w:sz w:val="24"/>
          <w:szCs w:val="24"/>
        </w:rPr>
        <w:t>6、《交银施罗德荣泰保本混合型证券投资基金招募说明书》；</w:t>
      </w:r>
    </w:p>
    <w:p>
      <w:pPr>
        <w:spacing w:before="29" w:line="288" w:lineRule="auto"/>
        <w:ind w:firstLine="480" w:firstLineChars="200"/>
        <w:rPr>
          <w:color w:val="000000"/>
          <w:sz w:val="24"/>
          <w:szCs w:val="24"/>
        </w:rPr>
      </w:pPr>
      <w:r>
        <w:rPr>
          <w:color w:val="000000"/>
          <w:sz w:val="24"/>
          <w:szCs w:val="24"/>
        </w:rPr>
        <w:t>7、《交银施罗德荣泰保本混合型证券投资基金托管协议》；</w:t>
      </w:r>
    </w:p>
    <w:p>
      <w:pPr>
        <w:spacing w:before="29" w:line="288" w:lineRule="auto"/>
        <w:ind w:firstLine="480" w:firstLineChars="200"/>
        <w:rPr>
          <w:color w:val="000000"/>
          <w:sz w:val="24"/>
          <w:szCs w:val="24"/>
        </w:rPr>
      </w:pPr>
      <w:r>
        <w:rPr>
          <w:color w:val="000000"/>
          <w:sz w:val="24"/>
          <w:szCs w:val="24"/>
        </w:rPr>
        <w:t xml:space="preserve">8、《交银施罗德荣泰保本混合型证券投资基金保证合同》； </w:t>
      </w:r>
    </w:p>
    <w:p>
      <w:pPr>
        <w:spacing w:before="29" w:line="288" w:lineRule="auto"/>
        <w:ind w:firstLine="480" w:firstLineChars="200"/>
        <w:rPr>
          <w:color w:val="000000"/>
          <w:sz w:val="24"/>
          <w:szCs w:val="24"/>
        </w:rPr>
      </w:pPr>
      <w:r>
        <w:rPr>
          <w:color w:val="000000"/>
          <w:sz w:val="24"/>
          <w:szCs w:val="24"/>
        </w:rPr>
        <w:t>9、基金管理人业务资格批件、营业执照；</w:t>
      </w:r>
    </w:p>
    <w:p>
      <w:pPr>
        <w:spacing w:before="29" w:line="288" w:lineRule="auto"/>
        <w:ind w:firstLine="480" w:firstLineChars="200"/>
        <w:rPr>
          <w:color w:val="000000"/>
          <w:sz w:val="24"/>
          <w:szCs w:val="24"/>
        </w:rPr>
      </w:pPr>
      <w:r>
        <w:rPr>
          <w:color w:val="000000"/>
          <w:sz w:val="24"/>
          <w:szCs w:val="24"/>
        </w:rPr>
        <w:t>10、基金托管人业务资格批件、营业执照；</w:t>
      </w:r>
    </w:p>
    <w:p>
      <w:pPr>
        <w:spacing w:before="29" w:line="288" w:lineRule="auto"/>
        <w:ind w:firstLine="480" w:firstLineChars="200"/>
        <w:rPr>
          <w:color w:val="000000"/>
          <w:sz w:val="24"/>
          <w:szCs w:val="24"/>
        </w:rPr>
      </w:pPr>
      <w:r>
        <w:rPr>
          <w:color w:val="000000"/>
          <w:sz w:val="24"/>
          <w:szCs w:val="24"/>
        </w:rPr>
        <w:t>11、关于申请募集交银施罗德荣泰保本混合型证券投资基金之法律意见书；</w:t>
      </w:r>
    </w:p>
    <w:p>
      <w:pPr>
        <w:spacing w:before="29" w:line="288" w:lineRule="auto"/>
        <w:ind w:firstLine="480" w:firstLineChars="200"/>
        <w:rPr>
          <w:color w:val="000000"/>
          <w:sz w:val="24"/>
          <w:szCs w:val="24"/>
        </w:rPr>
      </w:pPr>
      <w:r>
        <w:rPr>
          <w:color w:val="000000"/>
          <w:sz w:val="24"/>
          <w:szCs w:val="24"/>
        </w:rPr>
        <w:t>12、关于交银施罗德荣泰保本混合型证券投资基金保本周期到期转型及基金合同修改的法律意见；</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13、报告期内交银施罗德增强收益债券型证券投资基金、交银施罗德荣泰保本混合型证券投资基金在指定报刊上各项公告的原稿。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B0D08">
      <w:rPr>
        <w:noProof/>
        <w:kern w:val="0"/>
        <w:szCs w:val="21"/>
      </w:rPr>
      <w:t>18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B0D08">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B83A00" w:rsidRDefault="00B83A00">
      <w:r>
        <w:separator/>
      </w:r>
    </w:p>
  </w:footnote>
  <w:footnote w:id="0" w:type="continuationSeparator">
    <w:p w:rsidP="00876D65" w:rsidR="00B83A00" w:rsidRDefault="00B83A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交银施罗德增强收益债券型证券投资基金2019年第4季度报告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34F0-22B9-46A2-A0CE-73A273E3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2019-08-22T08:30:00Z</dcterms:modified>
  <cp:revision>597</cp:revision>
</cp:coreProperties>
</file>