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交银施罗德丰晟收益债券型证券投资基金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招商银行股份有限公司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基金托管人招商银行股份有限公司根据本基金合同规定，于2020年1月20日复核了本报告中的财务指标、净值表现和投资组合报告等内容，保证复核内容不存在虚假记载、误导性陈述或者重大遗漏。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交银丰晟收益债券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005577</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2018年5月23日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331,589,908.23</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在严格控制风险的前提下,力求获得高于业绩基准的投资收益。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封闭期内的投资策略：</w:t>
            </w:r>
          </w:p>
          <w:p>
            <w:pPr>
              <w:adjustRightInd w:val="0"/>
              <w:spacing w:before="29" w:line="288" w:lineRule="auto"/>
              <w:ind w:left="17"/>
              <w:jc w:val="left"/>
              <w:rPr>
                <w:color w:val="000000"/>
                <w:sz w:val="24"/>
              </w:rPr>
            </w:pPr>
            <w:r>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pPr>
              <w:adjustRightInd w:val="0"/>
              <w:spacing w:before="29" w:line="288" w:lineRule="auto"/>
              <w:ind w:left="17"/>
              <w:jc w:val="left"/>
              <w:rPr>
                <w:color w:val="000000"/>
                <w:sz w:val="24"/>
              </w:rPr>
            </w:pPr>
            <w:r>
              <w:rPr>
                <w:color w:val="000000"/>
                <w:kern w:val="0"/>
                <w:sz w:val="24"/>
              </w:rPr>
              <w:t>转为开放式运作后的投资策略：</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交银丰晟收益债券A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交银丰晟收益债券C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005577</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005578</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330,813,244.80</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776,663.43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交银丰晟收益债券A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交银丰晟收益债券C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3,979,462.08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8,024.08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1,125,530.11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1,356.05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0.0034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0.0017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360,924,337.56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842,327.96</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1.0910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1.0845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交银丰晟收益债券A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0.31%</w:t>
            </w:r>
          </w:p>
        </w:tc>
        <w:tc>
          <w:tcPr>
            <w:vAlign w:val="center"/>
          </w:tcPr>
          <w:p>
            <w:pPr>
              <w:jc w:val="center"/>
            </w:pPr>
            <w:r>
              <w:rPr>
                <w:color w:val="000000"/>
                <w:sz w:val="24"/>
              </w:rPr>
              <w:t>0.03%</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-0.31%</w:t>
            </w:r>
          </w:p>
        </w:tc>
        <w:tc>
          <w:tcPr>
            <w:vAlign w:val="center"/>
          </w:tcPr>
          <w:p>
            <w:pPr>
              <w:jc w:val="center"/>
            </w:pPr>
            <w:r>
              <w:rPr>
                <w:color w:val="000000"/>
                <w:sz w:val="24"/>
              </w:rPr>
              <w:t>-0.01%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交银丰晟收益债券C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0.16%</w:t>
            </w:r>
          </w:p>
        </w:tc>
        <w:tc>
          <w:tcPr>
            <w:vAlign w:val="center"/>
          </w:tcPr>
          <w:p>
            <w:pPr>
              <w:jc w:val="center"/>
            </w:pPr>
            <w:r>
              <w:rPr>
                <w:color w:val="000000"/>
                <w:sz w:val="24"/>
              </w:rPr>
              <w:t>0.03%</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-0.46%</w:t>
            </w:r>
          </w:p>
        </w:tc>
        <w:tc>
          <w:tcPr>
            <w:vAlign w:val="center"/>
          </w:tcPr>
          <w:p>
            <w:pPr>
              <w:jc w:val="center"/>
            </w:pPr>
            <w:r>
              <w:rPr>
                <w:color w:val="000000"/>
                <w:sz w:val="24"/>
              </w:rPr>
              <w:t>-0.01%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交银施罗德丰晟收益债券型证券投资基金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2018年5月23日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交银丰晟收益债券A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交银丰晟收益债券C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vAlign w:val="center"/>
          </w:tcPr>
          <w:p>
            <w:pPr>
              <w:jc w:val="center"/>
            </w:pPr>
            <w:r>
              <w:rPr>
                <w:color w:val="000000"/>
                <w:sz w:val="24"/>
              </w:rPr>
              <w:t>2018-05-23</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荣鑫保本混合型证券投资基金的基金经理。2017年6月10日至2019年3月14日担任交银施罗德荣祥保本混合型证券投资基金的基金经理。2017年6月10日至2019年3月14日担任交银施罗德定期支付月月丰债券型证券投资基金的基金经理。2017年6月10日至2019年3月14日担任交银施罗德强化回报债券型证券投资基金的基金经理。2017年6月10日至2019年3月14日担任交银施罗德增利增强债券型证券投资基金的基金经理。2017年6月10日至2019年3月14日担任交银施罗德增强收益债券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交银增利债券、交银纯债债券发起、交银丰润收益债券、交银增利增强债券、交银丰晟收益债券、交银裕如纯债债券、交银中债1-3年农发债指数、交银可转债债券、交银裕泰两年定期开放债券的基金经理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四季度债券收益率先上后下，维持低位震荡格局。四季度伊始，债券市场利空因素集中出现，中美贸易摩擦缓和、通胀上行以及金融数据超预期共同推升债券收益率上行，债券收益率在十月底上行至年内第二高点。进入十一月后，在央行超预期下调MLF、逆回购利率的背景下，市场对于基本面利空反应钝化，虽然通胀走高，但收益率开始震荡下行。进入十二月后，资金宽松导致的机构配置压力增大成为助推债券收益率下行的重要原因。年末央行大额净投放，结合三季度中国货币政策执行报告强调“降成本”等相关表述，市场降准预期再起，短端资金利率大幅下行，机构配置热情高涨，债券收益率维持低位震荡。</w:t>
      </w:r>
    </w:p>
    <w:p>
      <w:pPr>
        <w:spacing w:before="29" w:line="288" w:lineRule="auto"/>
        <w:ind w:firstLine="480" w:firstLineChars="200"/>
        <w:rPr>
          <w:color w:val="000000"/>
          <w:sz w:val="24"/>
        </w:rPr>
      </w:pPr>
      <w:r>
        <w:rPr>
          <w:color w:val="000000"/>
          <w:sz w:val="24"/>
        </w:rPr>
        <w:t>报告期内，本基金继续采用久期匹配策略配置信用债，并根据市场情况适时优化组合持仓。本基金以信用债为主要配置，充分利用杠杆，获得稳定的票息和杠杆收益。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一季度，宏观经济内生动力较弱叠加政策托而不举，经济仍面临一定下行压力。一方面全球经济疲弱出口难见起色，而中国扩大对美进口对净出口形成拖累，地产投资在房住不炒的定位下延续缓慢下行趋势。另一方面，稳增长政策发力对基建投资形成拉动，制造业投资和消费在长期下行之后对经济的拖累减弱。通胀年初录得高点之后逐渐回落，猪肉和油价供给弹性影响通胀预期，但结构性通胀对货币政策掣肘有限。整体来看，在2020年全面建成小康社会之年，政策基调以稳为主，操作上多基于底线思维，流动性预计保持合理充裕，LPR改革后宽信用效果将逐渐显现，预计长端利率维持区间震荡格局，票息策略优于久期策略。操作策略方面，组合将维持久期匹配的套息策略，控制组合资金成本，获得较好的票息和杠杆收益，同时考虑封闭期临近到期，组合将逐步变现资产，做好流动性管理。</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672,165,200.00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95.27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672,165,200.00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95.27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20,960,597.67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2.97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12,445,356.45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1.76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705,571,154.12</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323,880,800.00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89.53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17,079,900.00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4.72</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331,204,500.00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91.55</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672,165,200.00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185.80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101800692</w:t>
            </w:r>
          </w:p>
        </w:tc>
        <w:tc>
          <w:tcPr>
            <w:vAlign w:val="center"/>
          </w:tcPr>
          <w:p>
            <w:pPr>
              <w:jc w:val="center"/>
            </w:pPr>
            <w:r>
              <w:rPr>
                <w:color w:val="000000"/>
                <w:sz w:val="24"/>
              </w:rPr>
              <w:t>18拉萨城投MTN001</w:t>
            </w:r>
          </w:p>
        </w:tc>
        <w:tc>
          <w:tcPr>
            <w:vAlign w:val="center"/>
          </w:tcPr>
          <w:p>
            <w:pPr>
              <w:jc w:val="right"/>
            </w:pPr>
            <w:r>
              <w:rPr>
                <w:color w:val="000000"/>
                <w:sz w:val="24"/>
              </w:rPr>
              <w:t>300,000</w:t>
            </w:r>
          </w:p>
        </w:tc>
        <w:tc>
          <w:tcPr>
            <w:vAlign w:val="center"/>
          </w:tcPr>
          <w:p>
            <w:pPr>
              <w:jc w:val="right"/>
            </w:pPr>
            <w:r>
              <w:rPr>
                <w:color w:val="000000"/>
                <w:sz w:val="24"/>
              </w:rPr>
              <w:t>31,080,000.00</w:t>
            </w:r>
          </w:p>
        </w:tc>
        <w:tc>
          <w:tcPr>
            <w:vAlign w:val="center"/>
          </w:tcPr>
          <w:p>
            <w:pPr>
              <w:jc w:val="right"/>
            </w:pPr>
            <w:r>
              <w:rPr>
                <w:color w:val="000000"/>
                <w:sz w:val="24"/>
              </w:rPr>
              <w:t>8.59</w:t>
            </w:r>
          </w:p>
        </w:tc>
      </w:tr>
      <w:tr>
        <w:tc>
          <w:tcPr>
            <w:vAlign w:val="center"/>
          </w:tcPr>
          <w:p>
            <w:pPr>
              <w:jc w:val="center"/>
            </w:pPr>
            <w:r>
              <w:rPr>
                <w:color w:val="000000"/>
                <w:sz w:val="24"/>
              </w:rPr>
              <w:t>2</w:t>
            </w:r>
          </w:p>
        </w:tc>
        <w:tc>
          <w:tcPr>
            <w:vAlign w:val="center"/>
          </w:tcPr>
          <w:p>
            <w:pPr>
              <w:jc w:val="center"/>
            </w:pPr>
            <w:r>
              <w:rPr>
                <w:color w:val="000000"/>
                <w:sz w:val="24"/>
              </w:rPr>
              <w:t>122478</w:t>
            </w:r>
          </w:p>
        </w:tc>
        <w:tc>
          <w:tcPr>
            <w:vAlign w:val="center"/>
          </w:tcPr>
          <w:p>
            <w:pPr>
              <w:jc w:val="center"/>
            </w:pPr>
            <w:r>
              <w:rPr>
                <w:color w:val="000000"/>
                <w:sz w:val="24"/>
              </w:rPr>
              <w:t>14粤运01</w:t>
            </w:r>
          </w:p>
        </w:tc>
        <w:tc>
          <w:tcPr>
            <w:vAlign w:val="center"/>
          </w:tcPr>
          <w:p>
            <w:pPr>
              <w:jc w:val="right"/>
            </w:pPr>
            <w:r>
              <w:rPr>
                <w:color w:val="000000"/>
                <w:sz w:val="24"/>
              </w:rPr>
              <w:t>300,000</w:t>
            </w:r>
          </w:p>
        </w:tc>
        <w:tc>
          <w:tcPr>
            <w:vAlign w:val="center"/>
          </w:tcPr>
          <w:p>
            <w:pPr>
              <w:jc w:val="right"/>
            </w:pPr>
            <w:r>
              <w:rPr>
                <w:color w:val="000000"/>
                <w:sz w:val="24"/>
              </w:rPr>
              <w:t>30,507,000.00</w:t>
            </w:r>
          </w:p>
        </w:tc>
        <w:tc>
          <w:tcPr>
            <w:vAlign w:val="center"/>
          </w:tcPr>
          <w:p>
            <w:pPr>
              <w:jc w:val="right"/>
            </w:pPr>
            <w:r>
              <w:rPr>
                <w:color w:val="000000"/>
                <w:sz w:val="24"/>
              </w:rPr>
              <w:t>8.43</w:t>
            </w:r>
          </w:p>
        </w:tc>
      </w:tr>
      <w:tr>
        <w:tc>
          <w:tcPr>
            <w:vAlign w:val="center"/>
          </w:tcPr>
          <w:p>
            <w:pPr>
              <w:jc w:val="center"/>
            </w:pPr>
            <w:r>
              <w:rPr>
                <w:color w:val="000000"/>
                <w:sz w:val="24"/>
              </w:rPr>
              <w:t>3</w:t>
            </w:r>
          </w:p>
        </w:tc>
        <w:tc>
          <w:tcPr>
            <w:vAlign w:val="center"/>
          </w:tcPr>
          <w:p>
            <w:pPr>
              <w:jc w:val="center"/>
            </w:pPr>
            <w:r>
              <w:rPr>
                <w:color w:val="000000"/>
                <w:sz w:val="24"/>
              </w:rPr>
              <w:t>143287</w:t>
            </w:r>
          </w:p>
        </w:tc>
        <w:tc>
          <w:tcPr>
            <w:vAlign w:val="center"/>
          </w:tcPr>
          <w:p>
            <w:pPr>
              <w:jc w:val="center"/>
            </w:pPr>
            <w:r>
              <w:rPr>
                <w:color w:val="000000"/>
                <w:sz w:val="24"/>
              </w:rPr>
              <w:t>17联投01</w:t>
            </w:r>
          </w:p>
        </w:tc>
        <w:tc>
          <w:tcPr>
            <w:vAlign w:val="center"/>
          </w:tcPr>
          <w:p>
            <w:pPr>
              <w:jc w:val="right"/>
            </w:pPr>
            <w:r>
              <w:rPr>
                <w:color w:val="000000"/>
                <w:sz w:val="24"/>
              </w:rPr>
              <w:t>300,000</w:t>
            </w:r>
          </w:p>
        </w:tc>
        <w:tc>
          <w:tcPr>
            <w:vAlign w:val="center"/>
          </w:tcPr>
          <w:p>
            <w:pPr>
              <w:jc w:val="right"/>
            </w:pPr>
            <w:r>
              <w:rPr>
                <w:color w:val="000000"/>
                <w:sz w:val="24"/>
              </w:rPr>
              <w:t>30,315,000.00</w:t>
            </w:r>
          </w:p>
        </w:tc>
        <w:tc>
          <w:tcPr>
            <w:vAlign w:val="center"/>
          </w:tcPr>
          <w:p>
            <w:pPr>
              <w:jc w:val="right"/>
            </w:pPr>
            <w:r>
              <w:rPr>
                <w:color w:val="000000"/>
                <w:sz w:val="24"/>
              </w:rPr>
              <w:t>8.38</w:t>
            </w:r>
          </w:p>
        </w:tc>
      </w:tr>
      <w:tr>
        <w:tc>
          <w:tcPr>
            <w:vAlign w:val="center"/>
          </w:tcPr>
          <w:p>
            <w:pPr>
              <w:jc w:val="center"/>
            </w:pPr>
            <w:r>
              <w:rPr>
                <w:color w:val="000000"/>
                <w:sz w:val="24"/>
              </w:rPr>
              <w:t>4</w:t>
            </w:r>
          </w:p>
        </w:tc>
        <w:tc>
          <w:tcPr>
            <w:vAlign w:val="center"/>
          </w:tcPr>
          <w:p>
            <w:pPr>
              <w:jc w:val="center"/>
            </w:pPr>
            <w:r>
              <w:rPr>
                <w:color w:val="000000"/>
                <w:sz w:val="24"/>
              </w:rPr>
              <w:t>122358</w:t>
            </w:r>
          </w:p>
        </w:tc>
        <w:tc>
          <w:tcPr>
            <w:vAlign w:val="center"/>
          </w:tcPr>
          <w:p>
            <w:pPr>
              <w:jc w:val="center"/>
            </w:pPr>
            <w:r>
              <w:rPr>
                <w:color w:val="000000"/>
                <w:sz w:val="24"/>
              </w:rPr>
              <w:t>15际华03</w:t>
            </w:r>
          </w:p>
        </w:tc>
        <w:tc>
          <w:tcPr>
            <w:vAlign w:val="center"/>
          </w:tcPr>
          <w:p>
            <w:pPr>
              <w:jc w:val="right"/>
            </w:pPr>
            <w:r>
              <w:rPr>
                <w:color w:val="000000"/>
                <w:sz w:val="24"/>
              </w:rPr>
              <w:t>300,000</w:t>
            </w:r>
          </w:p>
        </w:tc>
        <w:tc>
          <w:tcPr>
            <w:vAlign w:val="center"/>
          </w:tcPr>
          <w:p>
            <w:pPr>
              <w:jc w:val="right"/>
            </w:pPr>
            <w:r>
              <w:rPr>
                <w:color w:val="000000"/>
                <w:sz w:val="24"/>
              </w:rPr>
              <w:t>30,294,000.00</w:t>
            </w:r>
          </w:p>
        </w:tc>
        <w:tc>
          <w:tcPr>
            <w:vAlign w:val="center"/>
          </w:tcPr>
          <w:p>
            <w:pPr>
              <w:jc w:val="right"/>
            </w:pPr>
            <w:r>
              <w:rPr>
                <w:color w:val="000000"/>
                <w:sz w:val="24"/>
              </w:rPr>
              <w:t>8.37</w:t>
            </w:r>
          </w:p>
        </w:tc>
      </w:tr>
      <w:tr>
        <w:tc>
          <w:tcPr>
            <w:vAlign w:val="center"/>
          </w:tcPr>
          <w:p>
            <w:pPr>
              <w:jc w:val="center"/>
            </w:pPr>
            <w:r>
              <w:rPr>
                <w:color w:val="000000"/>
                <w:sz w:val="24"/>
              </w:rPr>
              <w:t>5</w:t>
            </w:r>
          </w:p>
        </w:tc>
        <w:tc>
          <w:tcPr>
            <w:vAlign w:val="center"/>
          </w:tcPr>
          <w:p>
            <w:pPr>
              <w:jc w:val="center"/>
            </w:pPr>
            <w:r>
              <w:rPr>
                <w:color w:val="000000"/>
                <w:sz w:val="24"/>
              </w:rPr>
              <w:t>101560059</w:t>
            </w:r>
          </w:p>
        </w:tc>
        <w:tc>
          <w:tcPr>
            <w:vAlign w:val="center"/>
          </w:tcPr>
          <w:p>
            <w:pPr>
              <w:jc w:val="center"/>
            </w:pPr>
            <w:r>
              <w:rPr>
                <w:color w:val="000000"/>
                <w:sz w:val="24"/>
              </w:rPr>
              <w:t>15盐城城南MTN001</w:t>
            </w:r>
          </w:p>
        </w:tc>
        <w:tc>
          <w:tcPr>
            <w:vAlign w:val="center"/>
          </w:tcPr>
          <w:p>
            <w:pPr>
              <w:jc w:val="right"/>
            </w:pPr>
            <w:r>
              <w:rPr>
                <w:color w:val="000000"/>
                <w:sz w:val="24"/>
              </w:rPr>
              <w:t>300,000</w:t>
            </w:r>
          </w:p>
        </w:tc>
        <w:tc>
          <w:tcPr>
            <w:vAlign w:val="center"/>
          </w:tcPr>
          <w:p>
            <w:pPr>
              <w:jc w:val="right"/>
            </w:pPr>
            <w:r>
              <w:rPr>
                <w:color w:val="000000"/>
                <w:sz w:val="24"/>
              </w:rPr>
              <w:t>30,291,000.00</w:t>
            </w:r>
          </w:p>
        </w:tc>
        <w:tc>
          <w:tcPr>
            <w:vAlign w:val="center"/>
          </w:tcPr>
          <w:p>
            <w:pPr>
              <w:jc w:val="right"/>
            </w:pPr>
            <w:r>
              <w:rPr>
                <w:color w:val="000000"/>
                <w:sz w:val="24"/>
              </w:rPr>
              <w:t>8.37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12,445,356.45</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12,445,356.45</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交银丰晟收益债券A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交银丰晟收益债券C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330,813,244.80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776,663.43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330,813,244.80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776,663.43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1、中国证监会准予交银施罗德丰晟收益债券型证券投资基金募集注册的文件；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2、《交银施罗德丰晟收益债券型证券投资基金基金合同》；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3、《交银施罗德丰晟收益债券型证券投资基金招募说明书》；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4、《交银施罗德丰晟收益债券型证券投资基金托管协议》；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5、关于申请募集注册交银施罗德丰晟收益债券型证券投资基金的法律意见书；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8、报告期内交银施罗德丰晟收益债券型证券投资基金在指定报刊上各项公告的原稿。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10F55">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10F55">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A0963" w:rsidRDefault="006A0963">
      <w:r>
        <w:separator/>
      </w:r>
    </w:p>
  </w:footnote>
  <w:footnote w:id="0" w:type="continuationSeparator">
    <w:p w:rsidR="006A0963" w:rsidRDefault="006A096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交银施罗德丰晟收益债券型证券投资基金2019年第4季度报告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4E0A-9053-45FF-AFA1-C8F6CF3B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251</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2019-10-16T02:01:00Z</dcterms:modified>
  <cp:revision>403</cp:revision>
</cp:coreProperties>
</file>