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交银施罗德天利宝货币市场基金</w:t>
      </w:r>
    </w:p>
    <w:p w:rsidP="00281564" w:rsidR="00B60E27" w:rsidRDefault="00B60E27" w:rsidRPr="001E1B20">
      <w:pPr>
        <w:spacing w:before="29" w:line="288" w:lineRule="auto"/>
        <w:jc w:val="center"/>
        <w:rPr>
          <w:b/>
          <w:sz w:val="36"/>
          <w:szCs w:val="36"/>
        </w:rPr>
      </w:pPr>
      <w:r w:rsidRPr="001E1B20">
        <w:rPr>
          <w:b/>
          <w:sz w:val="36"/>
          <w:szCs w:val="36"/>
        </w:rPr>
        <w:t>2019年第4季度报告</w:t>
      </w:r>
    </w:p>
    <w:p w:rsidP="00281564" w:rsidR="002B45A4" w:rsidRDefault="00D87D00" w:rsidRPr="001E1B20">
      <w:pPr>
        <w:spacing w:before="29" w:line="288" w:lineRule="auto"/>
        <w:jc w:val="center"/>
        <w:rPr>
          <w:b/>
          <w:sz w:val="36"/>
          <w:szCs w:val="36"/>
        </w:rPr>
      </w:pPr>
      <w:r w:rsidRPr="001E1B20">
        <w:rPr>
          <w:b/>
          <w:sz w:val="36"/>
          <w:szCs w:val="36"/>
        </w:rPr>
        <w:t>2019年12月31日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中信银行股份有限公司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二〇二〇年一月二十一日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基金托管人中信银行股份有限公司根据本基金合同规定，于2020年1月20日复核了本报告中的财务指标、净值表现和投资组合报告等内容，保证复核内容不存在虚假记载、误导性陈述或者重大遗漏。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交银天利宝货币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002889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2016年10月19日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1,564,899,626.70</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交银天利宝货币A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交银天利宝货币E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002889</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002890</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779,587,266.08</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785,312,360.62</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(2019年10月1日-2019年12月31日)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交银天利宝货币A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交银天利宝货币E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3,061,407.21</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6,334,185.52</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3,061,407.21</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6,334,185.52</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779,587,266.08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785,312,360.62</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交银天利宝货币A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0.6471%</w:t>
            </w:r>
          </w:p>
        </w:tc>
        <w:tc>
          <w:tcPr>
            <w:vAlign w:val="center"/>
          </w:tcPr>
          <w:p>
            <w:pPr>
              <w:jc w:val="center"/>
            </w:pPr>
            <w:r>
              <w:rPr>
                <w:rFonts w:ascii="Times New Roman" w:hAnsi="Times New Roman"/>
                <w:color w:val="000000"/>
              </w:rPr>
              <w:t>0.0022%</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0.5589%</w:t>
            </w:r>
          </w:p>
        </w:tc>
        <w:tc>
          <w:tcPr>
            <w:vAlign w:val="center"/>
          </w:tcPr>
          <w:p>
            <w:pPr>
              <w:jc w:val="center"/>
            </w:pPr>
            <w:r>
              <w:rPr>
                <w:rFonts w:ascii="Times New Roman" w:hAnsi="Times New Roman"/>
                <w:color w:val="000000"/>
              </w:rPr>
              <w:t>0.0022%</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交银天利宝货币E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0.7074%</w:t>
            </w:r>
          </w:p>
        </w:tc>
        <w:tc>
          <w:tcPr>
            <w:vAlign w:val="center"/>
          </w:tcPr>
          <w:p>
            <w:pPr>
              <w:jc w:val="center"/>
            </w:pPr>
            <w:r>
              <w:rPr>
                <w:rFonts w:ascii="Times New Roman" w:hAnsi="Times New Roman"/>
                <w:color w:val="000000"/>
              </w:rPr>
              <w:t>0.0022%</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0.6192%</w:t>
            </w:r>
          </w:p>
        </w:tc>
        <w:tc>
          <w:tcPr>
            <w:vAlign w:val="center"/>
          </w:tcPr>
          <w:p>
            <w:pPr>
              <w:jc w:val="center"/>
            </w:pPr>
            <w:r>
              <w:rPr>
                <w:rFonts w:ascii="Times New Roman" w:hAnsi="Times New Roman"/>
                <w:color w:val="000000"/>
              </w:rPr>
              <w:t>0.0022%</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交银施罗德天利宝货币市场基金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2016年10月19日</w:t>
      </w:r>
      <w:r w:rsidR="00A7219D" w:rsidRPr="000E4C40">
        <w:rPr>
          <w:rFonts w:hAnsi="宋体"/>
          <w:color w:val="000000"/>
          <w:kern w:val="0"/>
          <w:sz w:val="24"/>
        </w:rPr>
        <w:t>至</w:t>
      </w:r>
      <w:r w:rsidR="00A7219D" w:rsidRPr="000E4C40">
        <w:rPr>
          <w:color w:val="000000"/>
          <w:kern w:val="0"/>
          <w:sz w:val="24"/>
        </w:rPr>
        <w:t>2019年12月31日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交银天利宝货币A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交银天利宝货币E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2016-10-19</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中美贸易谈判达成第一阶段协议，海外风险偏好回升，基本面数据略超预期，通胀持续走高。总体来说，基本面数据对债券市场都相对偏空，但债市表现出较强的韧性。长端利率总体呈震荡走势，十年国债收益率从3.14%小幅下行1bp到3.13%。由于资金面总体宽松、机构整体配置压力较大，相对来说确定性较强的中短端债券受到资金的追捧，收益率下行明显。期限利差走阔，收益率曲线明显陡峭化。</w:t>
      </w:r>
    </w:p>
    <w:p>
      <w:pPr>
        <w:spacing w:before="29" w:line="288" w:lineRule="auto"/>
        <w:ind w:firstLine="480" w:firstLineChars="200"/>
        <w:rPr>
          <w:color w:val="000000"/>
          <w:sz w:val="24"/>
        </w:rPr>
      </w:pPr>
      <w:r>
        <w:rPr>
          <w:color w:val="000000"/>
          <w:sz w:val="24"/>
        </w:rPr>
        <w:t>基金操作方面，我们仍旧保持短久期的操作思路，适当运用杠杆增厚组合收益，多投资于估值波动较小的银行存款与回购等，组合整体流动性良好。年末时点货币市场工具收益率有一定幅度的上行，我们视组合流动性和市场情况，增配了高评级的同业存单、同业存款等，维持组合收益水平。</w:t>
      </w:r>
    </w:p>
    <w:p>
      <w:pPr>
        <w:spacing w:before="29" w:line="288" w:lineRule="auto"/>
        <w:ind w:firstLine="480" w:firstLineChars="200"/>
        <w:rPr>
          <w:color w:val="000000"/>
          <w:sz w:val="24"/>
        </w:rPr>
      </w:pPr>
      <w:r>
        <w:rPr>
          <w:color w:val="000000"/>
          <w:sz w:val="24"/>
        </w:rPr>
        <w:t>展望2020年一季度，我们认为在降成本环境下货币环境延续宽松，流动性总量将维持合理充裕。但我们将密切关注通胀是否会超预期上行从而带来货币政策的边际变化，也将继续观察银行理财子公司的发展以及类货币型理财产品对行业生态的影响。</w:t>
      </w:r>
    </w:p>
    <w:p w:rsidP="00281564" w:rsidR="00C4627A" w:rsidRDefault="00C4627A" w:rsidRPr="000E4C40">
      <w:pPr>
        <w:spacing w:before="29" w:line="288" w:lineRule="auto"/>
        <w:ind w:firstLine="480" w:firstLineChars="20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1,062,015,747.64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59.37</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1,062,015,747.64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59.37</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360,049,500.08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20.13</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360,740,813.44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20.17</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6,063,381.89</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0.34</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1,788,869,443.05</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13.61</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223,123,488.44</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14.26</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89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89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21</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本基金合同约定：“本基金投资组合的平均剩余期限在每个交易日均不得超过120天”。本报告期内，本基金未发生超标情况。</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22.63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14.26</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8.09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45.20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9.57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28.43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113.92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14.26</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19,984,667.16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1.28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60,102,377.71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3.84</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60,102,377.71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3.84</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179,565,726.32</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11.47</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50,410,403.81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3.22</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751,952,572.64</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48.05</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1,062,015,747.64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67.86</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111921482</w:t>
            </w:r>
          </w:p>
        </w:tc>
        <w:tc>
          <w:tcPr>
            <w:vAlign w:val="center"/>
          </w:tcPr>
          <w:p>
            <w:pPr>
              <w:jc w:val="center"/>
            </w:pPr>
            <w:r>
              <w:rPr>
                <w:color w:val="000000"/>
                <w:sz w:val="24"/>
              </w:rPr>
              <w:t>19渤海银行CD482</w:t>
            </w:r>
          </w:p>
        </w:tc>
        <w:tc>
          <w:tcPr>
            <w:vAlign w:val="center"/>
          </w:tcPr>
          <w:p>
            <w:pPr>
              <w:jc w:val="right"/>
            </w:pPr>
            <w:r>
              <w:rPr>
                <w:color w:val="000000"/>
                <w:sz w:val="24"/>
              </w:rPr>
              <w:t>1,000,000</w:t>
            </w:r>
          </w:p>
        </w:tc>
        <w:tc>
          <w:tcPr>
            <w:vAlign w:val="center"/>
          </w:tcPr>
          <w:p>
            <w:pPr>
              <w:jc w:val="right"/>
            </w:pPr>
            <w:r>
              <w:rPr>
                <w:color w:val="000000"/>
                <w:sz w:val="24"/>
              </w:rPr>
              <w:t>98,502,066.12</w:t>
            </w:r>
          </w:p>
        </w:tc>
        <w:tc>
          <w:tcPr>
            <w:vAlign w:val="center"/>
          </w:tcPr>
          <w:p>
            <w:pPr>
              <w:jc w:val="right"/>
            </w:pPr>
            <w:r>
              <w:rPr>
                <w:color w:val="000000"/>
                <w:sz w:val="24"/>
              </w:rPr>
              <w:t>6.29</w:t>
            </w:r>
          </w:p>
        </w:tc>
      </w:tr>
      <w:tr>
        <w:tc>
          <w:tcPr>
            <w:vAlign w:val="center"/>
          </w:tcPr>
          <w:p>
            <w:pPr>
              <w:jc w:val="center"/>
            </w:pPr>
            <w:r>
              <w:rPr>
                <w:color w:val="000000"/>
                <w:sz w:val="24"/>
              </w:rPr>
              <w:t>2</w:t>
            </w:r>
          </w:p>
        </w:tc>
        <w:tc>
          <w:tcPr>
            <w:vAlign w:val="center"/>
          </w:tcPr>
          <w:p>
            <w:pPr>
              <w:jc w:val="center"/>
            </w:pPr>
            <w:r>
              <w:rPr>
                <w:color w:val="000000"/>
                <w:sz w:val="24"/>
              </w:rPr>
              <w:t>111998022</w:t>
            </w:r>
          </w:p>
        </w:tc>
        <w:tc>
          <w:tcPr>
            <w:vAlign w:val="center"/>
          </w:tcPr>
          <w:p>
            <w:pPr>
              <w:jc w:val="center"/>
            </w:pPr>
            <w:r>
              <w:rPr>
                <w:color w:val="000000"/>
                <w:sz w:val="24"/>
              </w:rPr>
              <w:t>19甘肃银行CD041</w:t>
            </w:r>
          </w:p>
        </w:tc>
        <w:tc>
          <w:tcPr>
            <w:vAlign w:val="center"/>
          </w:tcPr>
          <w:p>
            <w:pPr>
              <w:jc w:val="right"/>
            </w:pPr>
            <w:r>
              <w:rPr>
                <w:color w:val="000000"/>
                <w:sz w:val="24"/>
              </w:rPr>
              <w:t>600,000</w:t>
            </w:r>
          </w:p>
        </w:tc>
        <w:tc>
          <w:tcPr>
            <w:vAlign w:val="center"/>
          </w:tcPr>
          <w:p>
            <w:pPr>
              <w:jc w:val="right"/>
            </w:pPr>
            <w:r>
              <w:rPr>
                <w:color w:val="000000"/>
                <w:sz w:val="24"/>
              </w:rPr>
              <w:t>59,252,589.28</w:t>
            </w:r>
          </w:p>
        </w:tc>
        <w:tc>
          <w:tcPr>
            <w:vAlign w:val="center"/>
          </w:tcPr>
          <w:p>
            <w:pPr>
              <w:jc w:val="right"/>
            </w:pPr>
            <w:r>
              <w:rPr>
                <w:color w:val="000000"/>
                <w:sz w:val="24"/>
              </w:rPr>
              <w:t>3.79</w:t>
            </w:r>
          </w:p>
        </w:tc>
      </w:tr>
      <w:tr>
        <w:tc>
          <w:tcPr>
            <w:vAlign w:val="center"/>
          </w:tcPr>
          <w:p>
            <w:pPr>
              <w:jc w:val="center"/>
            </w:pPr>
            <w:r>
              <w:rPr>
                <w:color w:val="000000"/>
                <w:sz w:val="24"/>
              </w:rPr>
              <w:t>3</w:t>
            </w:r>
          </w:p>
        </w:tc>
        <w:tc>
          <w:tcPr>
            <w:vAlign w:val="center"/>
          </w:tcPr>
          <w:p>
            <w:pPr>
              <w:jc w:val="center"/>
            </w:pPr>
            <w:r>
              <w:rPr>
                <w:color w:val="000000"/>
                <w:sz w:val="24"/>
              </w:rPr>
              <w:t>101569006</w:t>
            </w:r>
          </w:p>
        </w:tc>
        <w:tc>
          <w:tcPr>
            <w:vAlign w:val="center"/>
          </w:tcPr>
          <w:p>
            <w:pPr>
              <w:jc w:val="center"/>
            </w:pPr>
            <w:r>
              <w:rPr>
                <w:color w:val="000000"/>
                <w:sz w:val="24"/>
              </w:rPr>
              <w:t>15国家核电MTN001</w:t>
            </w:r>
          </w:p>
        </w:tc>
        <w:tc>
          <w:tcPr>
            <w:vAlign w:val="center"/>
          </w:tcPr>
          <w:p>
            <w:pPr>
              <w:jc w:val="right"/>
            </w:pPr>
            <w:r>
              <w:rPr>
                <w:color w:val="000000"/>
                <w:sz w:val="24"/>
              </w:rPr>
              <w:t>500,000</w:t>
            </w:r>
          </w:p>
        </w:tc>
        <w:tc>
          <w:tcPr>
            <w:vAlign w:val="center"/>
          </w:tcPr>
          <w:p>
            <w:pPr>
              <w:jc w:val="right"/>
            </w:pPr>
            <w:r>
              <w:rPr>
                <w:color w:val="000000"/>
                <w:sz w:val="24"/>
              </w:rPr>
              <w:t>50,410,403.81</w:t>
            </w:r>
          </w:p>
        </w:tc>
        <w:tc>
          <w:tcPr>
            <w:vAlign w:val="center"/>
          </w:tcPr>
          <w:p>
            <w:pPr>
              <w:jc w:val="right"/>
            </w:pPr>
            <w:r>
              <w:rPr>
                <w:color w:val="000000"/>
                <w:sz w:val="24"/>
              </w:rPr>
              <w:t>3.22</w:t>
            </w:r>
          </w:p>
        </w:tc>
      </w:tr>
      <w:tr>
        <w:tc>
          <w:tcPr>
            <w:vAlign w:val="center"/>
          </w:tcPr>
          <w:p>
            <w:pPr>
              <w:jc w:val="center"/>
            </w:pPr>
            <w:r>
              <w:rPr>
                <w:color w:val="000000"/>
                <w:sz w:val="24"/>
              </w:rPr>
              <w:t>4</w:t>
            </w:r>
          </w:p>
        </w:tc>
        <w:tc>
          <w:tcPr>
            <w:vAlign w:val="center"/>
          </w:tcPr>
          <w:p>
            <w:pPr>
              <w:jc w:val="center"/>
            </w:pPr>
            <w:r>
              <w:rPr>
                <w:color w:val="000000"/>
                <w:sz w:val="24"/>
              </w:rPr>
              <w:t>011903019</w:t>
            </w:r>
          </w:p>
        </w:tc>
        <w:tc>
          <w:tcPr>
            <w:vAlign w:val="center"/>
          </w:tcPr>
          <w:p>
            <w:pPr>
              <w:jc w:val="center"/>
            </w:pPr>
            <w:r>
              <w:rPr>
                <w:color w:val="000000"/>
                <w:sz w:val="24"/>
              </w:rPr>
              <w:t>19浙交投SCP007</w:t>
            </w:r>
          </w:p>
        </w:tc>
        <w:tc>
          <w:tcPr>
            <w:vAlign w:val="center"/>
          </w:tcPr>
          <w:p>
            <w:pPr>
              <w:jc w:val="right"/>
            </w:pPr>
            <w:r>
              <w:rPr>
                <w:color w:val="000000"/>
                <w:sz w:val="24"/>
              </w:rPr>
              <w:t>500,000</w:t>
            </w:r>
          </w:p>
        </w:tc>
        <w:tc>
          <w:tcPr>
            <w:vAlign w:val="center"/>
          </w:tcPr>
          <w:p>
            <w:pPr>
              <w:jc w:val="right"/>
            </w:pPr>
            <w:r>
              <w:rPr>
                <w:color w:val="000000"/>
                <w:sz w:val="24"/>
              </w:rPr>
              <w:t>49,790,894.47</w:t>
            </w:r>
          </w:p>
        </w:tc>
        <w:tc>
          <w:tcPr>
            <w:vAlign w:val="center"/>
          </w:tcPr>
          <w:p>
            <w:pPr>
              <w:jc w:val="right"/>
            </w:pPr>
            <w:r>
              <w:rPr>
                <w:color w:val="000000"/>
                <w:sz w:val="24"/>
              </w:rPr>
              <w:t>3.18</w:t>
            </w:r>
          </w:p>
        </w:tc>
      </w:tr>
      <w:tr>
        <w:tc>
          <w:tcPr>
            <w:vAlign w:val="center"/>
          </w:tcPr>
          <w:p>
            <w:pPr>
              <w:jc w:val="center"/>
            </w:pPr>
            <w:r>
              <w:rPr>
                <w:color w:val="000000"/>
                <w:sz w:val="24"/>
              </w:rPr>
              <w:t>5</w:t>
            </w:r>
          </w:p>
        </w:tc>
        <w:tc>
          <w:tcPr>
            <w:vAlign w:val="center"/>
          </w:tcPr>
          <w:p>
            <w:pPr>
              <w:jc w:val="center"/>
            </w:pPr>
            <w:r>
              <w:rPr>
                <w:color w:val="000000"/>
                <w:sz w:val="24"/>
              </w:rPr>
              <w:t>111976453</w:t>
            </w:r>
          </w:p>
        </w:tc>
        <w:tc>
          <w:tcPr>
            <w:vAlign w:val="center"/>
          </w:tcPr>
          <w:p>
            <w:pPr>
              <w:jc w:val="center"/>
            </w:pPr>
            <w:r>
              <w:rPr>
                <w:color w:val="000000"/>
                <w:sz w:val="24"/>
              </w:rPr>
              <w:t>19南洋商业银行CD011</w:t>
            </w:r>
          </w:p>
        </w:tc>
        <w:tc>
          <w:tcPr>
            <w:vAlign w:val="center"/>
          </w:tcPr>
          <w:p>
            <w:pPr>
              <w:jc w:val="right"/>
            </w:pPr>
            <w:r>
              <w:rPr>
                <w:color w:val="000000"/>
                <w:sz w:val="24"/>
              </w:rPr>
              <w:t>500,000</w:t>
            </w:r>
          </w:p>
        </w:tc>
        <w:tc>
          <w:tcPr>
            <w:vAlign w:val="center"/>
          </w:tcPr>
          <w:p>
            <w:pPr>
              <w:jc w:val="right"/>
            </w:pPr>
            <w:r>
              <w:rPr>
                <w:color w:val="000000"/>
                <w:sz w:val="24"/>
              </w:rPr>
              <w:t>49,679,547.04</w:t>
            </w:r>
          </w:p>
        </w:tc>
        <w:tc>
          <w:tcPr>
            <w:vAlign w:val="center"/>
          </w:tcPr>
          <w:p>
            <w:pPr>
              <w:jc w:val="right"/>
            </w:pPr>
            <w:r>
              <w:rPr>
                <w:color w:val="000000"/>
                <w:sz w:val="24"/>
              </w:rPr>
              <w:t>3.17</w:t>
            </w:r>
          </w:p>
        </w:tc>
      </w:tr>
      <w:tr>
        <w:tc>
          <w:tcPr>
            <w:vAlign w:val="center"/>
          </w:tcPr>
          <w:p>
            <w:pPr>
              <w:jc w:val="center"/>
            </w:pPr>
            <w:r>
              <w:rPr>
                <w:color w:val="000000"/>
                <w:sz w:val="24"/>
              </w:rPr>
              <w:t>6</w:t>
            </w:r>
          </w:p>
        </w:tc>
        <w:tc>
          <w:tcPr>
            <w:vAlign w:val="center"/>
          </w:tcPr>
          <w:p>
            <w:pPr>
              <w:jc w:val="center"/>
            </w:pPr>
            <w:r>
              <w:rPr>
                <w:color w:val="000000"/>
                <w:sz w:val="24"/>
              </w:rPr>
              <w:t>111977069</w:t>
            </w:r>
          </w:p>
        </w:tc>
        <w:tc>
          <w:tcPr>
            <w:vAlign w:val="center"/>
          </w:tcPr>
          <w:p>
            <w:pPr>
              <w:jc w:val="center"/>
            </w:pPr>
            <w:r>
              <w:rPr>
                <w:color w:val="000000"/>
                <w:sz w:val="24"/>
              </w:rPr>
              <w:t>19东亚银行CD057</w:t>
            </w:r>
          </w:p>
        </w:tc>
        <w:tc>
          <w:tcPr>
            <w:vAlign w:val="center"/>
          </w:tcPr>
          <w:p>
            <w:pPr>
              <w:jc w:val="right"/>
            </w:pPr>
            <w:r>
              <w:rPr>
                <w:color w:val="000000"/>
                <w:sz w:val="24"/>
              </w:rPr>
              <w:t>500,000</w:t>
            </w:r>
          </w:p>
        </w:tc>
        <w:tc>
          <w:tcPr>
            <w:vAlign w:val="center"/>
          </w:tcPr>
          <w:p>
            <w:pPr>
              <w:jc w:val="right"/>
            </w:pPr>
            <w:r>
              <w:rPr>
                <w:color w:val="000000"/>
                <w:sz w:val="24"/>
              </w:rPr>
              <w:t>49,664,643.10</w:t>
            </w:r>
          </w:p>
        </w:tc>
        <w:tc>
          <w:tcPr>
            <w:vAlign w:val="center"/>
          </w:tcPr>
          <w:p>
            <w:pPr>
              <w:jc w:val="right"/>
            </w:pPr>
            <w:r>
              <w:rPr>
                <w:color w:val="000000"/>
                <w:sz w:val="24"/>
              </w:rPr>
              <w:t>3.17</w:t>
            </w:r>
          </w:p>
        </w:tc>
      </w:tr>
      <w:tr>
        <w:tc>
          <w:tcPr>
            <w:vAlign w:val="center"/>
          </w:tcPr>
          <w:p>
            <w:pPr>
              <w:jc w:val="center"/>
            </w:pPr>
            <w:r>
              <w:rPr>
                <w:color w:val="000000"/>
                <w:sz w:val="24"/>
              </w:rPr>
              <w:t>7</w:t>
            </w:r>
          </w:p>
        </w:tc>
        <w:tc>
          <w:tcPr>
            <w:vAlign w:val="center"/>
          </w:tcPr>
          <w:p>
            <w:pPr>
              <w:jc w:val="center"/>
            </w:pPr>
            <w:r>
              <w:rPr>
                <w:color w:val="000000"/>
                <w:sz w:val="24"/>
              </w:rPr>
              <w:t>111977495</w:t>
            </w:r>
          </w:p>
        </w:tc>
        <w:tc>
          <w:tcPr>
            <w:vAlign w:val="center"/>
          </w:tcPr>
          <w:p>
            <w:pPr>
              <w:jc w:val="center"/>
            </w:pPr>
            <w:r>
              <w:rPr>
                <w:color w:val="000000"/>
                <w:sz w:val="24"/>
              </w:rPr>
              <w:t>19兰州银行CD063</w:t>
            </w:r>
          </w:p>
        </w:tc>
        <w:tc>
          <w:tcPr>
            <w:vAlign w:val="center"/>
          </w:tcPr>
          <w:p>
            <w:pPr>
              <w:jc w:val="right"/>
            </w:pPr>
            <w:r>
              <w:rPr>
                <w:color w:val="000000"/>
                <w:sz w:val="24"/>
              </w:rPr>
              <w:t>500,000</w:t>
            </w:r>
          </w:p>
        </w:tc>
        <w:tc>
          <w:tcPr>
            <w:vAlign w:val="center"/>
          </w:tcPr>
          <w:p>
            <w:pPr>
              <w:jc w:val="right"/>
            </w:pPr>
            <w:r>
              <w:rPr>
                <w:color w:val="000000"/>
                <w:sz w:val="24"/>
              </w:rPr>
              <w:t>49,650,282.48</w:t>
            </w:r>
          </w:p>
        </w:tc>
        <w:tc>
          <w:tcPr>
            <w:vAlign w:val="center"/>
          </w:tcPr>
          <w:p>
            <w:pPr>
              <w:jc w:val="right"/>
            </w:pPr>
            <w:r>
              <w:rPr>
                <w:color w:val="000000"/>
                <w:sz w:val="24"/>
              </w:rPr>
              <w:t>3.17</w:t>
            </w:r>
          </w:p>
        </w:tc>
      </w:tr>
      <w:tr>
        <w:tc>
          <w:tcPr>
            <w:vAlign w:val="center"/>
          </w:tcPr>
          <w:p>
            <w:pPr>
              <w:jc w:val="center"/>
            </w:pPr>
            <w:r>
              <w:rPr>
                <w:color w:val="000000"/>
                <w:sz w:val="24"/>
              </w:rPr>
              <w:t>8</w:t>
            </w:r>
          </w:p>
        </w:tc>
        <w:tc>
          <w:tcPr>
            <w:vAlign w:val="center"/>
          </w:tcPr>
          <w:p>
            <w:pPr>
              <w:jc w:val="center"/>
            </w:pPr>
            <w:r>
              <w:rPr>
                <w:color w:val="000000"/>
                <w:sz w:val="24"/>
              </w:rPr>
              <w:t>111921486</w:t>
            </w:r>
          </w:p>
        </w:tc>
        <w:tc>
          <w:tcPr>
            <w:vAlign w:val="center"/>
          </w:tcPr>
          <w:p>
            <w:pPr>
              <w:jc w:val="center"/>
            </w:pPr>
            <w:r>
              <w:rPr>
                <w:color w:val="000000"/>
                <w:sz w:val="24"/>
              </w:rPr>
              <w:t>19渤海银行CD486</w:t>
            </w:r>
          </w:p>
        </w:tc>
        <w:tc>
          <w:tcPr>
            <w:vAlign w:val="center"/>
          </w:tcPr>
          <w:p>
            <w:pPr>
              <w:jc w:val="right"/>
            </w:pPr>
            <w:r>
              <w:rPr>
                <w:color w:val="000000"/>
                <w:sz w:val="24"/>
              </w:rPr>
              <w:t>500,000</w:t>
            </w:r>
          </w:p>
        </w:tc>
        <w:tc>
          <w:tcPr>
            <w:vAlign w:val="center"/>
          </w:tcPr>
          <w:p>
            <w:pPr>
              <w:jc w:val="right"/>
            </w:pPr>
            <w:r>
              <w:rPr>
                <w:color w:val="000000"/>
                <w:sz w:val="24"/>
              </w:rPr>
              <w:t>49,648,818.24</w:t>
            </w:r>
          </w:p>
        </w:tc>
        <w:tc>
          <w:tcPr>
            <w:vAlign w:val="center"/>
          </w:tcPr>
          <w:p>
            <w:pPr>
              <w:jc w:val="right"/>
            </w:pPr>
            <w:r>
              <w:rPr>
                <w:color w:val="000000"/>
                <w:sz w:val="24"/>
              </w:rPr>
              <w:t>3.17</w:t>
            </w:r>
          </w:p>
        </w:tc>
      </w:tr>
      <w:tr>
        <w:tc>
          <w:tcPr>
            <w:vAlign w:val="center"/>
          </w:tcPr>
          <w:p>
            <w:pPr>
              <w:jc w:val="center"/>
            </w:pPr>
            <w:r>
              <w:rPr>
                <w:color w:val="000000"/>
                <w:sz w:val="24"/>
              </w:rPr>
              <w:t>9</w:t>
            </w:r>
          </w:p>
        </w:tc>
        <w:tc>
          <w:tcPr>
            <w:vAlign w:val="center"/>
          </w:tcPr>
          <w:p>
            <w:pPr>
              <w:jc w:val="center"/>
            </w:pPr>
            <w:r>
              <w:rPr>
                <w:color w:val="000000"/>
                <w:sz w:val="24"/>
              </w:rPr>
              <w:t>111977952</w:t>
            </w:r>
          </w:p>
        </w:tc>
        <w:tc>
          <w:tcPr>
            <w:vAlign w:val="center"/>
          </w:tcPr>
          <w:p>
            <w:pPr>
              <w:jc w:val="center"/>
            </w:pPr>
            <w:r>
              <w:rPr>
                <w:color w:val="000000"/>
                <w:sz w:val="24"/>
              </w:rPr>
              <w:t>19厦门国际银行CD296</w:t>
            </w:r>
          </w:p>
        </w:tc>
        <w:tc>
          <w:tcPr>
            <w:vAlign w:val="center"/>
          </w:tcPr>
          <w:p>
            <w:pPr>
              <w:jc w:val="right"/>
            </w:pPr>
            <w:r>
              <w:rPr>
                <w:color w:val="000000"/>
                <w:sz w:val="24"/>
              </w:rPr>
              <w:t>500,000</w:t>
            </w:r>
          </w:p>
        </w:tc>
        <w:tc>
          <w:tcPr>
            <w:vAlign w:val="center"/>
          </w:tcPr>
          <w:p>
            <w:pPr>
              <w:jc w:val="right"/>
            </w:pPr>
            <w:r>
              <w:rPr>
                <w:color w:val="000000"/>
                <w:sz w:val="24"/>
              </w:rPr>
              <w:t>48,859,409.23</w:t>
            </w:r>
          </w:p>
        </w:tc>
        <w:tc>
          <w:tcPr>
            <w:vAlign w:val="center"/>
          </w:tcPr>
          <w:p>
            <w:pPr>
              <w:jc w:val="right"/>
            </w:pPr>
            <w:r>
              <w:rPr>
                <w:color w:val="000000"/>
                <w:sz w:val="24"/>
              </w:rPr>
              <w:t>3.12</w:t>
            </w:r>
          </w:p>
        </w:tc>
      </w:tr>
      <w:tr>
        <w:tc>
          <w:tcPr>
            <w:vAlign w:val="center"/>
          </w:tcPr>
          <w:p>
            <w:pPr>
              <w:jc w:val="center"/>
            </w:pPr>
            <w:r>
              <w:rPr>
                <w:color w:val="000000"/>
                <w:sz w:val="24"/>
              </w:rPr>
              <w:t>10</w:t>
            </w:r>
          </w:p>
        </w:tc>
        <w:tc>
          <w:tcPr>
            <w:vAlign w:val="center"/>
          </w:tcPr>
          <w:p>
            <w:pPr>
              <w:jc w:val="center"/>
            </w:pPr>
            <w:r>
              <w:rPr>
                <w:color w:val="000000"/>
                <w:sz w:val="24"/>
              </w:rPr>
              <w:t>011902375</w:t>
            </w:r>
          </w:p>
        </w:tc>
        <w:tc>
          <w:tcPr>
            <w:vAlign w:val="center"/>
          </w:tcPr>
          <w:p>
            <w:pPr>
              <w:jc w:val="center"/>
            </w:pPr>
            <w:r>
              <w:rPr>
                <w:color w:val="000000"/>
                <w:sz w:val="24"/>
              </w:rPr>
              <w:t>19中电投SCP030</w:t>
            </w:r>
          </w:p>
        </w:tc>
        <w:tc>
          <w:tcPr>
            <w:vAlign w:val="center"/>
          </w:tcPr>
          <w:p>
            <w:pPr>
              <w:jc w:val="right"/>
            </w:pPr>
            <w:r>
              <w:rPr>
                <w:color w:val="000000"/>
                <w:sz w:val="24"/>
              </w:rPr>
              <w:t>400,000</w:t>
            </w:r>
          </w:p>
        </w:tc>
        <w:tc>
          <w:tcPr>
            <w:vAlign w:val="center"/>
          </w:tcPr>
          <w:p>
            <w:pPr>
              <w:jc w:val="right"/>
            </w:pPr>
            <w:r>
              <w:rPr>
                <w:color w:val="000000"/>
                <w:sz w:val="24"/>
              </w:rPr>
              <w:t>39,915,118.57</w:t>
            </w:r>
          </w:p>
        </w:tc>
        <w:tc>
          <w:tcPr>
            <w:vAlign w:val="center"/>
          </w:tcPr>
          <w:p>
            <w:pPr>
              <w:jc w:val="right"/>
            </w:pPr>
            <w:r>
              <w:rPr>
                <w:color w:val="000000"/>
                <w:sz w:val="24"/>
              </w:rPr>
              <w:t>2.55</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0.0443%</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-0.0033%</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0.0235%</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281564" w:rsidR="00902E3F" w:rsidRDefault="00835BDD" w:rsidRPr="000E4C40">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5,145,791.40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917,590.49</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6,063,381.89</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bookmarkStart w:id="2" w:name="_GoBack"/>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bookmarkEnd w:id="2"/>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交银天利宝货币A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交银天利宝货币E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351,023,573.48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1,072,141,870.24</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1,003,262,008.64</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284,404,820.69</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574,698,316.04</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571,234,330.31</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779,587,266.08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785,312,360.62</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2、如果本报告期间发生转换出、份额类别调整业务，则总赎回份额中包含该业务；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xml:space="preserve">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申购</w:t>
            </w:r>
          </w:p>
        </w:tc>
        <w:tc>
          <w:tcPr>
            <w:vAlign w:val="center"/>
          </w:tcPr>
          <w:p>
            <w:pPr>
              <w:jc w:val="center"/>
            </w:pPr>
            <w:r>
              <w:rPr>
                <w:color w:val="000000"/>
                <w:sz w:val="24"/>
              </w:rPr>
              <w:t>2019-11-18</w:t>
            </w:r>
          </w:p>
        </w:tc>
        <w:tc>
          <w:tcPr>
            <w:vAlign w:val="center"/>
          </w:tcPr>
          <w:p>
            <w:pPr>
              <w:jc w:val="right"/>
            </w:pPr>
            <w:r>
              <w:rPr>
                <w:color w:val="000000"/>
                <w:sz w:val="24"/>
              </w:rPr>
              <w:t>100,000,000.00</w:t>
            </w:r>
          </w:p>
        </w:tc>
        <w:tc>
          <w:tcPr>
            <w:vAlign w:val="center"/>
          </w:tcPr>
          <w:p>
            <w:pPr>
              <w:jc w:val="right"/>
            </w:pPr>
            <w:r>
              <w:rPr>
                <w:color w:val="000000"/>
                <w:sz w:val="24"/>
              </w:rPr>
              <w:t>100,000,000.00</w:t>
            </w:r>
          </w:p>
        </w:tc>
        <w:tc>
          <w:tcPr>
            <w:vAlign w:val="center"/>
          </w:tcPr>
          <w:p>
            <w:pPr>
              <w:jc w:val="center"/>
            </w:pPr>
            <w:r>
              <w:rPr>
                <w:color w:val="000000"/>
                <w:sz w:val="24"/>
              </w:rPr>
              <w:t>-</w:t>
            </w:r>
          </w:p>
        </w:tc>
      </w:tr>
      <w:tr>
        <w:tc>
          <w:tcPr>
            <w:vAlign w:val="center"/>
          </w:tcPr>
          <w:p>
            <w:pPr>
              <w:jc w:val="center"/>
            </w:pPr>
            <w:r>
              <w:rPr>
                <w:color w:val="000000"/>
                <w:sz w:val="24"/>
              </w:rPr>
              <w:t>2</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1,063,720.98</w:t>
            </w:r>
          </w:p>
        </w:tc>
        <w:tc>
          <w:tcPr>
            <w:vAlign w:val="center"/>
          </w:tcPr>
          <w:p>
            <w:pPr>
              <w:jc w:val="right"/>
            </w:pPr>
            <w:r>
              <w:rPr>
                <w:color w:val="000000"/>
                <w:sz w:val="24"/>
              </w:rPr>
              <w:t>1,063,720.98</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101,063,720.98</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101,063,720.98</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注：1、本基金管理人本报告期末持有本基金E类份额202,051,966.93份，占本基金期末E类基金总份额的25.73%，本基金管理人本报告期末持有本基金A类份额0.00份，占本基金期末A类基金总份额的0.00%。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304,489,002.65</w:t>
            </w:r>
          </w:p>
        </w:tc>
        <w:tc>
          <w:tcPr>
            <w:vAlign w:val="center"/>
          </w:tcPr>
          <w:p>
            <w:pPr>
              <w:jc w:val="center"/>
            </w:pPr>
            <w:r>
              <w:rPr>
                <w:rFonts w:ascii="宋体" w:hAnsi="宋体" w:hint="eastAsia"/>
                <w:color w:val="000000"/>
                <w:kern w:val="0"/>
                <w:szCs w:val="21"/>
              </w:rPr>
              <w:t>1,160,164.10</w:t>
            </w:r>
          </w:p>
        </w:tc>
        <w:tc>
          <w:tcPr>
            <w:vAlign w:val="center"/>
          </w:tcPr>
          <w:p>
            <w:pPr>
              <w:jc w:val="center"/>
            </w:pPr>
            <w:r>
              <w:rPr>
                <w:rFonts w:ascii="宋体" w:hAnsi="宋体" w:hint="eastAsia"/>
                <w:color w:val="000000"/>
                <w:kern w:val="0"/>
                <w:szCs w:val="21"/>
              </w:rPr>
              <w:t>200,000,000.00</w:t>
            </w:r>
          </w:p>
        </w:tc>
        <w:tc>
          <w:tcPr>
            <w:vAlign w:val="center"/>
          </w:tcPr>
          <w:p>
            <w:pPr>
              <w:jc w:val="center"/>
            </w:pPr>
            <w:r>
              <w:rPr>
                <w:rFonts w:ascii="宋体" w:hAnsi="宋体" w:hint="eastAsia"/>
                <w:color w:val="000000"/>
                <w:kern w:val="0"/>
                <w:szCs w:val="21"/>
              </w:rPr>
              <w:t>105,649,166.75</w:t>
            </w:r>
          </w:p>
        </w:tc>
        <w:tc>
          <w:tcPr>
            <w:vAlign w:val="center"/>
          </w:tcPr>
          <w:p>
            <w:pPr>
              <w:jc w:val="center"/>
            </w:pPr>
            <w:r>
              <w:rPr>
                <w:rFonts w:ascii="宋体" w:hAnsi="宋体" w:hint="eastAsia"/>
                <w:color w:val="000000"/>
                <w:kern w:val="0"/>
                <w:szCs w:val="21"/>
              </w:rPr>
              <w:t>6.75%</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258,299,947.60</w:t>
            </w:r>
          </w:p>
        </w:tc>
        <w:tc>
          <w:tcPr>
            <w:vAlign w:val="center"/>
          </w:tcPr>
          <w:p>
            <w:pPr>
              <w:jc w:val="center"/>
            </w:pPr>
            <w:r>
              <w:rPr>
                <w:rFonts w:ascii="宋体" w:hAnsi="宋体" w:hint="eastAsia"/>
                <w:color w:val="000000"/>
                <w:kern w:val="0"/>
                <w:szCs w:val="21"/>
              </w:rPr>
              <w:t>1,824,100.68</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260,124,048.28</w:t>
            </w:r>
          </w:p>
        </w:tc>
        <w:tc>
          <w:tcPr>
            <w:vAlign w:val="center"/>
          </w:tcPr>
          <w:p>
            <w:pPr>
              <w:jc w:val="center"/>
            </w:pPr>
            <w:r>
              <w:rPr>
                <w:rFonts w:ascii="宋体" w:hAnsi="宋体" w:hint="eastAsia"/>
                <w:color w:val="000000"/>
                <w:kern w:val="0"/>
                <w:szCs w:val="21"/>
              </w:rPr>
              <w:t>16.62%</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8.2 影响投资者决策的其他重要信息</w:t>
      </w:r>
    </w:p>
    <w:p w:rsidP="003D1E1A" w:rsidR="003D1E1A" w:rsidRDefault="003D1E1A">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281564" w:rsidR="001B3FBF" w:rsidRDefault="001B3FBF" w:rsidRPr="000E4C40">
      <w:pPr>
        <w:spacing w:before="29" w:line="288" w:lineRule="auto"/>
        <w:ind w:firstLine="480" w:firstLineChars="200"/>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1、中国证监会准予交银施罗德天利宝货币市场基金募集注册的文件； </w:t>
      </w:r>
    </w:p>
    <w:p>
      <w:pPr>
        <w:spacing w:before="29" w:line="288" w:lineRule="auto"/>
        <w:ind w:firstLine="480" w:firstLineChars="200"/>
        <w:rPr>
          <w:color w:val="000000"/>
          <w:sz w:val="24"/>
        </w:rPr>
      </w:pPr>
      <w:r>
        <w:rPr>
          <w:color w:val="000000"/>
          <w:sz w:val="24"/>
        </w:rPr>
        <w:t xml:space="preserve">2、《交银施罗德天利宝货币市场基金基金合同》； </w:t>
      </w:r>
    </w:p>
    <w:p>
      <w:pPr>
        <w:spacing w:before="29" w:line="288" w:lineRule="auto"/>
        <w:ind w:firstLine="480" w:firstLineChars="200"/>
        <w:rPr>
          <w:color w:val="000000"/>
          <w:sz w:val="24"/>
        </w:rPr>
      </w:pPr>
      <w:r>
        <w:rPr>
          <w:color w:val="000000"/>
          <w:sz w:val="24"/>
        </w:rPr>
        <w:t xml:space="preserve">3、《交银施罗德天利宝货币市场基金招募说明书》； </w:t>
      </w:r>
    </w:p>
    <w:p>
      <w:pPr>
        <w:spacing w:before="29" w:line="288" w:lineRule="auto"/>
        <w:ind w:firstLine="480" w:firstLineChars="200"/>
        <w:rPr>
          <w:color w:val="000000"/>
          <w:sz w:val="24"/>
        </w:rPr>
      </w:pPr>
      <w:r>
        <w:rPr>
          <w:color w:val="000000"/>
          <w:sz w:val="24"/>
        </w:rPr>
        <w:t xml:space="preserve">4、《交银施罗德天利宝货币市场基金托管协议》； </w:t>
      </w:r>
    </w:p>
    <w:p>
      <w:pPr>
        <w:spacing w:before="29" w:line="288" w:lineRule="auto"/>
        <w:ind w:firstLine="480" w:firstLineChars="200"/>
        <w:rPr>
          <w:color w:val="000000"/>
          <w:sz w:val="24"/>
        </w:rPr>
      </w:pPr>
      <w:r>
        <w:rPr>
          <w:color w:val="000000"/>
          <w:sz w:val="24"/>
        </w:rPr>
        <w:t xml:space="preserve">5、关于申请募集注册交银施罗德天利宝货币市场基金的法律意见书；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8、报告期内交银施罗德天利宝货币市场基金在指定报刊上各项公告的原稿。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6DC3">
      <w:rPr>
        <w:noProof/>
        <w:kern w:val="0"/>
        <w:szCs w:val="21"/>
      </w:rPr>
      <w:t>18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46DC3">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E2130" w:rsidRDefault="00EE2130">
      <w:r>
        <w:separator/>
      </w:r>
    </w:p>
  </w:footnote>
  <w:footnote w:id="0" w:type="continuationSeparator">
    <w:p w:rsidR="00EE2130" w:rsidRDefault="00EE213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交银施罗德天利宝货币市场基金2019年第4季度报告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C4DA2-A388-404C-A21B-6B2BD1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2019-08-22T08:33:00Z</dcterms:modified>
  <cp:revision>331</cp:revision>
</cp:coreProperties>
</file>