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交银施罗德周期回报灵活配置混合型证券投资基金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2019年第4季度报告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2019年12月31日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中国农业银行股份有限公司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二〇二〇年一月二十一日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基金托管人中国农业银行股份有限公司根据本基金合同规定，于2020年1月20日复核了本报告中的财务指标、净值表现和投资组合报告等内容，保证复核内容不存在虚假记载、误导性陈述或者重大遗漏。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本报告期自2019年10月1日起至12月31日止。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交银周期回报灵活配置混合</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519738</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2014年5月22日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346,887,446.92</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资产管理人的研究优势，在分析和判断宏观经济周期和金融市场运行趋势的基础上，运用交银施罗德投资时钟分析框架，自上而下调整基金大类资产配置比例和股票行业配置比例，确定债券组合久期和债券类别配置；在严谨深入的股票和债券研究分析基础上，自下而上精选股票和债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50%×沪深300指数收益率+50%×中债综合全价指数收益率</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本基金是一只混合型基金，其长期平均风险和预期收益高于债券型基金和货币市场基金，低于股票型基金。</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
            </w:r>
            <w:bookmarkStart w:id="0" w:name="_GoBack"/>
            <w:bookmarkEnd w:id="0"/>
            <w:r w:rsidRPr="007F52FA">
              <w:rPr>
                <w:color w:val="000000"/>
                <w:kern w:val="0"/>
                <w:sz w:val="24"/>
              </w:rPr>
              <w:t>中国农业银行股份有限公司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交银周期回报灵活配置混合A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交银周期回报灵活配置混合C</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下属两级基金的交易代码</w:t>
            </w:r>
          </w:p>
        </w:tc>
        <w:tc>
          <w:tcPr>
            <w:tcW w:type="dxa" w:w="2922"/>
            <w:vAlign w:val="center"/>
          </w:tcPr>
          <w:p w:rsidP="007C14DF" w:rsidR="00C23B30" w:rsidRDefault="00C23B30" w:rsidRPr="007F52FA">
            <w:pPr>
              <w:spacing w:before="29" w:line="288" w:lineRule="auto"/>
              <w:jc w:val="left"/>
              <w:rPr>
                <w:sz w:val="24"/>
              </w:rPr>
            </w:pPr>
            <w:r w:rsidRPr="007F52FA">
              <w:rPr>
                <w:color w:themeColor="text1" w:val="000000"/>
                <w:sz w:val="24"/>
              </w:rPr>
              <w:t>519738</w:t>
            </w:r>
            <w:r w:rsidRPr="007F52FA">
              <w:rPr>
                <w:color w:themeColor="text1" w:val="000000"/>
                <w:sz w:val="24"/>
              </w:rPr>
              <w:t>（前端）、</w:t>
            </w:r>
            <w:r w:rsidRPr="007F52FA">
              <w:rPr>
                <w:color w:themeColor="text1" w:val="000000"/>
                <w:sz w:val="24"/>
              </w:rPr>
              <w:t>519739</w:t>
            </w:r>
            <w:r w:rsidRPr="007F52FA">
              <w:rPr>
                <w:color w:themeColor="text1" w:val="000000"/>
                <w:sz w:val="24"/>
              </w:rPr>
              <w:t>（后端）</w:t>
            </w:r>
          </w:p>
        </w:tc>
        <w:tc>
          <w:tcPr>
            <w:tcW w:type="dxa" w:w="3048"/>
            <w:vAlign w:val="center"/>
          </w:tcPr>
          <w:p w:rsidP="007C14DF" w:rsidR="00C23B30" w:rsidRDefault="00C23B30" w:rsidRPr="007F52FA">
            <w:pPr>
              <w:spacing w:before="29" w:line="288" w:lineRule="auto"/>
              <w:jc w:val="left"/>
              <w:rPr>
                <w:color w:themeColor="text1" w:val="000000"/>
                <w:sz w:val="24"/>
              </w:rPr>
            </w:pPr>
            <w:r w:rsidRPr="007F52FA">
              <w:rPr>
                <w:color w:themeColor="text1" w:val="000000"/>
                <w:sz w:val="24"/>
              </w:rPr>
              <w:t>519759</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161,414,059.56</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185,473,387.36</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(2019年10月1日-2019年12月31日)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交银周期回报灵活配置混合A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交银周期回报灵活配置混合C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3,290,824.67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3,752,882.41</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5,595,986.13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6,406,366.63</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0.0346</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0.0340</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194,875,789.27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222,708,147.52</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1.207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1.201</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注：1、上述基金A类业绩指标不包括持有人认购或交易基金的各项费用，计入费用后的实际收益水平要低于所列数字；</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交银周期回报灵活配置混合A</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2.90%</w:t>
            </w:r>
          </w:p>
        </w:tc>
        <w:tc>
          <w:tcPr>
            <w:vAlign w:val="center"/>
          </w:tcPr>
          <w:p>
            <w:pPr>
              <w:jc w:val="center"/>
            </w:pPr>
            <w:r>
              <w:rPr>
                <w:color w:val="000000"/>
                <w:sz w:val="24"/>
              </w:rPr>
              <w:t>0.17%</w:t>
            </w:r>
          </w:p>
        </w:tc>
        <w:tc>
          <w:tcPr>
            <w:vAlign w:val="center"/>
          </w:tcPr>
          <w:p>
            <w:pPr>
              <w:jc w:val="center"/>
            </w:pPr>
            <w:r>
              <w:rPr>
                <w:color w:val="000000"/>
                <w:sz w:val="24"/>
              </w:rPr>
              <w:t>3.99%</w:t>
            </w:r>
          </w:p>
        </w:tc>
        <w:tc>
          <w:tcPr>
            <w:vAlign w:val="center"/>
          </w:tcPr>
          <w:p>
            <w:pPr>
              <w:jc w:val="center"/>
            </w:pPr>
            <w:r>
              <w:rPr>
                <w:color w:val="000000"/>
                <w:sz w:val="24"/>
              </w:rPr>
              <w:t>0.37%</w:t>
            </w:r>
          </w:p>
        </w:tc>
        <w:tc>
          <w:tcPr>
            <w:vAlign w:val="center"/>
          </w:tcPr>
          <w:p>
            <w:pPr>
              <w:jc w:val="center"/>
            </w:pPr>
            <w:r>
              <w:rPr>
                <w:color w:val="000000"/>
                <w:sz w:val="24"/>
              </w:rPr>
              <w:t>-1.09%</w:t>
            </w:r>
          </w:p>
        </w:tc>
        <w:tc>
          <w:tcPr>
            <w:vAlign w:val="center"/>
          </w:tcPr>
          <w:p>
            <w:pPr>
              <w:jc w:val="center"/>
            </w:pPr>
            <w:r>
              <w:rPr>
                <w:color w:val="000000"/>
                <w:sz w:val="24"/>
              </w:rPr>
              <w:t>-0.20%</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交银周期回报灵活配置混合C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2.91%</w:t>
            </w:r>
          </w:p>
        </w:tc>
        <w:tc>
          <w:tcPr>
            <w:vAlign w:val="center"/>
          </w:tcPr>
          <w:p>
            <w:pPr>
              <w:jc w:val="center"/>
            </w:pPr>
            <w:r>
              <w:rPr>
                <w:color w:val="000000"/>
                <w:sz w:val="24"/>
              </w:rPr>
              <w:t>0.17%</w:t>
            </w:r>
          </w:p>
        </w:tc>
        <w:tc>
          <w:tcPr>
            <w:vAlign w:val="center"/>
          </w:tcPr>
          <w:p>
            <w:pPr>
              <w:jc w:val="center"/>
            </w:pPr>
            <w:r>
              <w:rPr>
                <w:color w:val="000000"/>
                <w:sz w:val="24"/>
              </w:rPr>
              <w:t>3.99%</w:t>
            </w:r>
          </w:p>
        </w:tc>
        <w:tc>
          <w:tcPr>
            <w:vAlign w:val="center"/>
          </w:tcPr>
          <w:p>
            <w:pPr>
              <w:jc w:val="center"/>
            </w:pPr>
            <w:r>
              <w:rPr>
                <w:color w:val="000000"/>
                <w:sz w:val="24"/>
              </w:rPr>
              <w:t>0.37%</w:t>
            </w:r>
          </w:p>
        </w:tc>
        <w:tc>
          <w:tcPr>
            <w:vAlign w:val="center"/>
          </w:tcPr>
          <w:p>
            <w:pPr>
              <w:jc w:val="center"/>
            </w:pPr>
            <w:r>
              <w:rPr>
                <w:color w:val="000000"/>
                <w:sz w:val="24"/>
              </w:rPr>
              <w:t>-1.08%</w:t>
            </w:r>
          </w:p>
        </w:tc>
        <w:tc>
          <w:tcPr>
            <w:vAlign w:val="center"/>
          </w:tcPr>
          <w:p>
            <w:pPr>
              <w:jc w:val="center"/>
            </w:pPr>
            <w:r>
              <w:rPr>
                <w:color w:val="000000"/>
                <w:sz w:val="24"/>
              </w:rPr>
              <w:t>-0.20%</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交银施罗德周期回报灵活配置混合型证券投资基金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2014年5月22日</w:t>
      </w:r>
      <w:r w:rsidR="009A045B" w:rsidRPr="007F52FA">
        <w:rPr>
          <w:rFonts w:ascii="Times New Roman" w:hAnsi="Times New Roman"/>
          <w:sz w:val="24"/>
          <w:szCs w:val="24"/>
        </w:rPr>
        <w:t>至</w:t>
      </w:r>
      <w:r w:rsidRPr="007F52FA">
        <w:rPr>
          <w:rFonts w:ascii="Times New Roman" w:hAnsi="Times New Roman"/>
          <w:sz w:val="24"/>
          <w:szCs w:val="24"/>
        </w:rPr>
        <w:t>2019年12月31日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交银周期回报灵活配置混合A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注：图示日期为2014年5月22日至2019年12月31日。本基金建仓期为自基金合同生效日起的6个月。截至建仓期结束，本基金各项资产配置比例符合基金合同及招募说明书有关投资比例的约定。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交银周期回报灵活配置混合C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注：本基金自2015年11月19日起，开始销售C类份额，投资者提交的申购申请于2015年11月20日被确认并将有效份额登记在册。图示日期为2015年11月20日至2019年12月31日。</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李娜</w:t>
            </w:r>
          </w:p>
        </w:tc>
        <w:tc>
          <w:tcPr>
            <w:vAlign w:val="center"/>
          </w:tcPr>
          <w:p>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vAlign w:val="center"/>
          </w:tcPr>
          <w:p>
            <w:pPr>
              <w:jc w:val="center"/>
            </w:pPr>
            <w:r>
              <w:rPr>
                <w:color w:val="000000"/>
                <w:sz w:val="24"/>
              </w:rPr>
              <w:t>2015-08-04</w:t>
            </w:r>
          </w:p>
        </w:tc>
        <w:tc>
          <w:tcPr>
            <w:vAlign w:val="center"/>
          </w:tcPr>
          <w:p>
            <w:pPr>
              <w:jc w:val="center"/>
            </w:pPr>
            <w:r>
              <w:rPr>
                <w:color w:val="000000"/>
                <w:sz w:val="24"/>
              </w:rPr>
              <w:t>-</w:t>
            </w:r>
          </w:p>
        </w:tc>
        <w:tc>
          <w:tcPr>
            <w:vAlign w:val="center"/>
          </w:tcPr>
          <w:p>
            <w:pPr>
              <w:jc w:val="center"/>
            </w:pPr>
            <w:r>
              <w:rPr>
                <w:color w:val="000000"/>
                <w:sz w:val="24"/>
              </w:rPr>
              <w:t>9年</w:t>
            </w:r>
          </w:p>
        </w:tc>
        <w:tc>
          <w:tcPr>
            <w:vAlign w:val="center"/>
          </w:tcPr>
          <w:p>
            <w:pPr>
              <w:jc w:val="both"/>
            </w:pPr>
            <w:r>
              <w:rPr>
                <w:color w:val="000000"/>
                <w:sz w:val="24"/>
              </w:rPr>
              <w:t>李娜女士，美国宾夕法尼亚大学应用数学与计算科学硕士。历任国泰基金管理有限公司研究员。2012年加入交银施罗德基金管理有限公司，历任债券分析师、基金经理助理。2017年3月2日至2018年4月10日担任交银施罗德瑞安定期开放灵活配置混合型证券投资基金基金经理。2017年2月24日至2018年7月18日担任交银施罗德瑞利定期开放灵活配置混合型证券投资基金的基金经理。2017年3月31日至2018年8月23日担任交银施罗德启通灵活配置混合型证券投资基金的基金经理。2016年12月21日至2018年11月16日担任交银施罗德瑞景定期开放灵活配置混合型证券投资基金的基金经理。2016年2月17日至2018年12月7日担任交银施罗德卓越回报灵活配置混合型证券投资基金的基金经理。2016年9月13日至2019年1月21日担任交银施罗德领先回报灵活配置混合型证券投资基金的基金经理。</w:t>
            </w:r>
          </w:p>
        </w:tc>
      </w:tr>
      <w:tr>
        <w:tc>
          <w:tcPr>
            <w:vAlign w:val="center"/>
          </w:tcPr>
          <w:p>
            <w:pPr>
              <w:jc w:val="center"/>
            </w:pPr>
            <w:r>
              <w:rPr>
                <w:color w:val="000000"/>
                <w:sz w:val="24"/>
              </w:rPr>
              <w:t>凌超</w:t>
            </w:r>
          </w:p>
        </w:tc>
        <w:tc>
          <w:tcPr>
            <w:vAlign w:val="center"/>
          </w:tcPr>
          <w:p>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公募)投资副总监</w:t>
            </w:r>
          </w:p>
        </w:tc>
        <w:tc>
          <w:tcPr>
            <w:vAlign w:val="center"/>
          </w:tcPr>
          <w:p>
            <w:pPr>
              <w:jc w:val="center"/>
            </w:pPr>
            <w:r>
              <w:rPr>
                <w:color w:val="000000"/>
                <w:sz w:val="24"/>
              </w:rPr>
              <w:t>2019-07-20</w:t>
            </w:r>
          </w:p>
        </w:tc>
        <w:tc>
          <w:tcPr>
            <w:vAlign w:val="center"/>
          </w:tcPr>
          <w:p>
            <w:pPr>
              <w:jc w:val="center"/>
            </w:pPr>
            <w:r>
              <w:rPr>
                <w:color w:val="000000"/>
                <w:sz w:val="24"/>
              </w:rPr>
              <w:t>-</w:t>
            </w:r>
          </w:p>
        </w:tc>
        <w:tc>
          <w:tcPr>
            <w:vAlign w:val="center"/>
          </w:tcPr>
          <w:p>
            <w:pPr>
              <w:jc w:val="center"/>
            </w:pPr>
            <w:r>
              <w:rPr>
                <w:color w:val="000000"/>
                <w:sz w:val="24"/>
              </w:rPr>
              <w:t>13年</w:t>
            </w:r>
          </w:p>
        </w:tc>
        <w:tc>
          <w:tcPr>
            <w:vAlign w:val="center"/>
          </w:tcPr>
          <w:p>
            <w:pPr>
              <w:jc w:val="both"/>
            </w:pPr>
            <w:r>
              <w:rPr>
                <w:color w:val="000000"/>
                <w:sz w:val="24"/>
              </w:rPr>
              <w:t>凌超先生，华中科技大学数量经济学硕士、武汉科技大学信息与计算科学学士。2006年至2009年任长江证券股份有限公司研究员、投资经理，2009年至2012年任光大保德信基金有限管理公司研究员、基金助理、基金经理，2012年至2016年任海富通基金管理有限公司投资顾问、基金经理，2016年至2017年任天弘基金管理有限公司固定收益部副总经理、基金经理。2010年8月31日至2012年3月1日任光大保德信货币市场基金基金经理，2013年12月19日至2016年1月12日任海富通一年定期开放债券型证券投资基金基金经理，2014年4月2日至2016年1月12日任海富通纯债债券型证券投资基金基金经理，2014年12月1日至2016年1月12日任海富通稳固收益债券型证券投资基金基金经理，2016年5月14日至2017年7月13日任天弘弘利债券型证券投资基金基金经理，2016年5月14日至2017年7月13日任天弘裕利灵活配置混合型证券投资基金基金经理，2016年5月14日至2017年7月13日任天弘债券型发起式证券投资基金基金经理。2017年7月加入交银施罗德基金管理有限公司。2019年2月28日至2019年5月30日担任转型前的交银施罗德荣祥保本混合型证券投资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债券市场受通胀预期、资金面等因素影响，收益率呈现倒V走势。十月，因通胀上行压力及社融数据较强，市场恐慌资金面收紧，债市持续回调。十一月伊始，央行持续降低政策利率，市场资金面较为宽松，债市收益率不断下行。进入十二月，资金面宽松持续，但受海外市场风险因素阶段缓解以及国内逆周期调控政策上行预期影响，长端债券收益率震荡走平，中短久期债券收益率持续下行。</w:t>
      </w:r>
    </w:p>
    <w:p>
      <w:pPr>
        <w:spacing w:before="29" w:line="288" w:lineRule="auto"/>
        <w:ind w:firstLine="480" w:firstLineChars="200"/>
        <w:rPr>
          <w:color w:val="000000"/>
          <w:sz w:val="24"/>
        </w:rPr>
      </w:pPr>
      <w:r>
        <w:rPr>
          <w:color w:val="000000"/>
          <w:sz w:val="24"/>
        </w:rPr>
        <w:t>四季度，权益市场表现相对强势，科技主线延续强势，地产和基建相关板块也有不错表现。指数层面看，成长优于大盘。从行业看，建筑、电子、家电以及传媒等板块领涨，军工及部分强周期板块表现相对弱势。</w:t>
      </w:r>
    </w:p>
    <w:p>
      <w:pPr>
        <w:spacing w:before="29" w:line="288" w:lineRule="auto"/>
        <w:ind w:firstLine="480" w:firstLineChars="200"/>
        <w:rPr>
          <w:color w:val="000000"/>
          <w:sz w:val="24"/>
        </w:rPr>
      </w:pPr>
      <w:r>
        <w:rPr>
          <w:color w:val="000000"/>
          <w:sz w:val="24"/>
        </w:rPr>
        <w:t>在基金操作中，对于债券部分我们维持中短久期高等级信用债的底仓配置，以获取稳定的票息收益。权益方面，组合秉承稳健收益的原则，以低估值高股息品种为主，并适当增加小仓位科技品种。此外，组合积极参与权益及转债的一级申购，以增厚组合收益。</w:t>
      </w:r>
    </w:p>
    <w:p w:rsidP="007C14DF" w:rsidR="00952A72" w:rsidRDefault="00323F25" w:rsidRPr="007F52FA">
      <w:pPr>
        <w:spacing w:before="29" w:line="288" w:lineRule="auto"/>
        <w:ind w:firstLine="480" w:firstLineChars="200"/>
        <w:rPr>
          <w:color w:val="000000"/>
          <w:sz w:val="24"/>
        </w:rPr>
      </w:pPr>
      <w:r w:rsidRPr="007F52FA">
        <w:rPr>
          <w:color w:val="000000"/>
          <w:sz w:val="24"/>
        </w:rPr>
        <w:t>展望2020年一季度，尽管经济内生企稳动力不强的情况难以扭转，中期经济承压的格局未变，但短期在宏观逆周期调控政策发力，资金面维持中性偏宽的格局下，经济增长阶段存在改善可能。考虑到债券收益率受资金面影响下行较多，因此我们对明年一季度债券市场维持震荡观望的观点，底仓配置中短久期高等级信用债品种，以获取票息收益，并根据市场变化动态调整组合久期。权益方面，我们将继续维持低估值高分红的品种配置，并在行业的选择中，逐步关注周期板块盈利存在改善的行业，同时密切关注电子、软件等领域回调具有较大空间的个股。我们将继续积极参加权益及转债的一级申购，以期增厚组合收益。</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91,980,796.83</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21.38</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91,980,796.83</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21.38</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329,465,148.80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76.57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329,465,148.80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76.57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2,628,294.36</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0.61</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6,197,008.86</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1.44</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430,271,248.85</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1A5E45" w:rsidR="005F69E7" w:rsidRDefault="001A5E45" w:rsidRPr="005F69E7">
      <w:pPr>
        <w:jc w:val="right"/>
        <w:rPr>
          <w:sz w:val="24"/>
        </w:rPr>
      </w:pPr>
      <w:r w:rsidRPr="001A5E45">
        <w:rPr>
          <w:rFonts w:hint="eastAsia"/>
          <w:sz w:val="24"/>
        </w:rPr>
        <w:t/>
      </w:r>
      <w:r w:rsidRPr="001A5E45">
        <w:rPr>
          <w:rFonts w:hint="eastAsia"/>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113"/>
          <w:right w:type="dxa" w:w="113"/>
        </w:tblCellMar>
        <w:tblLook w:firstColumn="0" w:firstRow="0" w:lastColumn="0" w:lastRow="0" w:noHBand="0" w:noVBand="0" w:val="0000"/>
      </w:tblPr>
      <w:tblGrid>
        <w:gridCol w:w="772"/>
        <w:gridCol w:w="3525"/>
        <w:gridCol w:w="2897"/>
        <w:gridCol w:w="1674"/>
      </w:tblGrid>
      <w:tr w:rsidR="005F458B" w:rsidRPr="007F52FA" w:rsidTr="004D7E11">
        <w:trPr>
          <w:trHeight w:val="390"/>
          <w:jc w:val="center"/>
        </w:trPr>
        <w:tc>
          <w:tcPr>
            <w:tcW w:type="dxa" w:w="772"/>
            <w:tcBorders>
              <w:top w:color="000000" w:space="0" w:sz="4" w:val="single"/>
              <w:left w:color="000000" w:space="0" w:sz="4" w:val="single"/>
              <w:bottom w:color="000000" w:space="0" w:sz="4" w:val="single"/>
              <w:right w:color="000000" w:space="0" w:sz="4" w:val="single"/>
            </w:tcBorders>
            <w:vAlign w:val="center"/>
          </w:tcPr>
          <w:p w:rsidP="007C14DF" w:rsidR="005F458B" w:rsidRDefault="005F458B" w:rsidRPr="007F52FA">
            <w:pPr>
              <w:adjustRightInd w:val="0"/>
              <w:snapToGrid w:val="0"/>
              <w:spacing w:before="29" w:line="288" w:lineRule="auto"/>
              <w:jc w:val="center"/>
              <w:rPr>
                <w:sz w:val="24"/>
              </w:rPr>
            </w:pPr>
            <w:r w:rsidRPr="007F52FA">
              <w:rPr>
                <w:sz w:val="24"/>
              </w:rPr>
              <w:t>代码</w:t>
            </w:r>
            <w:r w:rsidR="00FA0527" w:rsidRPr="007F52FA">
              <w:rPr>
                <w:sz w:val="24"/>
              </w:rPr>
              <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行业类别</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1A5E45" w:rsidRPr="007F52FA">
            <w:pPr>
              <w:adjustRightInd w:val="0"/>
              <w:snapToGrid w:val="0"/>
              <w:spacing w:before="29" w:line="288" w:lineRule="auto"/>
              <w:jc w:val="center"/>
              <w:rPr>
                <w:sz w:val="24"/>
              </w:rPr>
            </w:pPr>
            <w:r>
              <w:rPr>
                <w:sz w:val="24"/>
              </w:rPr>
              <w:t>公允价值</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A</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农、林、牧、渔业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B</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采矿业</w:t>
            </w:r>
          </w:p>
        </w:tc>
        <w:tc>
          <w:tcPr>
            <w:tcW w:type="dxa" w:w="2897"/>
            <w:tcBorders>
              <w:top w:color="000000" w:space="0" w:sz="4" w:val="single"/>
              <w:left w:color="auto" w:space="0" w:sz="4" w:val="single"/>
              <w:bottom w:color="000000" w:space="0" w:sz="4" w:val="single"/>
              <w:right w:color="000000" w:space="0" w:sz="4" w:val="single"/>
            </w:tcBorders>
            <w:vAlign w:val="center"/>
          </w:tcPr>
          <w:p w:rsidP="00DF744A" w:rsidR="005F458B" w:rsidRDefault="005F458B" w:rsidRPr="007F52FA">
            <w:pPr>
              <w:spacing w:before="29" w:line="288" w:lineRule="auto"/>
              <w:jc w:val="right"/>
              <w:rPr>
                <w:sz w:val="24"/>
              </w:rPr>
            </w:pPr>
            <w:r w:rsidRPr="007F52FA">
              <w:rPr>
                <w:sz w:val="24"/>
              </w:rPr>
              <w:t>2,102,765.00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DF744A" w:rsidR="005F458B" w:rsidRDefault="005F458B" w:rsidRPr="007F52FA">
            <w:pPr>
              <w:spacing w:before="29" w:line="288" w:lineRule="auto"/>
              <w:jc w:val="right"/>
              <w:rPr>
                <w:sz w:val="24"/>
              </w:rPr>
            </w:pPr>
            <w:r w:rsidRPr="007F52FA">
              <w:rPr>
                <w:sz w:val="24"/>
              </w:rPr>
              <w:t>0.50</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C</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制造业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21,126,572.69</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5.06</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D</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电力、热力、燃气及水生产和供应业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E</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建筑业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F</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批发和零售业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4,822,308.00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
            </w:r>
            <w:r w:rsidRPr="007F52FA">
              <w:rPr>
                <w:sz w:val="24"/>
              </w:rPr>
              <w:lastRenderedPageBreak/>
              <w:t>1.15</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lastRenderedPageBreak/>
              <w:t>G</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交通运输、仓储和邮政业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6,262,605.00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1.50</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H</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住宿和餐饮业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2,407,248.00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0.58</w:t>
            </w:r>
          </w:p>
        </w:tc>
      </w:tr>
      <w:tr w:rsidR="005F458B" w:rsidRPr="007F52FA" w:rsidTr="00240CA0">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I</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240CA0" w:rsidR="005F458B" w:rsidRDefault="005F458B" w:rsidRPr="007F52FA">
            <w:pPr>
              <w:adjustRightInd w:val="0"/>
              <w:snapToGrid w:val="0"/>
              <w:spacing w:before="29" w:line="288" w:lineRule="auto"/>
              <w:rPr>
                <w:sz w:val="24"/>
              </w:rPr>
            </w:pPr>
            <w:r w:rsidRPr="007F52FA">
              <w:rPr>
                <w:sz w:val="24"/>
              </w:rPr>
              <w:t>信息传输、软件和信息技术服务业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2,014,667.79</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0.48</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J</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金融业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42,572,196.31</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10.19</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K</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房地产业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10,665,856.00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2.55</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L</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租赁和商务服务业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M</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科学研究和技术服务业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lastRenderedPageBreak/>
              <w:t>N</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水利、环境和公共设施管理业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6,578.04</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0.00</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O</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居民服务、修理和其他服务业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P</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教育</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Q</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卫生和社会工作</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R</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文化、体育和娱乐业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S</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综合</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合计</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91,980,796.83</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22.03</w:t>
            </w:r>
          </w:p>
        </w:tc>
      </w:tr>
    </w:tbl>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850"/>
        <w:gridCol w:w="1327"/>
        <w:gridCol w:w="1769"/>
        <w:gridCol w:w="1327"/>
        <w:gridCol w:w="1915"/>
        <w:gridCol w:w="1680"/>
      </w:tblGrid>
      <w:tr w:rsidR="000871DB" w:rsidRPr="007F52FA" w:rsidTr="00481DB2">
        <w:trPr>
          <w:jc w:val="center"/>
        </w:trPr>
        <w:tc>
          <w:tcPr>
            <w:tcW w:type="dxa" w:w="817"/>
            <w:vAlign w:val="center"/>
          </w:tcPr>
          <w:p w:rsidP="007C14DF" w:rsidR="000871DB" w:rsidRDefault="000871DB" w:rsidRPr="007F52FA">
            <w:pPr>
              <w:spacing w:before="29" w:line="288" w:lineRule="auto"/>
              <w:ind w:left="17"/>
              <w:jc w:val="center"/>
              <w:rPr>
                <w:color w:val="000000"/>
                <w:sz w:val="24"/>
              </w:rPr>
            </w:pPr>
            <w:r w:rsidRPr="007F52FA">
              <w:rPr>
                <w:color w:val="000000"/>
                <w:sz w:val="24"/>
              </w:rPr>
              <w:t>序号</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股票代码</w:t>
            </w:r>
          </w:p>
        </w:tc>
        <w:tc>
          <w:tcPr>
            <w:tcW w:type="dxa" w:w="1701"/>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股票名称</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type="dxa" w:w="1842"/>
            <w:vAlign w:val="center"/>
          </w:tcPr>
          <w:p w:rsidP="007C14DF" w:rsidR="000871DB" w:rsidRDefault="000871DB" w:rsidRPr="007F52FA">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type="dxa" w:w="1616"/>
            <w:vAlign w:val="center"/>
          </w:tcPr>
          <w:p w:rsidP="007C14DF" w:rsidR="000871DB" w:rsidRDefault="000871DB" w:rsidRPr="007F52FA">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tc>
          <w:tcPr>
            <w:vAlign w:val="center"/>
          </w:tcPr>
          <w:p>
            <w:pPr>
              <w:jc w:val="center"/>
            </w:pPr>
            <w:r>
              <w:rPr>
                <w:color w:val="000000"/>
                <w:sz w:val="24"/>
              </w:rPr>
              <w:t>1</w:t>
            </w:r>
          </w:p>
        </w:tc>
        <w:tc>
          <w:tcPr>
            <w:vAlign w:val="center"/>
          </w:tcPr>
          <w:p>
            <w:pPr>
              <w:jc w:val="center"/>
            </w:pPr>
            <w:r>
              <w:rPr>
                <w:color w:val="000000"/>
                <w:sz w:val="24"/>
              </w:rPr>
              <w:t>601398</w:t>
            </w:r>
          </w:p>
        </w:tc>
        <w:tc>
          <w:tcPr>
            <w:vAlign w:val="center"/>
          </w:tcPr>
          <w:p>
            <w:pPr>
              <w:jc w:val="center"/>
            </w:pPr>
            <w:r>
              <w:rPr>
                <w:color w:val="000000"/>
                <w:sz w:val="24"/>
              </w:rPr>
              <w:t>工商银行</w:t>
            </w:r>
          </w:p>
        </w:tc>
        <w:tc>
          <w:tcPr>
            <w:vAlign w:val="center"/>
          </w:tcPr>
          <w:p>
            <w:pPr>
              <w:jc w:val="right"/>
            </w:pPr>
            <w:r>
              <w:rPr>
                <w:color w:val="000000"/>
                <w:sz w:val="24"/>
              </w:rPr>
              <w:t>2,467,600</w:t>
            </w:r>
          </w:p>
        </w:tc>
        <w:tc>
          <w:tcPr>
            <w:vAlign w:val="center"/>
          </w:tcPr>
          <w:p>
            <w:pPr>
              <w:jc w:val="right"/>
            </w:pPr>
            <w:r>
              <w:rPr>
                <w:color w:val="000000"/>
                <w:sz w:val="24"/>
              </w:rPr>
              <w:t>14,509,488.00</w:t>
            </w:r>
          </w:p>
        </w:tc>
        <w:tc>
          <w:tcPr>
            <w:vAlign w:val="center"/>
          </w:tcPr>
          <w:p>
            <w:pPr>
              <w:jc w:val="right"/>
            </w:pPr>
            <w:r>
              <w:rPr>
                <w:color w:val="000000"/>
                <w:sz w:val="24"/>
              </w:rPr>
              <w:t>3.47</w:t>
            </w:r>
          </w:p>
        </w:tc>
      </w:tr>
      <w:tr>
        <w:tc>
          <w:tcPr>
            <w:vAlign w:val="center"/>
          </w:tcPr>
          <w:p>
            <w:pPr>
              <w:jc w:val="center"/>
            </w:pPr>
            <w:r>
              <w:rPr>
                <w:color w:val="000000"/>
                <w:sz w:val="24"/>
              </w:rPr>
              <w:t>2</w:t>
            </w:r>
          </w:p>
        </w:tc>
        <w:tc>
          <w:tcPr>
            <w:vAlign w:val="center"/>
          </w:tcPr>
          <w:p>
            <w:pPr>
              <w:jc w:val="center"/>
            </w:pPr>
            <w:r>
              <w:rPr>
                <w:color w:val="000000"/>
                <w:sz w:val="24"/>
              </w:rPr>
              <w:t>600048</w:t>
            </w:r>
          </w:p>
        </w:tc>
        <w:tc>
          <w:tcPr>
            <w:vAlign w:val="center"/>
          </w:tcPr>
          <w:p>
            <w:pPr>
              <w:jc w:val="center"/>
            </w:pPr>
            <w:r>
              <w:rPr>
                <w:color w:val="000000"/>
                <w:sz w:val="24"/>
              </w:rPr>
              <w:t>保利地产</w:t>
            </w:r>
          </w:p>
        </w:tc>
        <w:tc>
          <w:tcPr>
            <w:vAlign w:val="center"/>
          </w:tcPr>
          <w:p>
            <w:pPr>
              <w:jc w:val="right"/>
            </w:pPr>
            <w:r>
              <w:rPr>
                <w:color w:val="000000"/>
                <w:sz w:val="24"/>
              </w:rPr>
              <w:t>659,200</w:t>
            </w:r>
          </w:p>
        </w:tc>
        <w:tc>
          <w:tcPr>
            <w:vAlign w:val="center"/>
          </w:tcPr>
          <w:p>
            <w:pPr>
              <w:jc w:val="right"/>
            </w:pPr>
            <w:r>
              <w:rPr>
                <w:color w:val="000000"/>
                <w:sz w:val="24"/>
              </w:rPr>
              <w:t>10,665,856.00</w:t>
            </w:r>
          </w:p>
        </w:tc>
        <w:tc>
          <w:tcPr>
            <w:vAlign w:val="center"/>
          </w:tcPr>
          <w:p>
            <w:pPr>
              <w:jc w:val="right"/>
            </w:pPr>
            <w:r>
              <w:rPr>
                <w:color w:val="000000"/>
                <w:sz w:val="24"/>
              </w:rPr>
              <w:t>2.55</w:t>
            </w:r>
          </w:p>
        </w:tc>
      </w:tr>
      <w:tr>
        <w:tc>
          <w:tcPr>
            <w:vAlign w:val="center"/>
          </w:tcPr>
          <w:p>
            <w:pPr>
              <w:jc w:val="center"/>
            </w:pPr>
            <w:r>
              <w:rPr>
                <w:color w:val="000000"/>
                <w:sz w:val="24"/>
              </w:rPr>
              <w:t>3</w:t>
            </w:r>
          </w:p>
        </w:tc>
        <w:tc>
          <w:tcPr>
            <w:vAlign w:val="center"/>
          </w:tcPr>
          <w:p>
            <w:pPr>
              <w:jc w:val="center"/>
            </w:pPr>
            <w:r>
              <w:rPr>
                <w:color w:val="000000"/>
                <w:sz w:val="24"/>
              </w:rPr>
              <w:t>601336</w:t>
            </w:r>
          </w:p>
        </w:tc>
        <w:tc>
          <w:tcPr>
            <w:vAlign w:val="center"/>
          </w:tcPr>
          <w:p>
            <w:pPr>
              <w:jc w:val="center"/>
            </w:pPr>
            <w:r>
              <w:rPr>
                <w:color w:val="000000"/>
                <w:sz w:val="24"/>
              </w:rPr>
              <w:t>新华保险</w:t>
            </w:r>
          </w:p>
        </w:tc>
        <w:tc>
          <w:tcPr>
            <w:vAlign w:val="center"/>
          </w:tcPr>
          <w:p>
            <w:pPr>
              <w:jc w:val="right"/>
            </w:pPr>
            <w:r>
              <w:rPr>
                <w:color w:val="000000"/>
                <w:sz w:val="24"/>
              </w:rPr>
              <w:t>182,513</w:t>
            </w:r>
          </w:p>
        </w:tc>
        <w:tc>
          <w:tcPr>
            <w:vAlign w:val="center"/>
          </w:tcPr>
          <w:p>
            <w:pPr>
              <w:jc w:val="right"/>
            </w:pPr>
            <w:r>
              <w:rPr>
                <w:color w:val="000000"/>
                <w:sz w:val="24"/>
              </w:rPr>
              <w:t>8,970,513.95</w:t>
            </w:r>
          </w:p>
        </w:tc>
        <w:tc>
          <w:tcPr>
            <w:vAlign w:val="center"/>
          </w:tcPr>
          <w:p>
            <w:pPr>
              <w:jc w:val="right"/>
            </w:pPr>
            <w:r>
              <w:rPr>
                <w:color w:val="000000"/>
                <w:sz w:val="24"/>
              </w:rPr>
              <w:t>2.15</w:t>
            </w:r>
          </w:p>
        </w:tc>
      </w:tr>
      <w:tr>
        <w:tc>
          <w:tcPr>
            <w:vAlign w:val="center"/>
          </w:tcPr>
          <w:p>
            <w:pPr>
              <w:jc w:val="center"/>
            </w:pPr>
            <w:r>
              <w:rPr>
                <w:color w:val="000000"/>
                <w:sz w:val="24"/>
              </w:rPr>
              <w:t>4</w:t>
            </w:r>
          </w:p>
        </w:tc>
        <w:tc>
          <w:tcPr>
            <w:vAlign w:val="center"/>
          </w:tcPr>
          <w:p>
            <w:pPr>
              <w:jc w:val="center"/>
            </w:pPr>
            <w:r>
              <w:rPr>
                <w:color w:val="000000"/>
                <w:sz w:val="24"/>
              </w:rPr>
              <w:t>601628</w:t>
            </w:r>
          </w:p>
        </w:tc>
        <w:tc>
          <w:tcPr>
            <w:vAlign w:val="center"/>
          </w:tcPr>
          <w:p>
            <w:pPr>
              <w:jc w:val="center"/>
            </w:pPr>
            <w:r>
              <w:rPr>
                <w:color w:val="000000"/>
                <w:sz w:val="24"/>
              </w:rPr>
              <w:t>中国人寿</w:t>
            </w:r>
          </w:p>
        </w:tc>
        <w:tc>
          <w:tcPr>
            <w:vAlign w:val="center"/>
          </w:tcPr>
          <w:p>
            <w:pPr>
              <w:jc w:val="right"/>
            </w:pPr>
            <w:r>
              <w:rPr>
                <w:color w:val="000000"/>
                <w:sz w:val="24"/>
              </w:rPr>
              <w:t>194,375</w:t>
            </w:r>
          </w:p>
        </w:tc>
        <w:tc>
          <w:tcPr>
            <w:vAlign w:val="center"/>
          </w:tcPr>
          <w:p>
            <w:pPr>
              <w:jc w:val="right"/>
            </w:pPr>
            <w:r>
              <w:rPr>
                <w:color w:val="000000"/>
                <w:sz w:val="24"/>
              </w:rPr>
              <w:t>6,777,856.25</w:t>
            </w:r>
          </w:p>
        </w:tc>
        <w:tc>
          <w:tcPr>
            <w:vAlign w:val="center"/>
          </w:tcPr>
          <w:p>
            <w:pPr>
              <w:jc w:val="right"/>
            </w:pPr>
            <w:r>
              <w:rPr>
                <w:color w:val="000000"/>
                <w:sz w:val="24"/>
              </w:rPr>
              <w:t>1.62</w:t>
            </w:r>
          </w:p>
        </w:tc>
      </w:tr>
      <w:tr>
        <w:tc>
          <w:tcPr>
            <w:vAlign w:val="center"/>
          </w:tcPr>
          <w:p>
            <w:pPr>
              <w:jc w:val="center"/>
            </w:pPr>
            <w:r>
              <w:rPr>
                <w:color w:val="000000"/>
                <w:sz w:val="24"/>
              </w:rPr>
              <w:t>5</w:t>
            </w:r>
          </w:p>
        </w:tc>
        <w:tc>
          <w:tcPr>
            <w:vAlign w:val="center"/>
          </w:tcPr>
          <w:p>
            <w:pPr>
              <w:jc w:val="center"/>
            </w:pPr>
            <w:r>
              <w:rPr>
                <w:color w:val="000000"/>
                <w:sz w:val="24"/>
              </w:rPr>
              <w:t>601238</w:t>
            </w:r>
          </w:p>
        </w:tc>
        <w:tc>
          <w:tcPr>
            <w:vAlign w:val="center"/>
          </w:tcPr>
          <w:p>
            <w:pPr>
              <w:jc w:val="center"/>
            </w:pPr>
            <w:r>
              <w:rPr>
                <w:color w:val="000000"/>
                <w:sz w:val="24"/>
              </w:rPr>
              <w:t>广汽集团</w:t>
            </w:r>
          </w:p>
        </w:tc>
        <w:tc>
          <w:tcPr>
            <w:vAlign w:val="center"/>
          </w:tcPr>
          <w:p>
            <w:pPr>
              <w:jc w:val="right"/>
            </w:pPr>
            <w:r>
              <w:rPr>
                <w:color w:val="000000"/>
                <w:sz w:val="24"/>
              </w:rPr>
              <w:t>485,583</w:t>
            </w:r>
          </w:p>
        </w:tc>
        <w:tc>
          <w:tcPr>
            <w:vAlign w:val="center"/>
          </w:tcPr>
          <w:p>
            <w:pPr>
              <w:jc w:val="right"/>
            </w:pPr>
            <w:r>
              <w:rPr>
                <w:color w:val="000000"/>
                <w:sz w:val="24"/>
              </w:rPr>
              <w:t>5,676,465.27</w:t>
            </w:r>
          </w:p>
        </w:tc>
        <w:tc>
          <w:tcPr>
            <w:vAlign w:val="center"/>
          </w:tcPr>
          <w:p>
            <w:pPr>
              <w:jc w:val="right"/>
            </w:pPr>
            <w:r>
              <w:rPr>
                <w:color w:val="000000"/>
                <w:sz w:val="24"/>
              </w:rPr>
              <w:t>1.36</w:t>
            </w:r>
          </w:p>
        </w:tc>
      </w:tr>
      <w:tr>
        <w:tc>
          <w:tcPr>
            <w:vAlign w:val="center"/>
          </w:tcPr>
          <w:p>
            <w:pPr>
              <w:jc w:val="center"/>
            </w:pPr>
            <w:r>
              <w:rPr>
                <w:color w:val="000000"/>
                <w:sz w:val="24"/>
              </w:rPr>
              <w:t>6</w:t>
            </w:r>
          </w:p>
        </w:tc>
        <w:tc>
          <w:tcPr>
            <w:vAlign w:val="center"/>
          </w:tcPr>
          <w:p>
            <w:pPr>
              <w:jc w:val="center"/>
            </w:pPr>
            <w:r>
              <w:rPr>
                <w:color w:val="000000"/>
                <w:sz w:val="24"/>
              </w:rPr>
              <w:t>002271</w:t>
            </w:r>
          </w:p>
        </w:tc>
        <w:tc>
          <w:tcPr>
            <w:vAlign w:val="center"/>
          </w:tcPr>
          <w:p>
            <w:pPr>
              <w:jc w:val="center"/>
            </w:pPr>
            <w:r>
              <w:rPr>
                <w:color w:val="000000"/>
                <w:sz w:val="24"/>
              </w:rPr>
              <w:t>东方雨虹</w:t>
            </w:r>
          </w:p>
        </w:tc>
        <w:tc>
          <w:tcPr>
            <w:vAlign w:val="center"/>
          </w:tcPr>
          <w:p>
            <w:pPr>
              <w:jc w:val="right"/>
            </w:pPr>
            <w:r>
              <w:rPr>
                <w:color w:val="000000"/>
                <w:sz w:val="24"/>
              </w:rPr>
              <w:t>200,000</w:t>
            </w:r>
          </w:p>
        </w:tc>
        <w:tc>
          <w:tcPr>
            <w:vAlign w:val="center"/>
          </w:tcPr>
          <w:p>
            <w:pPr>
              <w:jc w:val="right"/>
            </w:pPr>
            <w:r>
              <w:rPr>
                <w:color w:val="000000"/>
                <w:sz w:val="24"/>
              </w:rPr>
              <w:t>5,262,000.00</w:t>
            </w:r>
          </w:p>
        </w:tc>
        <w:tc>
          <w:tcPr>
            <w:vAlign w:val="center"/>
          </w:tcPr>
          <w:p>
            <w:pPr>
              <w:jc w:val="right"/>
            </w:pPr>
            <w:r>
              <w:rPr>
                <w:color w:val="000000"/>
                <w:sz w:val="24"/>
              </w:rPr>
              <w:t>1.26</w:t>
            </w:r>
          </w:p>
        </w:tc>
      </w:tr>
      <w:tr>
        <w:tc>
          <w:tcPr>
            <w:vAlign w:val="center"/>
          </w:tcPr>
          <w:p>
            <w:pPr>
              <w:jc w:val="center"/>
            </w:pPr>
            <w:r>
              <w:rPr>
                <w:color w:val="000000"/>
                <w:sz w:val="24"/>
              </w:rPr>
              <w:t>7</w:t>
            </w:r>
          </w:p>
        </w:tc>
        <w:tc>
          <w:tcPr>
            <w:vAlign w:val="center"/>
          </w:tcPr>
          <w:p>
            <w:pPr>
              <w:jc w:val="center"/>
            </w:pPr>
            <w:r>
              <w:rPr>
                <w:color w:val="000000"/>
                <w:sz w:val="24"/>
              </w:rPr>
              <w:t>601601</w:t>
            </w:r>
          </w:p>
        </w:tc>
        <w:tc>
          <w:tcPr>
            <w:vAlign w:val="center"/>
          </w:tcPr>
          <w:p>
            <w:pPr>
              <w:jc w:val="center"/>
            </w:pPr>
            <w:r>
              <w:rPr>
                <w:color w:val="000000"/>
                <w:sz w:val="24"/>
              </w:rPr>
              <w:t>中国太保</w:t>
            </w:r>
          </w:p>
        </w:tc>
        <w:tc>
          <w:tcPr>
            <w:vAlign w:val="center"/>
          </w:tcPr>
          <w:p>
            <w:pPr>
              <w:jc w:val="right"/>
            </w:pPr>
            <w:r>
              <w:rPr>
                <w:color w:val="000000"/>
                <w:sz w:val="24"/>
              </w:rPr>
              <w:t>134,913</w:t>
            </w:r>
          </w:p>
        </w:tc>
        <w:tc>
          <w:tcPr>
            <w:vAlign w:val="center"/>
          </w:tcPr>
          <w:p>
            <w:pPr>
              <w:jc w:val="right"/>
            </w:pPr>
            <w:r>
              <w:rPr>
                <w:color w:val="000000"/>
                <w:sz w:val="24"/>
              </w:rPr>
              <w:t>5,105,107.92</w:t>
            </w:r>
          </w:p>
        </w:tc>
        <w:tc>
          <w:tcPr>
            <w:vAlign w:val="center"/>
          </w:tcPr>
          <w:p>
            <w:pPr>
              <w:jc w:val="right"/>
            </w:pPr>
            <w:r>
              <w:rPr>
                <w:color w:val="000000"/>
                <w:sz w:val="24"/>
              </w:rPr>
              <w:t>1.22</w:t>
            </w:r>
          </w:p>
        </w:tc>
      </w:tr>
      <w:tr>
        <w:tc>
          <w:tcPr>
            <w:vAlign w:val="center"/>
          </w:tcPr>
          <w:p>
            <w:pPr>
              <w:jc w:val="center"/>
            </w:pPr>
            <w:r>
              <w:rPr>
                <w:color w:val="000000"/>
                <w:sz w:val="24"/>
              </w:rPr>
              <w:t>8</w:t>
            </w:r>
          </w:p>
        </w:tc>
        <w:tc>
          <w:tcPr>
            <w:vAlign w:val="center"/>
          </w:tcPr>
          <w:p>
            <w:pPr>
              <w:jc w:val="center"/>
            </w:pPr>
            <w:r>
              <w:rPr>
                <w:color w:val="000000"/>
                <w:sz w:val="24"/>
              </w:rPr>
              <w:t>000001</w:t>
            </w:r>
          </w:p>
        </w:tc>
        <w:tc>
          <w:tcPr>
            <w:vAlign w:val="center"/>
          </w:tcPr>
          <w:p>
            <w:pPr>
              <w:jc w:val="center"/>
            </w:pPr>
            <w:r>
              <w:rPr>
                <w:color w:val="000000"/>
                <w:sz w:val="24"/>
              </w:rPr>
              <w:t>平安银行</w:t>
            </w:r>
          </w:p>
        </w:tc>
        <w:tc>
          <w:tcPr>
            <w:vAlign w:val="center"/>
          </w:tcPr>
          <w:p>
            <w:pPr>
              <w:jc w:val="right"/>
            </w:pPr>
            <w:r>
              <w:rPr>
                <w:color w:val="000000"/>
                <w:sz w:val="24"/>
              </w:rPr>
              <w:t>300,000</w:t>
            </w:r>
          </w:p>
        </w:tc>
        <w:tc>
          <w:tcPr>
            <w:vAlign w:val="center"/>
          </w:tcPr>
          <w:p>
            <w:pPr>
              <w:jc w:val="right"/>
            </w:pPr>
            <w:r>
              <w:rPr>
                <w:color w:val="000000"/>
                <w:sz w:val="24"/>
              </w:rPr>
              <w:t>4,935,000.00</w:t>
            </w:r>
          </w:p>
        </w:tc>
        <w:tc>
          <w:tcPr>
            <w:vAlign w:val="center"/>
          </w:tcPr>
          <w:p>
            <w:pPr>
              <w:jc w:val="right"/>
            </w:pPr>
            <w:r>
              <w:rPr>
                <w:color w:val="000000"/>
                <w:sz w:val="24"/>
              </w:rPr>
              <w:t>1.18</w:t>
            </w:r>
          </w:p>
        </w:tc>
      </w:tr>
      <w:tr>
        <w:tc>
          <w:tcPr>
            <w:vAlign w:val="center"/>
          </w:tcPr>
          <w:p>
            <w:pPr>
              <w:jc w:val="center"/>
            </w:pPr>
            <w:r>
              <w:rPr>
                <w:color w:val="000000"/>
                <w:sz w:val="24"/>
              </w:rPr>
              <w:t>9</w:t>
            </w:r>
          </w:p>
        </w:tc>
        <w:tc>
          <w:tcPr>
            <w:vAlign w:val="center"/>
          </w:tcPr>
          <w:p>
            <w:pPr>
              <w:jc w:val="center"/>
            </w:pPr>
            <w:r>
              <w:rPr>
                <w:color w:val="000000"/>
                <w:sz w:val="24"/>
              </w:rPr>
              <w:t>600009</w:t>
            </w:r>
          </w:p>
        </w:tc>
        <w:tc>
          <w:tcPr>
            <w:vAlign w:val="center"/>
          </w:tcPr>
          <w:p>
            <w:pPr>
              <w:jc w:val="center"/>
            </w:pPr>
            <w:r>
              <w:rPr>
                <w:color w:val="000000"/>
                <w:sz w:val="24"/>
              </w:rPr>
              <w:t>上海机场</w:t>
            </w:r>
          </w:p>
        </w:tc>
        <w:tc>
          <w:tcPr>
            <w:vAlign w:val="center"/>
          </w:tcPr>
          <w:p>
            <w:pPr>
              <w:jc w:val="right"/>
            </w:pPr>
            <w:r>
              <w:rPr>
                <w:color w:val="000000"/>
                <w:sz w:val="24"/>
              </w:rPr>
              <w:t>61,300</w:t>
            </w:r>
          </w:p>
        </w:tc>
        <w:tc>
          <w:tcPr>
            <w:vAlign w:val="center"/>
          </w:tcPr>
          <w:p>
            <w:pPr>
              <w:jc w:val="right"/>
            </w:pPr>
            <w:r>
              <w:rPr>
                <w:color w:val="000000"/>
                <w:sz w:val="24"/>
              </w:rPr>
              <w:t>4,827,375.00</w:t>
            </w:r>
          </w:p>
        </w:tc>
        <w:tc>
          <w:tcPr>
            <w:vAlign w:val="center"/>
          </w:tcPr>
          <w:p>
            <w:pPr>
              <w:jc w:val="right"/>
            </w:pPr>
            <w:r>
              <w:rPr>
                <w:color w:val="000000"/>
                <w:sz w:val="24"/>
              </w:rPr>
              <w:t>1.16</w:t>
            </w:r>
          </w:p>
        </w:tc>
      </w:tr>
      <w:tr>
        <w:tc>
          <w:tcPr>
            <w:vAlign w:val="center"/>
          </w:tcPr>
          <w:p>
            <w:pPr>
              <w:jc w:val="center"/>
            </w:pPr>
            <w:r>
              <w:rPr>
                <w:color w:val="000000"/>
                <w:sz w:val="24"/>
              </w:rPr>
              <w:t>10</w:t>
            </w:r>
          </w:p>
        </w:tc>
        <w:tc>
          <w:tcPr>
            <w:vAlign w:val="center"/>
          </w:tcPr>
          <w:p>
            <w:pPr>
              <w:jc w:val="center"/>
            </w:pPr>
            <w:r>
              <w:rPr>
                <w:color w:val="000000"/>
                <w:sz w:val="24"/>
              </w:rPr>
              <w:t>600887</w:t>
            </w:r>
          </w:p>
        </w:tc>
        <w:tc>
          <w:tcPr>
            <w:vAlign w:val="center"/>
          </w:tcPr>
          <w:p>
            <w:pPr>
              <w:jc w:val="center"/>
            </w:pPr>
            <w:r>
              <w:rPr>
                <w:color w:val="000000"/>
                <w:sz w:val="24"/>
              </w:rPr>
              <w:t>伊利股份</w:t>
            </w:r>
          </w:p>
        </w:tc>
        <w:tc>
          <w:tcPr>
            <w:vAlign w:val="center"/>
          </w:tcPr>
          <w:p>
            <w:pPr>
              <w:jc w:val="right"/>
            </w:pPr>
            <w:r>
              <w:rPr>
                <w:color w:val="000000"/>
                <w:sz w:val="24"/>
              </w:rPr>
              <w:t>100,000</w:t>
            </w:r>
          </w:p>
        </w:tc>
        <w:tc>
          <w:tcPr>
            <w:vAlign w:val="center"/>
          </w:tcPr>
          <w:p>
            <w:pPr>
              <w:jc w:val="right"/>
            </w:pPr>
            <w:r>
              <w:rPr>
                <w:color w:val="000000"/>
                <w:sz w:val="24"/>
              </w:rPr>
              <w:t>3,094,000.00</w:t>
            </w:r>
          </w:p>
        </w:tc>
        <w:tc>
          <w:tcPr>
            <w:vAlign w:val="center"/>
          </w:tcPr>
          <w:p>
            <w:pPr>
              <w:jc w:val="right"/>
            </w:pPr>
            <w:r>
              <w:rPr>
                <w:color w:val="000000"/>
                <w:sz w:val="24"/>
              </w:rPr>
              <w:t>0.74</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23,059,850.00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5.52</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23,059,850.00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5.52</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171,969,000.00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41.18</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132,456,000.00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31.72</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1,980,298.80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0.47</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329,465,148.80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78.90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101800422</w:t>
            </w:r>
          </w:p>
        </w:tc>
        <w:tc>
          <w:tcPr>
            <w:vAlign w:val="center"/>
          </w:tcPr>
          <w:p>
            <w:pPr>
              <w:jc w:val="center"/>
            </w:pPr>
            <w:r>
              <w:rPr>
                <w:color w:val="000000"/>
                <w:sz w:val="24"/>
              </w:rPr>
              <w:t>18汇金MTN004BC</w:t>
            </w:r>
          </w:p>
        </w:tc>
        <w:tc>
          <w:tcPr>
            <w:vAlign w:val="center"/>
          </w:tcPr>
          <w:p>
            <w:pPr>
              <w:jc w:val="right"/>
            </w:pPr>
            <w:r>
              <w:rPr>
                <w:color w:val="000000"/>
                <w:sz w:val="24"/>
              </w:rPr>
              <w:t>200,000</w:t>
            </w:r>
          </w:p>
        </w:tc>
        <w:tc>
          <w:tcPr>
            <w:vAlign w:val="center"/>
          </w:tcPr>
          <w:p>
            <w:pPr>
              <w:jc w:val="right"/>
            </w:pPr>
            <w:r>
              <w:rPr>
                <w:color w:val="000000"/>
                <w:sz w:val="24"/>
              </w:rPr>
              <w:t>20,486,000.00</w:t>
            </w:r>
          </w:p>
        </w:tc>
        <w:tc>
          <w:tcPr>
            <w:vAlign w:val="center"/>
          </w:tcPr>
          <w:p>
            <w:pPr>
              <w:jc w:val="right"/>
            </w:pPr>
            <w:r>
              <w:rPr>
                <w:color w:val="000000"/>
                <w:sz w:val="24"/>
              </w:rPr>
              <w:t>4.91</w:t>
            </w:r>
          </w:p>
        </w:tc>
      </w:tr>
      <w:tr>
        <w:tc>
          <w:tcPr>
            <w:vAlign w:val="center"/>
          </w:tcPr>
          <w:p>
            <w:pPr>
              <w:jc w:val="center"/>
            </w:pPr>
            <w:r>
              <w:rPr>
                <w:color w:val="000000"/>
                <w:sz w:val="24"/>
              </w:rPr>
              <w:t>2</w:t>
            </w:r>
          </w:p>
        </w:tc>
        <w:tc>
          <w:tcPr>
            <w:vAlign w:val="center"/>
          </w:tcPr>
          <w:p>
            <w:pPr>
              <w:jc w:val="center"/>
            </w:pPr>
            <w:r>
              <w:rPr>
                <w:color w:val="000000"/>
                <w:sz w:val="24"/>
              </w:rPr>
              <w:t>143533</w:t>
            </w:r>
          </w:p>
        </w:tc>
        <w:tc>
          <w:tcPr>
            <w:vAlign w:val="center"/>
          </w:tcPr>
          <w:p>
            <w:pPr>
              <w:jc w:val="center"/>
            </w:pPr>
            <w:r>
              <w:rPr>
                <w:color w:val="000000"/>
                <w:sz w:val="24"/>
              </w:rPr>
              <w:t>18国投01</w:t>
            </w:r>
          </w:p>
        </w:tc>
        <w:tc>
          <w:tcPr>
            <w:vAlign w:val="center"/>
          </w:tcPr>
          <w:p>
            <w:pPr>
              <w:jc w:val="right"/>
            </w:pPr>
            <w:r>
              <w:rPr>
                <w:color w:val="000000"/>
                <w:sz w:val="24"/>
              </w:rPr>
              <w:t>200,000</w:t>
            </w:r>
          </w:p>
        </w:tc>
        <w:tc>
          <w:tcPr>
            <w:vAlign w:val="center"/>
          </w:tcPr>
          <w:p>
            <w:pPr>
              <w:jc w:val="right"/>
            </w:pPr>
            <w:r>
              <w:rPr>
                <w:color w:val="000000"/>
                <w:sz w:val="24"/>
              </w:rPr>
              <w:t>20,476,000.00</w:t>
            </w:r>
          </w:p>
        </w:tc>
        <w:tc>
          <w:tcPr>
            <w:vAlign w:val="center"/>
          </w:tcPr>
          <w:p>
            <w:pPr>
              <w:jc w:val="right"/>
            </w:pPr>
            <w:r>
              <w:rPr>
                <w:color w:val="000000"/>
                <w:sz w:val="24"/>
              </w:rPr>
              <w:t>4.90</w:t>
            </w:r>
          </w:p>
        </w:tc>
      </w:tr>
      <w:tr>
        <w:tc>
          <w:tcPr>
            <w:vAlign w:val="center"/>
          </w:tcPr>
          <w:p>
            <w:pPr>
              <w:jc w:val="center"/>
            </w:pPr>
            <w:r>
              <w:rPr>
                <w:color w:val="000000"/>
                <w:sz w:val="24"/>
              </w:rPr>
              <w:t>3</w:t>
            </w:r>
          </w:p>
        </w:tc>
        <w:tc>
          <w:tcPr>
            <w:vAlign w:val="center"/>
          </w:tcPr>
          <w:p>
            <w:pPr>
              <w:jc w:val="center"/>
            </w:pPr>
            <w:r>
              <w:rPr>
                <w:color w:val="000000"/>
                <w:sz w:val="24"/>
              </w:rPr>
              <w:t>018007</w:t>
            </w:r>
          </w:p>
        </w:tc>
        <w:tc>
          <w:tcPr>
            <w:vAlign w:val="center"/>
          </w:tcPr>
          <w:p>
            <w:pPr>
              <w:jc w:val="center"/>
            </w:pPr>
            <w:r>
              <w:rPr>
                <w:color w:val="000000"/>
                <w:sz w:val="24"/>
              </w:rPr>
              <w:t>国开1801</w:t>
            </w:r>
          </w:p>
        </w:tc>
        <w:tc>
          <w:tcPr>
            <w:vAlign w:val="center"/>
          </w:tcPr>
          <w:p>
            <w:pPr>
              <w:jc w:val="right"/>
            </w:pPr>
            <w:r>
              <w:rPr>
                <w:color w:val="000000"/>
                <w:sz w:val="24"/>
              </w:rPr>
              <w:t>159,000</w:t>
            </w:r>
          </w:p>
        </w:tc>
        <w:tc>
          <w:tcPr>
            <w:vAlign w:val="center"/>
          </w:tcPr>
          <w:p>
            <w:pPr>
              <w:jc w:val="right"/>
            </w:pPr>
            <w:r>
              <w:rPr>
                <w:color w:val="000000"/>
                <w:sz w:val="24"/>
              </w:rPr>
              <w:t>16,019,250.00</w:t>
            </w:r>
          </w:p>
        </w:tc>
        <w:tc>
          <w:tcPr>
            <w:vAlign w:val="center"/>
          </w:tcPr>
          <w:p>
            <w:pPr>
              <w:jc w:val="right"/>
            </w:pPr>
            <w:r>
              <w:rPr>
                <w:color w:val="000000"/>
                <w:sz w:val="24"/>
              </w:rPr>
              <w:t>3.84</w:t>
            </w:r>
          </w:p>
        </w:tc>
      </w:tr>
      <w:tr>
        <w:tc>
          <w:tcPr>
            <w:vAlign w:val="center"/>
          </w:tcPr>
          <w:p>
            <w:pPr>
              <w:jc w:val="center"/>
            </w:pPr>
            <w:r>
              <w:rPr>
                <w:color w:val="000000"/>
                <w:sz w:val="24"/>
              </w:rPr>
              <w:t>4</w:t>
            </w:r>
          </w:p>
        </w:tc>
        <w:tc>
          <w:tcPr>
            <w:vAlign w:val="center"/>
          </w:tcPr>
          <w:p>
            <w:pPr>
              <w:jc w:val="center"/>
            </w:pPr>
            <w:r>
              <w:rPr>
                <w:color w:val="000000"/>
                <w:sz w:val="24"/>
              </w:rPr>
              <w:t>101469019</w:t>
            </w:r>
          </w:p>
        </w:tc>
        <w:tc>
          <w:tcPr>
            <w:vAlign w:val="center"/>
          </w:tcPr>
          <w:p>
            <w:pPr>
              <w:jc w:val="center"/>
            </w:pPr>
            <w:r>
              <w:rPr>
                <w:color w:val="000000"/>
                <w:sz w:val="24"/>
              </w:rPr>
              <w:t>14北汽集MTN001</w:t>
            </w:r>
          </w:p>
        </w:tc>
        <w:tc>
          <w:tcPr>
            <w:vAlign w:val="center"/>
          </w:tcPr>
          <w:p>
            <w:pPr>
              <w:jc w:val="right"/>
            </w:pPr>
            <w:r>
              <w:rPr>
                <w:color w:val="000000"/>
                <w:sz w:val="24"/>
              </w:rPr>
              <w:t>100,000</w:t>
            </w:r>
          </w:p>
        </w:tc>
        <w:tc>
          <w:tcPr>
            <w:vAlign w:val="center"/>
          </w:tcPr>
          <w:p>
            <w:pPr>
              <w:jc w:val="right"/>
            </w:pPr>
            <w:r>
              <w:rPr>
                <w:color w:val="000000"/>
                <w:sz w:val="24"/>
              </w:rPr>
              <w:t>10,418,000.00</w:t>
            </w:r>
          </w:p>
        </w:tc>
        <w:tc>
          <w:tcPr>
            <w:vAlign w:val="center"/>
          </w:tcPr>
          <w:p>
            <w:pPr>
              <w:jc w:val="right"/>
            </w:pPr>
            <w:r>
              <w:rPr>
                <w:color w:val="000000"/>
                <w:sz w:val="24"/>
              </w:rPr>
              <w:t>2.49</w:t>
            </w:r>
          </w:p>
        </w:tc>
      </w:tr>
      <w:tr>
        <w:tc>
          <w:tcPr>
            <w:vAlign w:val="center"/>
          </w:tcPr>
          <w:p>
            <w:pPr>
              <w:jc w:val="center"/>
            </w:pPr>
            <w:r>
              <w:rPr>
                <w:color w:val="000000"/>
                <w:sz w:val="24"/>
              </w:rPr>
              <w:t>5</w:t>
            </w:r>
          </w:p>
        </w:tc>
        <w:tc>
          <w:tcPr>
            <w:vAlign w:val="center"/>
          </w:tcPr>
          <w:p>
            <w:pPr>
              <w:jc w:val="center"/>
            </w:pPr>
            <w:r>
              <w:rPr>
                <w:color w:val="000000"/>
                <w:sz w:val="24"/>
              </w:rPr>
              <w:t>101800171</w:t>
            </w:r>
          </w:p>
        </w:tc>
        <w:tc>
          <w:tcPr>
            <w:vAlign w:val="center"/>
          </w:tcPr>
          <w:p>
            <w:pPr>
              <w:jc w:val="center"/>
            </w:pPr>
            <w:r>
              <w:rPr>
                <w:color w:val="000000"/>
                <w:sz w:val="24"/>
              </w:rPr>
              <w:t>18华润置地MTN001</w:t>
            </w:r>
          </w:p>
        </w:tc>
        <w:tc>
          <w:tcPr>
            <w:vAlign w:val="center"/>
          </w:tcPr>
          <w:p>
            <w:pPr>
              <w:jc w:val="right"/>
            </w:pPr>
            <w:r>
              <w:rPr>
                <w:color w:val="000000"/>
                <w:sz w:val="24"/>
              </w:rPr>
              <w:t>100,000</w:t>
            </w:r>
          </w:p>
        </w:tc>
        <w:tc>
          <w:tcPr>
            <w:vAlign w:val="center"/>
          </w:tcPr>
          <w:p>
            <w:pPr>
              <w:jc w:val="right"/>
            </w:pPr>
            <w:r>
              <w:rPr>
                <w:color w:val="000000"/>
                <w:sz w:val="24"/>
              </w:rPr>
              <w:t>10,318,000.00</w:t>
            </w:r>
          </w:p>
        </w:tc>
        <w:tc>
          <w:tcPr>
            <w:vAlign w:val="center"/>
          </w:tcPr>
          <w:p>
            <w:pPr>
              <w:jc w:val="right"/>
            </w:pPr>
            <w:r>
              <w:rPr>
                <w:color w:val="000000"/>
                <w:sz w:val="24"/>
              </w:rPr>
              <w:t>2.47</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5.11.1报告期内本基金投资的前十名证券的发行主体未被监管部门立案调查，在本报告编制日前一年内本基金投资的前十名证券的发行主体未受到公开谴责和处罚。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5.11.2本基金投资的前十名股票中，没有超出基金合同规定的备选股票库之外的股票。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39,912.99</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6,140,341.46</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16,754.41</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6,197,008.86</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本基金本报告期末前十名股票中不存在流通受限情况。</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交银周期回报灵活配置混合A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交银周期回报灵活配置混合C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161,382,231.71</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191,272,067.98</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817,809.56</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1,697.79</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785,981.71</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5,800,378.41</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161,414,059.56</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185,473,387.36</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2019/10/1-2019/12/31</w:t>
            </w:r>
          </w:p>
        </w:tc>
        <w:tc>
          <w:tcPr>
            <w:vAlign w:val="center"/>
          </w:tcPr>
          <w:p>
            <w:pPr>
              <w:jc w:val="center"/>
            </w:pPr>
            <w:r>
              <w:rPr>
                <w:rFonts w:ascii="宋体" w:hAnsi="宋体" w:hint="eastAsia"/>
                <w:color w:val="000000"/>
                <w:kern w:val="0"/>
                <w:szCs w:val="21"/>
              </w:rPr>
              <w:t>79,574,712.64</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79,574,712.64</w:t>
            </w:r>
          </w:p>
        </w:tc>
        <w:tc>
          <w:tcPr>
            <w:vAlign w:val="center"/>
          </w:tcPr>
          <w:p>
            <w:pPr>
              <w:jc w:val="center"/>
            </w:pPr>
            <w:r>
              <w:rPr>
                <w:rFonts w:ascii="宋体" w:hAnsi="宋体" w:hint="eastAsia"/>
                <w:color w:val="000000"/>
                <w:kern w:val="0"/>
                <w:szCs w:val="21"/>
              </w:rPr>
              <w:t>22.94%</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8.2 影响投资者决策的其他重要信息</w:t>
      </w:r>
    </w:p>
    <w:p>
      <w:pPr>
        <w:spacing w:line="360" w:lineRule="auto"/>
        <w:ind w:firstLine="420" w:firstLineChars="200"/>
        <w:rPr>
          <w:rFonts w:ascii="宋体" w:hAnsi="宋体"/>
          <w:color w:val="000000"/>
          <w:szCs w:val="21"/>
        </w:rPr>
      </w:pPr>
      <w:r>
        <w:rPr>
          <w:rFonts w:ascii="宋体" w:hAnsi="宋体" w:hint="eastAsia"/>
          <w:color w:val="000000"/>
          <w:szCs w:val="21"/>
        </w:rPr>
        <w:t>1、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P="00ED0E09" w:rsidR="00ED0E09" w:rsidRDefault="00ED0E09">
      <w:pPr>
        <w:spacing w:line="360" w:lineRule="auto"/>
        <w:ind w:firstLine="420" w:firstLineChars="200"/>
        <w:rPr>
          <w:rFonts w:ascii="宋体" w:hAnsi="宋体"/>
          <w:color w:val="000000"/>
          <w:szCs w:val="21"/>
        </w:rPr>
      </w:pPr>
      <w:r>
        <w:rPr>
          <w:rFonts w:ascii="宋体" w:hAnsi="宋体" w:hint="eastAsia"/>
          <w:color w:val="000000"/>
          <w:szCs w:val="21"/>
        </w:rPr>
        <w:t>2、为更好地满足广大投资者的投资需求，本基金管理人经与基金托管人中国农业银行股份有限公司协商一致，并报中国证券监督管理委员会备案，自2019年12月23日（含当日）起调整本基金的管理费率，并对本基金的基金合同、托管协议作相应修改。详情请查阅本基金管理人于2019年12月23日发布的《交银施罗德基金管理有限公司关于调整交银施罗德周期回报灵活配置混合型证券投资基金管理费率并修改基金合同、托管协议的公告》。</w:t>
      </w:r>
    </w:p>
    <w:p w:rsidP="007C14DF" w:rsidR="00BB1033" w:rsidRDefault="00BB1033" w:rsidRPr="007F52FA">
      <w:pPr>
        <w:spacing w:before="29" w:line="288" w:lineRule="auto"/>
        <w:ind w:firstLine="480" w:firstLineChars="200"/>
        <w:rPr>
          <w:rFonts w:eastAsiaTheme="minorEastAsia"/>
          <w:color w:val="000000"/>
          <w:sz w:val="24"/>
        </w:rPr>
      </w:pPr>
    </w:p>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1、中国证监会核准交银施罗德周期回报灵活配置混合型证券投资基金募集的文件； </w:t>
      </w:r>
    </w:p>
    <w:p>
      <w:pPr>
        <w:spacing w:before="29" w:line="288" w:lineRule="auto"/>
        <w:ind w:firstLine="480" w:firstLineChars="200"/>
        <w:rPr>
          <w:rFonts w:eastAsiaTheme="minorEastAsia"/>
          <w:color w:val="000000"/>
          <w:sz w:val="24"/>
        </w:rPr>
      </w:pPr>
      <w:r>
        <w:rPr>
          <w:rFonts w:eastAsiaTheme="minorEastAsia"/>
          <w:color w:val="000000"/>
          <w:sz w:val="24"/>
        </w:rPr>
        <w:t>2、《交银施罗德周期回报灵活配置混合型证券投资基金基金合同》；</w:t>
      </w:r>
    </w:p>
    <w:p>
      <w:pPr>
        <w:spacing w:before="29" w:line="288" w:lineRule="auto"/>
        <w:ind w:firstLine="480" w:firstLineChars="200"/>
        <w:rPr>
          <w:rFonts w:eastAsiaTheme="minorEastAsia"/>
          <w:color w:val="000000"/>
          <w:sz w:val="24"/>
        </w:rPr>
      </w:pPr>
      <w:r>
        <w:rPr>
          <w:rFonts w:eastAsiaTheme="minorEastAsia"/>
          <w:color w:val="000000"/>
          <w:sz w:val="24"/>
        </w:rPr>
        <w:t>3、《交银施罗德周期回报灵活配置混合型证券投资基金招募说明书》；</w:t>
      </w:r>
    </w:p>
    <w:p>
      <w:pPr>
        <w:spacing w:before="29" w:line="288" w:lineRule="auto"/>
        <w:ind w:firstLine="480" w:firstLineChars="200"/>
        <w:rPr>
          <w:rFonts w:eastAsiaTheme="minorEastAsia"/>
          <w:color w:val="000000"/>
          <w:sz w:val="24"/>
        </w:rPr>
      </w:pPr>
      <w:r>
        <w:rPr>
          <w:rFonts w:eastAsiaTheme="minorEastAsia"/>
          <w:color w:val="000000"/>
          <w:sz w:val="24"/>
        </w:rPr>
        <w:t>4、《交银施罗德周期回报灵活配置混合型证券投资基金托管协议》；</w:t>
      </w:r>
    </w:p>
    <w:p>
      <w:pPr>
        <w:spacing w:before="29" w:line="288" w:lineRule="auto"/>
        <w:ind w:firstLine="480" w:firstLineChars="200"/>
        <w:rPr>
          <w:rFonts w:eastAsiaTheme="minorEastAsia"/>
          <w:color w:val="000000"/>
          <w:sz w:val="24"/>
        </w:rPr>
      </w:pPr>
      <w:r>
        <w:rPr>
          <w:rFonts w:eastAsiaTheme="minorEastAsia"/>
          <w:color w:val="000000"/>
          <w:sz w:val="24"/>
        </w:rPr>
        <w:t>5、关于申请募集交银施罗德周期回报灵活配置混合型证券投资基金之法律意见书；</w:t>
      </w:r>
    </w:p>
    <w:p>
      <w:pPr>
        <w:spacing w:before="29" w:line="288" w:lineRule="auto"/>
        <w:ind w:firstLine="480" w:firstLineChars="200"/>
        <w:rPr>
          <w:rFonts w:eastAsiaTheme="minorEastAsia"/>
          <w:color w:val="000000"/>
          <w:sz w:val="24"/>
        </w:rPr>
      </w:pPr>
      <w:r>
        <w:rPr>
          <w:rFonts w:eastAsiaTheme="minorEastAsia"/>
          <w:color w:val="000000"/>
          <w:sz w:val="24"/>
        </w:rPr>
        <w:t>6、基金管理人业务资格批件、营业执照；</w:t>
      </w:r>
    </w:p>
    <w:p>
      <w:pPr>
        <w:spacing w:before="29" w:line="288" w:lineRule="auto"/>
        <w:ind w:firstLine="480" w:firstLineChars="200"/>
        <w:rPr>
          <w:rFonts w:eastAsiaTheme="minorEastAsia"/>
          <w:color w:val="000000"/>
          <w:sz w:val="24"/>
        </w:rPr>
      </w:pPr>
      <w:r>
        <w:rPr>
          <w:rFonts w:eastAsiaTheme="minorEastAsia"/>
          <w:color w:val="000000"/>
          <w:sz w:val="24"/>
        </w:rPr>
        <w:t>7、基金托管人业务资格批件、营业执照；</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8、报告期内交银施罗德周期回报灵活配置混合型证券投资基金在指定报刊上各项公告的原稿。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653" w:rsidRDefault="000C4653">
      <w:r>
        <w:separator/>
      </w:r>
    </w:p>
  </w:endnote>
  <w:endnote w:type="continuationSeparator" w:id="0">
    <w:p w:rsidR="000C4653" w:rsidRDefault="000C4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0A5793">
      <w:rPr>
        <w:noProof/>
        <w:kern w:val="0"/>
        <w:szCs w:val="21"/>
      </w:rPr>
      <w:t>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0A5793">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0C4653" w:rsidRDefault="000C4653">
      <w:r>
        <w:separator/>
      </w:r>
    </w:p>
  </w:footnote>
  <w:footnote w:id="0" w:type="continuationSeparator">
    <w:p w:rsidR="000C4653" w:rsidRDefault="000C4653">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交银施罗德周期回报灵活配置混合型证券投资基金2019年第4季度报告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793"/>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4653"/>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5424C-2D01-4B90-A923-78EEFAAC4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240</TotalTime>
  <Pages>27</Pages>
  <Words>4278</Words>
  <Characters>24388</Characters>
  <Application>Microsoft Office Word</Application>
  <DocSecurity>0</DocSecurity>
  <Lines>203</Lines>
  <Paragraphs>57</Paragraphs>
  <ScaleCrop>false</ScaleCrop>
  <Company>TRT. Ltd. Co.</Company>
  <LinksUpToDate>false</LinksUpToDate>
  <CharactersWithSpaces>28609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2019-11-26T02:16:00Z</dcterms:modified>
  <cp:revision>402</cp:revision>
</cp:coreProperties>
</file>