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交银施罗德货币市场证券投资基金</w:t>
      </w:r>
    </w:p>
    <w:p w:rsidP="00281564" w:rsidR="00B60E27" w:rsidRDefault="00B60E27" w:rsidRPr="001E1B20">
      <w:pPr>
        <w:spacing w:before="29" w:line="288" w:lineRule="auto"/>
        <w:jc w:val="center"/>
        <w:rPr>
          <w:b/>
          <w:sz w:val="36"/>
          <w:szCs w:val="36"/>
        </w:rPr>
      </w:pPr>
      <w:r w:rsidRPr="001E1B20">
        <w:rPr>
          <w:b/>
          <w:sz w:val="36"/>
          <w:szCs w:val="36"/>
        </w:rPr>
        <w:t>2019年第4季度报告</w:t>
      </w:r>
    </w:p>
    <w:p w:rsidP="00281564" w:rsidR="002B45A4" w:rsidRDefault="00D87D00" w:rsidRPr="001E1B20">
      <w:pPr>
        <w:spacing w:before="29" w:line="288" w:lineRule="auto"/>
        <w:jc w:val="center"/>
        <w:rPr>
          <w:b/>
          <w:sz w:val="36"/>
          <w:szCs w:val="36"/>
        </w:rPr>
      </w:pPr>
      <w:r w:rsidRPr="001E1B20">
        <w:rPr>
          <w:b/>
          <w:sz w:val="36"/>
          <w:szCs w:val="36"/>
        </w:rPr>
        <w:t>2019年12月31日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中国农业银行股份有限公司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二〇二〇年一月二十一日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基金托管人中国农业银行股份有限公司根据本基金合同规定，于2020年1月20日复核了本报告中的财务指标、净值表现和投资组合报告等内容，保证复核内容不存在虚假记载、误导性陈述或者重大遗漏。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2006年1月20日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322,663,105.39</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六个月银行定期存款利率(税后)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交银货币B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519588</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519589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239,691,953.42</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82,971,151.97</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(2019年10月1日-2019年12月31日)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交银货币B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1,416,631.46</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719,006.59</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1,416,631.46</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719,006.59</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239,691,953.42</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82,971,151.97</w:t>
            </w:r>
          </w:p>
        </w:tc>
      </w:tr>
    </w:tbl>
    <w:p>
      <w:pPr>
        <w:autoSpaceDE w:val="0"/>
        <w:autoSpaceDN w:val="0"/>
        <w:adjustRightInd w:val="0"/>
        <w:spacing w:before="29" w:line="288" w:lineRule="auto"/>
        <w:jc w:val="left"/>
        <w:rPr>
          <w:color w:val="000000"/>
          <w:sz w:val="24"/>
        </w:rPr>
      </w:pPr>
      <w:r>
        <w:rPr>
          <w:color w:val="000000"/>
          <w:sz w:val="24"/>
        </w:rPr>
        <w:t>注：1、自2007年6月22日起，本基金实行销售服务费分级收费方式，分设两级基金份额：A级基金份额和B级基金份额。A级基金份额与B级基金份额的管理费、托管费相同，A级基金份额按照0.25%的年费率计提销售服务费，B级基金份额按照0.01%的年费率计提销售服务费。在计算主要财务指标时，A级基金份额与分级前基金连续计算，B级基金份额按新设基金计算；</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0.5581%</w:t>
            </w:r>
          </w:p>
        </w:tc>
        <w:tc>
          <w:tcPr>
            <w:vAlign w:val="center"/>
          </w:tcPr>
          <w:p>
            <w:pPr>
              <w:jc w:val="center"/>
            </w:pPr>
            <w:r>
              <w:rPr>
                <w:rFonts w:ascii="Times New Roman" w:hAnsi="Times New Roman"/>
                <w:color w:val="000000"/>
              </w:rPr>
              <w:t>0.0005%</w:t>
            </w:r>
          </w:p>
        </w:tc>
        <w:tc>
          <w:tcPr>
            <w:vAlign w:val="center"/>
          </w:tcPr>
          <w:p>
            <w:pPr>
              <w:jc w:val="center"/>
            </w:pPr>
            <w:r>
              <w:rPr>
                <w:rFonts w:ascii="Times New Roman" w:hAnsi="Times New Roman"/>
                <w:color w:val="000000"/>
              </w:rPr>
              <w:t>0.3277%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0.2304%</w:t>
            </w:r>
          </w:p>
        </w:tc>
        <w:tc>
          <w:tcPr>
            <w:vAlign w:val="center"/>
          </w:tcPr>
          <w:p>
            <w:pPr>
              <w:jc w:val="center"/>
            </w:pPr>
            <w:r>
              <w:rPr>
                <w:rFonts w:ascii="Times New Roman" w:hAnsi="Times New Roman"/>
                <w:color w:val="000000"/>
              </w:rPr>
              <w:t>0.0005%</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注：本基金收益分配按月结转份额。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交银货币B</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0.6189%</w:t>
            </w:r>
          </w:p>
        </w:tc>
        <w:tc>
          <w:tcPr>
            <w:vAlign w:val="center"/>
          </w:tcPr>
          <w:p>
            <w:pPr>
              <w:jc w:val="center"/>
            </w:pPr>
            <w:r>
              <w:rPr>
                <w:rFonts w:ascii="Times New Roman" w:hAnsi="Times New Roman"/>
                <w:color w:val="000000"/>
              </w:rPr>
              <w:t>0.0005%</w:t>
            </w:r>
          </w:p>
        </w:tc>
        <w:tc>
          <w:tcPr>
            <w:vAlign w:val="center"/>
          </w:tcPr>
          <w:p>
            <w:pPr>
              <w:jc w:val="center"/>
            </w:pPr>
            <w:r>
              <w:rPr>
                <w:rFonts w:ascii="Times New Roman" w:hAnsi="Times New Roman"/>
                <w:color w:val="000000"/>
              </w:rPr>
              <w:t>0.3277%</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0.2912%</w:t>
            </w:r>
          </w:p>
        </w:tc>
        <w:tc>
          <w:tcPr>
            <w:vAlign w:val="center"/>
          </w:tcPr>
          <w:p>
            <w:pPr>
              <w:jc w:val="center"/>
            </w:pPr>
            <w:r>
              <w:rPr>
                <w:rFonts w:ascii="Times New Roman" w:hAnsi="Times New Roman"/>
                <w:color w:val="000000"/>
              </w:rPr>
              <w:t>0.0005%</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注：本基金收益分配按月结转份额。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交银施罗德货币市场证券投资基金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2006年1月20日</w:t>
      </w:r>
      <w:r w:rsidR="00A7219D" w:rsidRPr="000E4C40">
        <w:rPr>
          <w:rFonts w:hAnsi="宋体"/>
          <w:color w:val="000000"/>
          <w:kern w:val="0"/>
          <w:sz w:val="24"/>
        </w:rPr>
        <w:t>至</w:t>
      </w:r>
      <w:r w:rsidR="00A7219D" w:rsidRPr="000E4C40">
        <w:rPr>
          <w:color w:val="000000"/>
          <w:kern w:val="0"/>
          <w:sz w:val="24"/>
        </w:rPr>
        <w:t>2019年12月31日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注：图示日期为2006年1月20日至2019年12月31日。本基金建仓期为自基金合同生效日起的6个月。截至建仓期结束，本基金各项资产配置比例符合基金合同及招募说明书有关投资比例的约定。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交银货币B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注：图示日期为2007年6月22日至2019年12月31日。本基金建仓期为自基金合同生效日起的6个月。截至建仓期结束，本基金各项资产配置比例符合基金合同及招募说明书有关投资比例的约定。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季参平</w:t>
            </w:r>
          </w:p>
        </w:tc>
        <w:tc>
          <w:tcPr>
            <w:vAlign w:val="center"/>
          </w:tcPr>
          <w:p>
            <w:pPr>
              <w:jc w:val="center"/>
            </w:pPr>
            <w:r>
              <w:rPr>
                <w:color w:val="000000"/>
                <w:sz w:val="24"/>
              </w:rPr>
              <w:t>交银货币、交银裕通纯债债券、交银现金宝货币、交银天鑫宝货币的基金经理</w:t>
            </w:r>
          </w:p>
        </w:tc>
        <w:tc>
          <w:tcPr>
            <w:vAlign w:val="center"/>
          </w:tcPr>
          <w:p>
            <w:pPr>
              <w:jc w:val="center"/>
            </w:pPr>
            <w:r>
              <w:rPr>
                <w:color w:val="000000"/>
                <w:sz w:val="24"/>
              </w:rPr>
              <w:t>2019-07-26</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季参平先生，美国密歇根大学金融工程硕士、对外经济贸易大学经济学学士。2012年3月至2017年7月任瑞士银行外汇和利率交易员、联席董事。2017年加入交银施罗德基金管理有限公司，历任基金经理助理。2019年7月26日至2019年9月18日担任交银施罗德天运宝货币市场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货币市场资金水平总体保持平衡偏宽松的态势。由于缴税因素的影响，十月的隔夜回购价格在四季度处于相对高位，平均在2.39%附近，随着央行公开市场操作“削峰填谷”以及OMO、MLF利率的下调，隔夜利率逐步走低至十二月的2.16%水平。四季度由于大量银行存单到期，整体的存单市场价格较前期上涨，三个月国有股份制银行存单最高3.15%附近，但存单信用分层依然明显，城商行和AA+银行继续和国有股份制大行保持了明显的利差水平。货币政策角度来看，央行在稳健中性的基调下略偏宽松，除了下调七天、十四天逆回购利率5bps外，对于税期、季节性时点的短期资金支持也较为及时，银行间狭义流动性整体保持偏宽松状态。报告期内，三个月上海银行间拆借利率上行约30bps到3.03%。</w:t>
      </w:r>
    </w:p>
    <w:p>
      <w:pPr>
        <w:spacing w:before="29" w:line="288" w:lineRule="auto"/>
        <w:ind w:firstLine="480" w:firstLineChars="200"/>
        <w:rPr>
          <w:color w:val="000000"/>
          <w:sz w:val="24"/>
        </w:rPr>
      </w:pPr>
      <w:r>
        <w:rPr>
          <w:color w:val="000000"/>
          <w:sz w:val="24"/>
        </w:rPr>
        <w:t>基金操作方面，我们维持低杠杆、短久期的操作思路，多投资于估值波动较小的银行存款与回购等，组合整体流动性良好。十二月末我们视组合流动性和市场情况，增配了高评级的同业存单、同业存款等，提高组合收益水平。</w:t>
      </w:r>
    </w:p>
    <w:p>
      <w:pPr>
        <w:spacing w:before="29" w:line="288" w:lineRule="auto"/>
        <w:ind w:firstLine="480" w:firstLineChars="200"/>
        <w:rPr>
          <w:color w:val="000000"/>
          <w:sz w:val="24"/>
        </w:rPr>
      </w:pPr>
      <w:r>
        <w:rPr>
          <w:color w:val="000000"/>
          <w:sz w:val="24"/>
        </w:rPr>
        <w:t>展望2020年一季度，我们将密切关注年初信贷开门红后的库存周期和地产投资走势，警惕结构性猪肉通胀向全面通胀扩散的可能性，同时我们将继续观察银行理财子公司的发展以及现金管理型理财产品对行业生态的影响。我们认为，未来名义GDP的增长和通胀的不确定性，可能将增加利率的波动性，而狭义资金面的宽松可能相对较为确定。</w:t>
      </w:r>
    </w:p>
    <w:p w:rsidP="00281564" w:rsidR="00C4627A" w:rsidRDefault="00C4627A" w:rsidRPr="000E4C40">
      <w:pPr>
        <w:spacing w:before="29" w:line="288" w:lineRule="auto"/>
        <w:ind w:firstLine="480" w:firstLineChars="20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剩余期限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148,838,399.50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41.98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148,838,399.50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41.98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30,000,165.00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8.46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171,065,472.50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48.25</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4,659,763.73</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1.31</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354,563,800.73</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7.28</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30,039,664.98</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9.31</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92</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94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59</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本基金本报告期内投资组合平均剩余期限未超过120天。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22.02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9.31</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15.47</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46.36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24.59</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108.44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9.31</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20,028,592.43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6.21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20,028,592.43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6.21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128,809,807.07</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39.92</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148,838,399.50</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46.13</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111914113</w:t>
            </w:r>
          </w:p>
        </w:tc>
        <w:tc>
          <w:tcPr>
            <w:vAlign w:val="center"/>
          </w:tcPr>
          <w:p>
            <w:pPr>
              <w:jc w:val="center"/>
            </w:pPr>
            <w:r>
              <w:rPr>
                <w:color w:val="000000"/>
                <w:sz w:val="24"/>
              </w:rPr>
              <w:t>19江苏银行CD113</w:t>
            </w:r>
          </w:p>
        </w:tc>
        <w:tc>
          <w:tcPr>
            <w:vAlign w:val="center"/>
          </w:tcPr>
          <w:p>
            <w:pPr>
              <w:jc w:val="right"/>
            </w:pPr>
            <w:r>
              <w:rPr>
                <w:color w:val="000000"/>
                <w:sz w:val="24"/>
              </w:rPr>
              <w:t>500,000</w:t>
            </w:r>
          </w:p>
        </w:tc>
        <w:tc>
          <w:tcPr>
            <w:vAlign w:val="center"/>
          </w:tcPr>
          <w:p>
            <w:pPr>
              <w:jc w:val="right"/>
            </w:pPr>
            <w:r>
              <w:rPr>
                <w:color w:val="000000"/>
                <w:sz w:val="24"/>
              </w:rPr>
              <w:t>49,641,251.83</w:t>
            </w:r>
          </w:p>
        </w:tc>
        <w:tc>
          <w:tcPr>
            <w:vAlign w:val="center"/>
          </w:tcPr>
          <w:p>
            <w:pPr>
              <w:jc w:val="right"/>
            </w:pPr>
            <w:r>
              <w:rPr>
                <w:color w:val="000000"/>
                <w:sz w:val="24"/>
              </w:rPr>
              <w:t>15.38</w:t>
            </w:r>
          </w:p>
        </w:tc>
      </w:tr>
      <w:tr>
        <w:tc>
          <w:tcPr>
            <w:vAlign w:val="center"/>
          </w:tcPr>
          <w:p>
            <w:pPr>
              <w:jc w:val="center"/>
            </w:pPr>
            <w:r>
              <w:rPr>
                <w:color w:val="000000"/>
                <w:sz w:val="24"/>
              </w:rPr>
              <w:t>2</w:t>
            </w:r>
          </w:p>
        </w:tc>
        <w:tc>
          <w:tcPr>
            <w:vAlign w:val="center"/>
          </w:tcPr>
          <w:p>
            <w:pPr>
              <w:jc w:val="center"/>
            </w:pPr>
            <w:r>
              <w:rPr>
                <w:color w:val="000000"/>
                <w:sz w:val="24"/>
              </w:rPr>
              <w:t>111921323</w:t>
            </w:r>
          </w:p>
        </w:tc>
        <w:tc>
          <w:tcPr>
            <w:vAlign w:val="center"/>
          </w:tcPr>
          <w:p>
            <w:pPr>
              <w:jc w:val="center"/>
            </w:pPr>
            <w:r>
              <w:rPr>
                <w:color w:val="000000"/>
                <w:sz w:val="24"/>
              </w:rPr>
              <w:t>19渤海银行CD323</w:t>
            </w:r>
          </w:p>
        </w:tc>
        <w:tc>
          <w:tcPr>
            <w:vAlign w:val="center"/>
          </w:tcPr>
          <w:p>
            <w:pPr>
              <w:jc w:val="right"/>
            </w:pPr>
            <w:r>
              <w:rPr>
                <w:color w:val="000000"/>
                <w:sz w:val="24"/>
              </w:rPr>
              <w:t>200,000</w:t>
            </w:r>
          </w:p>
        </w:tc>
        <w:tc>
          <w:tcPr>
            <w:vAlign w:val="center"/>
          </w:tcPr>
          <w:p>
            <w:pPr>
              <w:jc w:val="right"/>
            </w:pPr>
            <w:r>
              <w:rPr>
                <w:color w:val="000000"/>
                <w:sz w:val="24"/>
              </w:rPr>
              <w:t>19,902,122.68</w:t>
            </w:r>
          </w:p>
        </w:tc>
        <w:tc>
          <w:tcPr>
            <w:vAlign w:val="center"/>
          </w:tcPr>
          <w:p>
            <w:pPr>
              <w:jc w:val="right"/>
            </w:pPr>
            <w:r>
              <w:rPr>
                <w:color w:val="000000"/>
                <w:sz w:val="24"/>
              </w:rPr>
              <w:t>6.17</w:t>
            </w:r>
          </w:p>
        </w:tc>
      </w:tr>
      <w:tr>
        <w:tc>
          <w:tcPr>
            <w:vAlign w:val="center"/>
          </w:tcPr>
          <w:p>
            <w:pPr>
              <w:jc w:val="center"/>
            </w:pPr>
            <w:r>
              <w:rPr>
                <w:color w:val="000000"/>
                <w:sz w:val="24"/>
              </w:rPr>
              <w:t>3</w:t>
            </w:r>
          </w:p>
        </w:tc>
        <w:tc>
          <w:tcPr>
            <w:vAlign w:val="center"/>
          </w:tcPr>
          <w:p>
            <w:pPr>
              <w:jc w:val="center"/>
            </w:pPr>
            <w:r>
              <w:rPr>
                <w:color w:val="000000"/>
                <w:sz w:val="24"/>
              </w:rPr>
              <w:t>130402</w:t>
            </w:r>
          </w:p>
        </w:tc>
        <w:tc>
          <w:tcPr>
            <w:vAlign w:val="center"/>
          </w:tcPr>
          <w:p>
            <w:pPr>
              <w:jc w:val="center"/>
            </w:pPr>
            <w:r>
              <w:rPr>
                <w:color w:val="000000"/>
                <w:sz w:val="24"/>
              </w:rPr>
              <w:t>13农发02</w:t>
            </w:r>
          </w:p>
        </w:tc>
        <w:tc>
          <w:tcPr>
            <w:vAlign w:val="center"/>
          </w:tcPr>
          <w:p>
            <w:pPr>
              <w:jc w:val="right"/>
            </w:pPr>
            <w:r>
              <w:rPr>
                <w:color w:val="000000"/>
                <w:sz w:val="24"/>
              </w:rPr>
              <w:t>100,000</w:t>
            </w:r>
          </w:p>
        </w:tc>
        <w:tc>
          <w:tcPr>
            <w:vAlign w:val="center"/>
          </w:tcPr>
          <w:p>
            <w:pPr>
              <w:jc w:val="right"/>
            </w:pPr>
            <w:r>
              <w:rPr>
                <w:color w:val="000000"/>
                <w:sz w:val="24"/>
              </w:rPr>
              <w:t>10,023,347.14</w:t>
            </w:r>
          </w:p>
        </w:tc>
        <w:tc>
          <w:tcPr>
            <w:vAlign w:val="center"/>
          </w:tcPr>
          <w:p>
            <w:pPr>
              <w:jc w:val="right"/>
            </w:pPr>
            <w:r>
              <w:rPr>
                <w:color w:val="000000"/>
                <w:sz w:val="24"/>
              </w:rPr>
              <w:t>3.11</w:t>
            </w:r>
          </w:p>
        </w:tc>
      </w:tr>
      <w:tr>
        <w:tc>
          <w:tcPr>
            <w:vAlign w:val="center"/>
          </w:tcPr>
          <w:p>
            <w:pPr>
              <w:jc w:val="center"/>
            </w:pPr>
            <w:r>
              <w:rPr>
                <w:color w:val="000000"/>
                <w:sz w:val="24"/>
              </w:rPr>
              <w:t>4</w:t>
            </w:r>
          </w:p>
        </w:tc>
        <w:tc>
          <w:tcPr>
            <w:vAlign w:val="center"/>
          </w:tcPr>
          <w:p>
            <w:pPr>
              <w:jc w:val="center"/>
            </w:pPr>
            <w:r>
              <w:rPr>
                <w:color w:val="000000"/>
                <w:sz w:val="24"/>
              </w:rPr>
              <w:t>190302</w:t>
            </w:r>
          </w:p>
        </w:tc>
        <w:tc>
          <w:tcPr>
            <w:vAlign w:val="center"/>
          </w:tcPr>
          <w:p>
            <w:pPr>
              <w:jc w:val="center"/>
            </w:pPr>
            <w:r>
              <w:rPr>
                <w:color w:val="000000"/>
                <w:sz w:val="24"/>
              </w:rPr>
              <w:t>19进出02</w:t>
            </w:r>
          </w:p>
        </w:tc>
        <w:tc>
          <w:tcPr>
            <w:vAlign w:val="center"/>
          </w:tcPr>
          <w:p>
            <w:pPr>
              <w:jc w:val="right"/>
            </w:pPr>
            <w:r>
              <w:rPr>
                <w:color w:val="000000"/>
                <w:sz w:val="24"/>
              </w:rPr>
              <w:t>100,000</w:t>
            </w:r>
          </w:p>
        </w:tc>
        <w:tc>
          <w:tcPr>
            <w:vAlign w:val="center"/>
          </w:tcPr>
          <w:p>
            <w:pPr>
              <w:jc w:val="right"/>
            </w:pPr>
            <w:r>
              <w:rPr>
                <w:color w:val="000000"/>
                <w:sz w:val="24"/>
              </w:rPr>
              <w:t>10,005,245.29</w:t>
            </w:r>
          </w:p>
        </w:tc>
        <w:tc>
          <w:tcPr>
            <w:vAlign w:val="center"/>
          </w:tcPr>
          <w:p>
            <w:pPr>
              <w:jc w:val="right"/>
            </w:pPr>
            <w:r>
              <w:rPr>
                <w:color w:val="000000"/>
                <w:sz w:val="24"/>
              </w:rPr>
              <w:t>3.10</w:t>
            </w:r>
          </w:p>
        </w:tc>
      </w:tr>
      <w:tr>
        <w:tc>
          <w:tcPr>
            <w:vAlign w:val="center"/>
          </w:tcPr>
          <w:p>
            <w:pPr>
              <w:jc w:val="center"/>
            </w:pPr>
            <w:r>
              <w:rPr>
                <w:color w:val="000000"/>
                <w:sz w:val="24"/>
              </w:rPr>
              <w:t>5</w:t>
            </w:r>
          </w:p>
        </w:tc>
        <w:tc>
          <w:tcPr>
            <w:vAlign w:val="center"/>
          </w:tcPr>
          <w:p>
            <w:pPr>
              <w:jc w:val="center"/>
            </w:pPr>
            <w:r>
              <w:rPr>
                <w:color w:val="000000"/>
                <w:sz w:val="24"/>
              </w:rPr>
              <w:t>111970349</w:t>
            </w:r>
          </w:p>
        </w:tc>
        <w:tc>
          <w:tcPr>
            <w:vAlign w:val="center"/>
          </w:tcPr>
          <w:p>
            <w:pPr>
              <w:jc w:val="center"/>
            </w:pPr>
            <w:r>
              <w:rPr>
                <w:color w:val="000000"/>
                <w:sz w:val="24"/>
              </w:rPr>
              <w:t>19宁波银行CD216</w:t>
            </w:r>
          </w:p>
        </w:tc>
        <w:tc>
          <w:tcPr>
            <w:vAlign w:val="center"/>
          </w:tcPr>
          <w:p>
            <w:pPr>
              <w:jc w:val="right"/>
            </w:pPr>
            <w:r>
              <w:rPr>
                <w:color w:val="000000"/>
                <w:sz w:val="24"/>
              </w:rPr>
              <w:t>100,000</w:t>
            </w:r>
          </w:p>
        </w:tc>
        <w:tc>
          <w:tcPr>
            <w:vAlign w:val="center"/>
          </w:tcPr>
          <w:p>
            <w:pPr>
              <w:jc w:val="right"/>
            </w:pPr>
            <w:r>
              <w:rPr>
                <w:color w:val="000000"/>
                <w:sz w:val="24"/>
              </w:rPr>
              <w:t>9,987,159.16</w:t>
            </w:r>
          </w:p>
        </w:tc>
        <w:tc>
          <w:tcPr>
            <w:vAlign w:val="center"/>
          </w:tcPr>
          <w:p>
            <w:pPr>
              <w:jc w:val="right"/>
            </w:pPr>
            <w:r>
              <w:rPr>
                <w:color w:val="000000"/>
                <w:sz w:val="24"/>
              </w:rPr>
              <w:t>3.10</w:t>
            </w:r>
          </w:p>
        </w:tc>
      </w:tr>
      <w:tr>
        <w:tc>
          <w:tcPr>
            <w:vAlign w:val="center"/>
          </w:tcPr>
          <w:p>
            <w:pPr>
              <w:jc w:val="center"/>
            </w:pPr>
            <w:r>
              <w:rPr>
                <w:color w:val="000000"/>
                <w:sz w:val="24"/>
              </w:rPr>
              <w:t>6</w:t>
            </w:r>
          </w:p>
        </w:tc>
        <w:tc>
          <w:tcPr>
            <w:vAlign w:val="center"/>
          </w:tcPr>
          <w:p>
            <w:pPr>
              <w:jc w:val="center"/>
            </w:pPr>
            <w:r>
              <w:rPr>
                <w:color w:val="000000"/>
                <w:sz w:val="24"/>
              </w:rPr>
              <w:t>111977069</w:t>
            </w:r>
          </w:p>
        </w:tc>
        <w:tc>
          <w:tcPr>
            <w:vAlign w:val="center"/>
          </w:tcPr>
          <w:p>
            <w:pPr>
              <w:jc w:val="center"/>
            </w:pPr>
            <w:r>
              <w:rPr>
                <w:color w:val="000000"/>
                <w:sz w:val="24"/>
              </w:rPr>
              <w:t>19东亚银行CD057</w:t>
            </w:r>
          </w:p>
        </w:tc>
        <w:tc>
          <w:tcPr>
            <w:vAlign w:val="center"/>
          </w:tcPr>
          <w:p>
            <w:pPr>
              <w:jc w:val="right"/>
            </w:pPr>
            <w:r>
              <w:rPr>
                <w:color w:val="000000"/>
                <w:sz w:val="24"/>
              </w:rPr>
              <w:t>100,000</w:t>
            </w:r>
          </w:p>
        </w:tc>
        <w:tc>
          <w:tcPr>
            <w:vAlign w:val="center"/>
          </w:tcPr>
          <w:p>
            <w:pPr>
              <w:jc w:val="right"/>
            </w:pPr>
            <w:r>
              <w:rPr>
                <w:color w:val="000000"/>
                <w:sz w:val="24"/>
              </w:rPr>
              <w:t>9,932,928.62</w:t>
            </w:r>
          </w:p>
        </w:tc>
        <w:tc>
          <w:tcPr>
            <w:vAlign w:val="center"/>
          </w:tcPr>
          <w:p>
            <w:pPr>
              <w:jc w:val="right"/>
            </w:pPr>
            <w:r>
              <w:rPr>
                <w:color w:val="000000"/>
                <w:sz w:val="24"/>
              </w:rPr>
              <w:t>3.08</w:t>
            </w:r>
          </w:p>
        </w:tc>
      </w:tr>
      <w:tr>
        <w:tc>
          <w:tcPr>
            <w:vAlign w:val="center"/>
          </w:tcPr>
          <w:p>
            <w:pPr>
              <w:jc w:val="center"/>
            </w:pPr>
            <w:r>
              <w:rPr>
                <w:color w:val="000000"/>
                <w:sz w:val="24"/>
              </w:rPr>
              <w:t>7</w:t>
            </w:r>
          </w:p>
        </w:tc>
        <w:tc>
          <w:tcPr>
            <w:vAlign w:val="center"/>
          </w:tcPr>
          <w:p>
            <w:pPr>
              <w:jc w:val="center"/>
            </w:pPr>
            <w:r>
              <w:rPr>
                <w:color w:val="000000"/>
                <w:sz w:val="24"/>
              </w:rPr>
              <w:t>111987365</w:t>
            </w:r>
          </w:p>
        </w:tc>
        <w:tc>
          <w:tcPr>
            <w:vAlign w:val="center"/>
          </w:tcPr>
          <w:p>
            <w:pPr>
              <w:jc w:val="center"/>
            </w:pPr>
            <w:r>
              <w:rPr>
                <w:color w:val="000000"/>
                <w:sz w:val="24"/>
              </w:rPr>
              <w:t>19河北银行CD113</w:t>
            </w:r>
          </w:p>
        </w:tc>
        <w:tc>
          <w:tcPr>
            <w:vAlign w:val="center"/>
          </w:tcPr>
          <w:p>
            <w:pPr>
              <w:jc w:val="right"/>
            </w:pPr>
            <w:r>
              <w:rPr>
                <w:color w:val="000000"/>
                <w:sz w:val="24"/>
              </w:rPr>
              <w:t>100,000</w:t>
            </w:r>
          </w:p>
        </w:tc>
        <w:tc>
          <w:tcPr>
            <w:vAlign w:val="center"/>
          </w:tcPr>
          <w:p>
            <w:pPr>
              <w:jc w:val="right"/>
            </w:pPr>
            <w:r>
              <w:rPr>
                <w:color w:val="000000"/>
                <w:sz w:val="24"/>
              </w:rPr>
              <w:t>9,861,865.30</w:t>
            </w:r>
          </w:p>
        </w:tc>
        <w:tc>
          <w:tcPr>
            <w:vAlign w:val="center"/>
          </w:tcPr>
          <w:p>
            <w:pPr>
              <w:jc w:val="right"/>
            </w:pPr>
            <w:r>
              <w:rPr>
                <w:color w:val="000000"/>
                <w:sz w:val="24"/>
              </w:rPr>
              <w:t>3.06</w:t>
            </w:r>
          </w:p>
        </w:tc>
      </w:tr>
      <w:tr>
        <w:tc>
          <w:tcPr>
            <w:vAlign w:val="center"/>
          </w:tcPr>
          <w:p>
            <w:pPr>
              <w:jc w:val="center"/>
            </w:pPr>
            <w:r>
              <w:rPr>
                <w:color w:val="000000"/>
                <w:sz w:val="24"/>
              </w:rPr>
              <w:t>8</w:t>
            </w:r>
          </w:p>
        </w:tc>
        <w:tc>
          <w:tcPr>
            <w:vAlign w:val="center"/>
          </w:tcPr>
          <w:p>
            <w:pPr>
              <w:jc w:val="center"/>
            </w:pPr>
            <w:r>
              <w:rPr>
                <w:color w:val="000000"/>
                <w:sz w:val="24"/>
              </w:rPr>
              <w:t>111988014</w:t>
            </w:r>
          </w:p>
        </w:tc>
        <w:tc>
          <w:tcPr>
            <w:vAlign w:val="center"/>
          </w:tcPr>
          <w:p>
            <w:pPr>
              <w:jc w:val="center"/>
            </w:pPr>
            <w:r>
              <w:rPr>
                <w:color w:val="000000"/>
                <w:sz w:val="24"/>
              </w:rPr>
              <w:t>19华融湘江银行CD129</w:t>
            </w:r>
          </w:p>
        </w:tc>
        <w:tc>
          <w:tcPr>
            <w:vAlign w:val="center"/>
          </w:tcPr>
          <w:p>
            <w:pPr>
              <w:jc w:val="right"/>
            </w:pPr>
            <w:r>
              <w:rPr>
                <w:color w:val="000000"/>
                <w:sz w:val="24"/>
              </w:rPr>
              <w:t>100,000</w:t>
            </w:r>
          </w:p>
        </w:tc>
        <w:tc>
          <w:tcPr>
            <w:vAlign w:val="center"/>
          </w:tcPr>
          <w:p>
            <w:pPr>
              <w:jc w:val="right"/>
            </w:pPr>
            <w:r>
              <w:rPr>
                <w:color w:val="000000"/>
                <w:sz w:val="24"/>
              </w:rPr>
              <w:t>9,859,432.88</w:t>
            </w:r>
          </w:p>
        </w:tc>
        <w:tc>
          <w:tcPr>
            <w:vAlign w:val="center"/>
          </w:tcPr>
          <w:p>
            <w:pPr>
              <w:jc w:val="right"/>
            </w:pPr>
            <w:r>
              <w:rPr>
                <w:color w:val="000000"/>
                <w:sz w:val="24"/>
              </w:rPr>
              <w:t>3.06</w:t>
            </w:r>
          </w:p>
        </w:tc>
      </w:tr>
      <w:tr>
        <w:tc>
          <w:tcPr>
            <w:vAlign w:val="center"/>
          </w:tcPr>
          <w:p>
            <w:pPr>
              <w:jc w:val="center"/>
            </w:pPr>
            <w:r>
              <w:rPr>
                <w:color w:val="000000"/>
                <w:sz w:val="24"/>
              </w:rPr>
              <w:t>9</w:t>
            </w:r>
          </w:p>
        </w:tc>
        <w:tc>
          <w:tcPr>
            <w:vAlign w:val="center"/>
          </w:tcPr>
          <w:p>
            <w:pPr>
              <w:jc w:val="center"/>
            </w:pPr>
            <w:r>
              <w:rPr>
                <w:color w:val="000000"/>
                <w:sz w:val="24"/>
              </w:rPr>
              <w:t>111921474</w:t>
            </w:r>
          </w:p>
        </w:tc>
        <w:tc>
          <w:tcPr>
            <w:vAlign w:val="center"/>
          </w:tcPr>
          <w:p>
            <w:pPr>
              <w:jc w:val="center"/>
            </w:pPr>
            <w:r>
              <w:rPr>
                <w:color w:val="000000"/>
                <w:sz w:val="24"/>
              </w:rPr>
              <w:t>19渤海银行CD474</w:t>
            </w:r>
          </w:p>
        </w:tc>
        <w:tc>
          <w:tcPr>
            <w:vAlign w:val="center"/>
          </w:tcPr>
          <w:p>
            <w:pPr>
              <w:jc w:val="right"/>
            </w:pPr>
            <w:r>
              <w:rPr>
                <w:color w:val="000000"/>
                <w:sz w:val="24"/>
              </w:rPr>
              <w:t>100,000</w:t>
            </w:r>
          </w:p>
        </w:tc>
        <w:tc>
          <w:tcPr>
            <w:vAlign w:val="center"/>
          </w:tcPr>
          <w:p>
            <w:pPr>
              <w:jc w:val="right"/>
            </w:pPr>
            <w:r>
              <w:rPr>
                <w:color w:val="000000"/>
                <w:sz w:val="24"/>
              </w:rPr>
              <w:t>9,853,624.81</w:t>
            </w:r>
          </w:p>
        </w:tc>
        <w:tc>
          <w:tcPr>
            <w:vAlign w:val="center"/>
          </w:tcPr>
          <w:p>
            <w:pPr>
              <w:jc w:val="right"/>
            </w:pPr>
            <w:r>
              <w:rPr>
                <w:color w:val="000000"/>
                <w:sz w:val="24"/>
              </w:rPr>
              <w:t>3.05</w:t>
            </w:r>
          </w:p>
        </w:tc>
      </w:tr>
      <w:tr>
        <w:tc>
          <w:tcPr>
            <w:vAlign w:val="center"/>
          </w:tcPr>
          <w:p>
            <w:pPr>
              <w:jc w:val="center"/>
            </w:pPr>
            <w:r>
              <w:rPr>
                <w:color w:val="000000"/>
                <w:sz w:val="24"/>
              </w:rPr>
              <w:t>10</w:t>
            </w:r>
          </w:p>
        </w:tc>
        <w:tc>
          <w:tcPr>
            <w:vAlign w:val="center"/>
          </w:tcPr>
          <w:p>
            <w:pPr>
              <w:jc w:val="center"/>
            </w:pPr>
            <w:r>
              <w:rPr>
                <w:color w:val="000000"/>
                <w:sz w:val="24"/>
              </w:rPr>
              <w:t>111977302</w:t>
            </w:r>
          </w:p>
        </w:tc>
        <w:tc>
          <w:tcPr>
            <w:vAlign w:val="center"/>
          </w:tcPr>
          <w:p>
            <w:pPr>
              <w:jc w:val="center"/>
            </w:pPr>
            <w:r>
              <w:rPr>
                <w:color w:val="000000"/>
                <w:sz w:val="24"/>
              </w:rPr>
              <w:t>19齐鲁银行CD078</w:t>
            </w:r>
          </w:p>
        </w:tc>
        <w:tc>
          <w:tcPr>
            <w:vAlign w:val="center"/>
          </w:tcPr>
          <w:p>
            <w:pPr>
              <w:jc w:val="right"/>
            </w:pPr>
            <w:r>
              <w:rPr>
                <w:color w:val="000000"/>
                <w:sz w:val="24"/>
              </w:rPr>
              <w:t>100,000</w:t>
            </w:r>
          </w:p>
        </w:tc>
        <w:tc>
          <w:tcPr>
            <w:vAlign w:val="center"/>
          </w:tcPr>
          <w:p>
            <w:pPr>
              <w:jc w:val="right"/>
            </w:pPr>
            <w:r>
              <w:rPr>
                <w:color w:val="000000"/>
                <w:sz w:val="24"/>
              </w:rPr>
              <w:t>9,771,421.79</w:t>
            </w:r>
          </w:p>
        </w:tc>
        <w:tc>
          <w:tcPr>
            <w:vAlign w:val="center"/>
          </w:tcPr>
          <w:p>
            <w:pPr>
              <w:jc w:val="right"/>
            </w:pPr>
            <w:r>
              <w:rPr>
                <w:color w:val="000000"/>
                <w:sz w:val="24"/>
              </w:rPr>
              <w:t>3.03</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0.0222%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-0.0127%</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0.0052%</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281564" w:rsidR="00902E3F" w:rsidRDefault="00835BDD" w:rsidRPr="000E4C40">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1,148,621.81</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3,511,141.92</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4,659,763.73</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交银货币B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261,672,712.11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128,031,522.00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107,483,874.55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237,754,268.26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129,464,633.24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282,814,638.29</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239,691,953.42</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82,971,151.97</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注：1、如果本报告期间发生转换入、份额级别调整、红利再投业务，则总申购份额中包含该业务；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2、如果本报告期间发生转换出、份额级别调整业务，则总赎回份额中包含该业务。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pPr>
        <w:autoSpaceDE w:val="0"/>
        <w:autoSpaceDN w:val="0"/>
        <w:adjustRightInd w:val="0"/>
        <w:spacing w:before="29" w:line="288" w:lineRule="auto"/>
        <w:jc w:val="left"/>
        <w:rPr>
          <w:color w:val="000000"/>
          <w:sz w:val="24"/>
        </w:rPr>
      </w:pPr>
      <w:r>
        <w:rPr>
          <w:color w:val="000000"/>
          <w:sz w:val="24"/>
        </w:rPr>
        <w:t>本基金管理人本报告期内未进行本基金的申购、赎回、红利再投等；本基金管理人本报告期末持有本基金份额0.00份，占本基金期末总份额的0.00%。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影响投资者决策的其他重要信息</w:t>
      </w:r>
    </w:p>
    <w:p w:rsidP="003D1E1A" w:rsidR="003D1E1A" w:rsidRDefault="003D1E1A">
      <w:pPr>
        <w:spacing w:line="360" w:lineRule="auto"/>
        <w:ind w:firstLine="420" w:firstLineChars="20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P="00281564" w:rsidR="001B3FBF" w:rsidRDefault="001B3FBF" w:rsidRPr="000E4C40">
      <w:pPr>
        <w:spacing w:before="29" w:line="288" w:lineRule="auto"/>
        <w:ind w:firstLine="480" w:firstLineChars="200"/>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1、中国证监会批准交银施罗德货币市场证券投资基金募集的文件； </w:t>
      </w:r>
    </w:p>
    <w:p>
      <w:pPr>
        <w:spacing w:before="29" w:line="288" w:lineRule="auto"/>
        <w:ind w:firstLine="480" w:firstLineChars="200"/>
        <w:rPr>
          <w:color w:val="000000"/>
          <w:sz w:val="24"/>
        </w:rPr>
      </w:pPr>
      <w:r>
        <w:rPr>
          <w:color w:val="000000"/>
          <w:sz w:val="24"/>
        </w:rPr>
        <w:t xml:space="preserve">2、《交银施罗德货币市场证券投资基金基金合同》； </w:t>
      </w:r>
    </w:p>
    <w:p>
      <w:pPr>
        <w:spacing w:before="29" w:line="288" w:lineRule="auto"/>
        <w:ind w:firstLine="480" w:firstLineChars="200"/>
        <w:rPr>
          <w:color w:val="000000"/>
          <w:sz w:val="24"/>
        </w:rPr>
      </w:pPr>
      <w:r>
        <w:rPr>
          <w:color w:val="000000"/>
          <w:sz w:val="24"/>
        </w:rPr>
        <w:t xml:space="preserve">3、《交银施罗德货币市场证券投资基金招募说明书》； </w:t>
      </w:r>
    </w:p>
    <w:p>
      <w:pPr>
        <w:spacing w:before="29" w:line="288" w:lineRule="auto"/>
        <w:ind w:firstLine="480" w:firstLineChars="200"/>
        <w:rPr>
          <w:color w:val="000000"/>
          <w:sz w:val="24"/>
        </w:rPr>
      </w:pPr>
      <w:r>
        <w:rPr>
          <w:color w:val="000000"/>
          <w:sz w:val="24"/>
        </w:rPr>
        <w:t>4、《交银施罗德货币市场证券投资基金托管协议》；</w:t>
      </w:r>
    </w:p>
    <w:p>
      <w:pPr>
        <w:spacing w:before="29" w:line="288" w:lineRule="auto"/>
        <w:ind w:firstLine="480" w:firstLineChars="200"/>
        <w:rPr>
          <w:color w:val="000000"/>
          <w:sz w:val="24"/>
        </w:rPr>
      </w:pPr>
      <w:r>
        <w:rPr>
          <w:color w:val="000000"/>
          <w:sz w:val="24"/>
        </w:rPr>
        <w:t>5、关于募集交银施罗德货币市场证券投资基金之法律意见书；</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8、报告期内交银施罗德货币市场证券投资基金在指定报刊上各项公告的原稿。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交银施罗德货币市场证券投资基金2019年第4季度报告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