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2012年12月19日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1,045,365,617.05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w:r>
            <w:bookmarkStart w:id="0" w:name="_GoBack"/>
            <w:bookmarkEnd w:id="0"/>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519718</w:t>
            </w:r>
            <w:r w:rsidRPr="007F52FA">
              <w:rPr>
                <w:color w:themeColor="text1" w:val="000000"/>
                <w:sz w:val="24"/>
              </w:rPr>
              <w:t>（前端）、</w:t>
            </w:r>
            <w:r w:rsidRPr="007F52FA">
              <w:rPr>
                <w:color w:themeColor="text1" w:val="000000"/>
                <w:sz w:val="24"/>
              </w:rPr>
              <w:t>519719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999,751,455.04</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45,614,162.01</w:t>
            </w:r>
            <w:r w:rsidRPr="007F52FA">
              <w:rPr>
                <w:color w:val="000000"/>
                <w:kern w:val="0"/>
                <w:sz w:val="24"/>
              </w:rPr>
              <w:t>份</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注：1、本基金A类基金份额采用前端收费模式，B类基金份额采用后端收费模式，前端交易代码即为A类基金份额交易代码，后端交易代码即为B类基金份额交易代码。</w:t>
      </w:r>
    </w:p>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2、本基金为发起式基金。</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交银纯债债券发起A/B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交银纯债债券发起C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8,291,412.49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475,473.06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8,655,220.27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438,656.24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0.0114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1,079,742,675.85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48,902,349.67</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1.080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1.072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交银纯债债券发起A/B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1.03%</w:t>
            </w:r>
          </w:p>
        </w:tc>
        <w:tc>
          <w:tcPr>
            <w:vAlign w:val="center"/>
          </w:tcPr>
          <w:p>
            <w:pPr>
              <w:jc w:val="center"/>
            </w:pPr>
            <w:r>
              <w:rPr>
                <w:color w:val="000000"/>
                <w:sz w:val="24"/>
              </w:rPr>
              <w:t>0.04%</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0.41%</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交银纯债债券发起C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0.94%</w:t>
            </w:r>
          </w:p>
        </w:tc>
        <w:tc>
          <w:tcPr>
            <w:vAlign w:val="center"/>
          </w:tcPr>
          <w:p>
            <w:pPr>
              <w:jc w:val="center"/>
            </w:pPr>
            <w:r>
              <w:rPr>
                <w:color w:val="000000"/>
                <w:sz w:val="24"/>
              </w:rPr>
              <w:t>0.05%</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0.32%</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交银施罗德纯债债券型发起式证券投资基金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2012年12月19日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交银纯债债券发起C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荣鑫保本混合型证券投资基金的基金经理。2017年6月10日至2019年3月14日担任交银施罗德荣祥保本混合型证券投资基金的基金经理。2017年6月10日至2019年3月14日担任交银施罗德定期支付月月丰债券型证券投资基金的基金经理。2017年6月10日至2019年3月14日担任交银施罗德强化回报债券型证券投资基金的基金经理。2017年6月10日至2019年3月14日担任交银施罗德增利增强债券型证券投资基金的基金经理。2017年6月10日至2019年3月14日担任交银施罗德增强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债券收益率先上后下，维持低位震荡格局。四季度伊始，债券市场利空因素集中出现，中美贸易摩擦缓和、通胀上行以及金融数据超预期共同推升债券收益率上行，债券收益率在十月底上行至年内第二高点。进入十一月后，在央行超预期下调MLF、逆回购利率的背景下，市场对于基本面利空反应钝化，虽然通胀走高，但收益率开始震荡下行。进入十二月后，资金宽松导致的机构配置压力增大成为助推债券收益率下行的重要原因。年末央行大额净投放，结合三季度中国货币政策执行报告强调“降成本”等相关表述，市场降准预期再起，短端资金利率大幅下行，机构配置热情高涨，债券收益率维持低位震荡。</w:t>
      </w:r>
    </w:p>
    <w:p>
      <w:pPr>
        <w:spacing w:before="29" w:line="288" w:lineRule="auto"/>
        <w:ind w:firstLine="480" w:firstLineChars="200"/>
        <w:rPr>
          <w:color w:val="000000"/>
          <w:sz w:val="24"/>
        </w:rPr>
      </w:pPr>
      <w:r>
        <w:rPr>
          <w:color w:val="000000"/>
          <w:sz w:val="24"/>
        </w:rPr>
        <w:t>报告期内，基于宏观经济的判断和市场收益率曲线的形态变动，我们对组合进行了调整。由于资金相对宽松，组合保持一定的杠杆操作。券种配置上，组合以信用债为底仓，获得了较好的票息收益和杠杆收益。同时，组合以一定的仓位进行了阶段性的长久期利率债波段操作，增厚了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2020年全面建成小康社会之年，政策基调以稳为主，操作上多基于底线思维，流动性预计保持合理充裕，LPR改革后宽信用效果将逐渐显现，预计长端利率维持区间震荡格局，票息策略优于久期策略。操作策略方面，我们关注信用债的票息机会，进一步挖掘信用债投资机会，并维持中等的杠杆水平，以期提升组合整体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1,419,509,500.00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1,419,509,500.00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3,354,331.37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0.23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35,504,189.56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1,458,368,020.93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107,322,500.00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9.51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57,427,500.00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5.09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75,674,000.00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6.70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60,354,000.00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5.35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1,176,159,000.00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104.21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1,419,509,500.00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125.77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570,000</w:t>
            </w:r>
          </w:p>
        </w:tc>
        <w:tc>
          <w:tcPr>
            <w:vAlign w:val="center"/>
          </w:tcPr>
          <w:p>
            <w:pPr>
              <w:jc w:val="right"/>
            </w:pPr>
            <w:r>
              <w:rPr>
                <w:color w:val="000000"/>
                <w:sz w:val="24"/>
              </w:rPr>
              <w:t>57,427,500.00</w:t>
            </w:r>
          </w:p>
        </w:tc>
        <w:tc>
          <w:tcPr>
            <w:vAlign w:val="center"/>
          </w:tcPr>
          <w:p>
            <w:pPr>
              <w:jc w:val="right"/>
            </w:pPr>
            <w:r>
              <w:rPr>
                <w:color w:val="000000"/>
                <w:sz w:val="24"/>
              </w:rPr>
              <w:t>5.09</w:t>
            </w:r>
          </w:p>
        </w:tc>
      </w:tr>
      <w:tr>
        <w:tc>
          <w:tcPr>
            <w:vAlign w:val="center"/>
          </w:tcPr>
          <w:p>
            <w:pPr>
              <w:jc w:val="center"/>
            </w:pPr>
            <w:r>
              <w:rPr>
                <w:color w:val="000000"/>
                <w:sz w:val="24"/>
              </w:rPr>
              <w:t>2</w:t>
            </w:r>
          </w:p>
        </w:tc>
        <w:tc>
          <w:tcPr>
            <w:vAlign w:val="center"/>
          </w:tcPr>
          <w:p>
            <w:pPr>
              <w:jc w:val="center"/>
            </w:pPr>
            <w:r>
              <w:rPr>
                <w:color w:val="000000"/>
                <w:sz w:val="24"/>
              </w:rPr>
              <w:t>1921047</w:t>
            </w:r>
          </w:p>
        </w:tc>
        <w:tc>
          <w:tcPr>
            <w:vAlign w:val="center"/>
          </w:tcPr>
          <w:p>
            <w:pPr>
              <w:jc w:val="center"/>
            </w:pPr>
            <w:r>
              <w:rPr>
                <w:color w:val="000000"/>
                <w:sz w:val="24"/>
              </w:rPr>
              <w:t>19青岛农商小微债01</w:t>
            </w:r>
          </w:p>
        </w:tc>
        <w:tc>
          <w:tcPr>
            <w:vAlign w:val="center"/>
          </w:tcPr>
          <w:p>
            <w:pPr>
              <w:jc w:val="right"/>
            </w:pPr>
            <w:r>
              <w:rPr>
                <w:color w:val="000000"/>
                <w:sz w:val="24"/>
              </w:rPr>
              <w:t>500,000</w:t>
            </w:r>
          </w:p>
        </w:tc>
        <w:tc>
          <w:tcPr>
            <w:vAlign w:val="center"/>
          </w:tcPr>
          <w:p>
            <w:pPr>
              <w:jc w:val="right"/>
            </w:pPr>
            <w:r>
              <w:rPr>
                <w:color w:val="000000"/>
                <w:sz w:val="24"/>
              </w:rPr>
              <w:t>49,895,000.00</w:t>
            </w:r>
          </w:p>
        </w:tc>
        <w:tc>
          <w:tcPr>
            <w:vAlign w:val="center"/>
          </w:tcPr>
          <w:p>
            <w:pPr>
              <w:jc w:val="right"/>
            </w:pPr>
            <w:r>
              <w:rPr>
                <w:color w:val="000000"/>
                <w:sz w:val="24"/>
              </w:rPr>
              <w:t>4.42</w:t>
            </w:r>
          </w:p>
        </w:tc>
      </w:tr>
      <w:tr>
        <w:tc>
          <w:tcPr>
            <w:vAlign w:val="center"/>
          </w:tcPr>
          <w:p>
            <w:pPr>
              <w:jc w:val="center"/>
            </w:pPr>
            <w:r>
              <w:rPr>
                <w:color w:val="000000"/>
                <w:sz w:val="24"/>
              </w:rPr>
              <w:t>3</w:t>
            </w:r>
          </w:p>
        </w:tc>
        <w:tc>
          <w:tcPr>
            <w:vAlign w:val="center"/>
          </w:tcPr>
          <w:p>
            <w:pPr>
              <w:jc w:val="center"/>
            </w:pPr>
            <w:r>
              <w:rPr>
                <w:color w:val="000000"/>
                <w:sz w:val="24"/>
              </w:rPr>
              <w:t>101800199</w:t>
            </w:r>
          </w:p>
        </w:tc>
        <w:tc>
          <w:tcPr>
            <w:vAlign w:val="center"/>
          </w:tcPr>
          <w:p>
            <w:pPr>
              <w:jc w:val="center"/>
            </w:pPr>
            <w:r>
              <w:rPr>
                <w:color w:val="000000"/>
                <w:sz w:val="24"/>
              </w:rPr>
              <w:t>18福建漳州MTN001</w:t>
            </w:r>
          </w:p>
        </w:tc>
        <w:tc>
          <w:tcPr>
            <w:vAlign w:val="center"/>
          </w:tcPr>
          <w:p>
            <w:pPr>
              <w:jc w:val="right"/>
            </w:pPr>
            <w:r>
              <w:rPr>
                <w:color w:val="000000"/>
                <w:sz w:val="24"/>
              </w:rPr>
              <w:t>400,000</w:t>
            </w:r>
          </w:p>
        </w:tc>
        <w:tc>
          <w:tcPr>
            <w:vAlign w:val="center"/>
          </w:tcPr>
          <w:p>
            <w:pPr>
              <w:jc w:val="right"/>
            </w:pPr>
            <w:r>
              <w:rPr>
                <w:color w:val="000000"/>
                <w:sz w:val="24"/>
              </w:rPr>
              <w:t>43,304,000.00</w:t>
            </w:r>
          </w:p>
        </w:tc>
        <w:tc>
          <w:tcPr>
            <w:vAlign w:val="center"/>
          </w:tcPr>
          <w:p>
            <w:pPr>
              <w:jc w:val="right"/>
            </w:pPr>
            <w:r>
              <w:rPr>
                <w:color w:val="000000"/>
                <w:sz w:val="24"/>
              </w:rPr>
              <w:t>3.84</w:t>
            </w:r>
          </w:p>
        </w:tc>
      </w:tr>
      <w:tr>
        <w:tc>
          <w:tcPr>
            <w:vAlign w:val="center"/>
          </w:tcPr>
          <w:p>
            <w:pPr>
              <w:jc w:val="center"/>
            </w:pPr>
            <w:r>
              <w:rPr>
                <w:color w:val="000000"/>
                <w:sz w:val="24"/>
              </w:rPr>
              <w:t>4</w:t>
            </w:r>
          </w:p>
        </w:tc>
        <w:tc>
          <w:tcPr>
            <w:vAlign w:val="center"/>
          </w:tcPr>
          <w:p>
            <w:pPr>
              <w:jc w:val="center"/>
            </w:pPr>
            <w:r>
              <w:rPr>
                <w:color w:val="000000"/>
                <w:sz w:val="24"/>
              </w:rPr>
              <w:t>101801205</w:t>
            </w:r>
          </w:p>
        </w:tc>
        <w:tc>
          <w:tcPr>
            <w:vAlign w:val="center"/>
          </w:tcPr>
          <w:p>
            <w:pPr>
              <w:jc w:val="center"/>
            </w:pPr>
            <w:r>
              <w:rPr>
                <w:color w:val="000000"/>
                <w:sz w:val="24"/>
              </w:rPr>
              <w:t>18惠山经发MTN002</w:t>
            </w:r>
          </w:p>
        </w:tc>
        <w:tc>
          <w:tcPr>
            <w:vAlign w:val="center"/>
          </w:tcPr>
          <w:p>
            <w:pPr>
              <w:jc w:val="right"/>
            </w:pPr>
            <w:r>
              <w:rPr>
                <w:color w:val="000000"/>
                <w:sz w:val="24"/>
              </w:rPr>
              <w:t>400,000</w:t>
            </w:r>
          </w:p>
        </w:tc>
        <w:tc>
          <w:tcPr>
            <w:vAlign w:val="center"/>
          </w:tcPr>
          <w:p>
            <w:pPr>
              <w:jc w:val="right"/>
            </w:pPr>
            <w:r>
              <w:rPr>
                <w:color w:val="000000"/>
                <w:sz w:val="24"/>
              </w:rPr>
              <w:t>42,204,000.00</w:t>
            </w:r>
          </w:p>
        </w:tc>
        <w:tc>
          <w:tcPr>
            <w:vAlign w:val="center"/>
          </w:tcPr>
          <w:p>
            <w:pPr>
              <w:jc w:val="right"/>
            </w:pPr>
            <w:r>
              <w:rPr>
                <w:color w:val="000000"/>
                <w:sz w:val="24"/>
              </w:rPr>
              <w:t>3.74</w:t>
            </w:r>
          </w:p>
        </w:tc>
      </w:tr>
      <w:tr>
        <w:tc>
          <w:tcPr>
            <w:vAlign w:val="center"/>
          </w:tcPr>
          <w:p>
            <w:pPr>
              <w:jc w:val="center"/>
            </w:pPr>
            <w:r>
              <w:rPr>
                <w:color w:val="000000"/>
                <w:sz w:val="24"/>
              </w:rPr>
              <w:t>5</w:t>
            </w:r>
          </w:p>
        </w:tc>
        <w:tc>
          <w:tcPr>
            <w:vAlign w:val="center"/>
          </w:tcPr>
          <w:p>
            <w:pPr>
              <w:jc w:val="center"/>
            </w:pPr>
            <w:r>
              <w:rPr>
                <w:color w:val="000000"/>
                <w:sz w:val="24"/>
              </w:rPr>
              <w:t>101900509</w:t>
            </w:r>
          </w:p>
        </w:tc>
        <w:tc>
          <w:tcPr>
            <w:vAlign w:val="center"/>
          </w:tcPr>
          <w:p>
            <w:pPr>
              <w:jc w:val="center"/>
            </w:pPr>
            <w:r>
              <w:rPr>
                <w:color w:val="000000"/>
                <w:sz w:val="24"/>
              </w:rPr>
              <w:t>19泉国投MTN001</w:t>
            </w:r>
          </w:p>
        </w:tc>
        <w:tc>
          <w:tcPr>
            <w:vAlign w:val="center"/>
          </w:tcPr>
          <w:p>
            <w:pPr>
              <w:jc w:val="right"/>
            </w:pPr>
            <w:r>
              <w:rPr>
                <w:color w:val="000000"/>
                <w:sz w:val="24"/>
              </w:rPr>
              <w:t>400,000</w:t>
            </w:r>
          </w:p>
        </w:tc>
        <w:tc>
          <w:tcPr>
            <w:vAlign w:val="center"/>
          </w:tcPr>
          <w:p>
            <w:pPr>
              <w:jc w:val="right"/>
            </w:pPr>
            <w:r>
              <w:rPr>
                <w:color w:val="000000"/>
                <w:sz w:val="24"/>
              </w:rPr>
              <w:t>41,604,000.00</w:t>
            </w:r>
          </w:p>
        </w:tc>
        <w:tc>
          <w:tcPr>
            <w:vAlign w:val="center"/>
          </w:tcPr>
          <w:p>
            <w:pPr>
              <w:jc w:val="right"/>
            </w:pPr>
            <w:r>
              <w:rPr>
                <w:color w:val="000000"/>
                <w:sz w:val="24"/>
              </w:rPr>
              <w:t>3.69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4,302.93</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29,181,767.89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6,318,118.74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35,504,189.56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交银纯债债券发起A/B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交银纯债债券发起C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633,728,498.48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48,146,858.12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429,447,104.03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33,146,177.81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63,424,147.47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35,678,873.92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999,751,455.04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45,614,162.01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B47574" w:rsidRDefault="006B046C" w:rsidRPr="007F52FA">
      <w:pPr>
        <w:pStyle w:val="1"/>
        <w:spacing w:after="312" w:afterLines="100" w:before="312" w:beforeLines="100" w:line="288" w:lineRule="auto"/>
        <w:jc w:val="center"/>
        <w:rPr>
          <w:rFonts w:eastAsiaTheme="minorEastAsia"/>
          <w:b w:val="0"/>
          <w:color w:val="000000"/>
          <w:sz w:val="24"/>
          <w:szCs w:val="24"/>
        </w:rPr>
      </w:pPr>
      <w:r w:rsidRPr="007F52FA">
        <w:rPr>
          <w:rFonts w:eastAsiaTheme="minorEastAsia"/>
          <w:color w:val="000000"/>
          <w:kern w:val="0"/>
          <w:sz w:val="24"/>
          <w:szCs w:val="24"/>
        </w:rPr>
        <w:t/>
      </w:r>
      <w:r w:rsidR="00B47574" w:rsidRPr="007F52FA">
        <w:rPr>
          <w:rFonts w:eastAsiaTheme="minorEastAsia"/>
          <w:color w:val="000000"/>
          <w:kern w:val="0"/>
          <w:sz w:val="24"/>
          <w:szCs w:val="24"/>
        </w:rPr>
        <w:t>§</w:t>
      </w:r>
      <w:r w:rsidR="00D66685" w:rsidRPr="007F52FA">
        <w:rPr>
          <w:rFonts w:eastAsiaTheme="minorEastAsia"/>
          <w:color w:val="000000"/>
          <w:kern w:val="0"/>
          <w:sz w:val="24"/>
          <w:szCs w:val="24"/>
        </w:rPr>
        <w:t/>
      </w:r>
      <w:r w:rsidR="00B47574"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00B47574" w:rsidRPr="007F52FA">
        <w:rPr>
          <w:rFonts w:eastAsiaTheme="minorEastAsia"/>
          <w:color w:val="000000"/>
          <w:kern w:val="0"/>
          <w:sz w:val="24"/>
          <w:szCs w:val="24"/>
        </w:rPr>
        <w:t>发起式基金发起资金持有份额情况</w:t>
      </w:r>
    </w:p>
    <w:p w:rsidP="007C14DF" w:rsidR="00B47574" w:rsidRDefault="00B4757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10,000,000.00元人民币（不含募集期利息结转的份额），作为本基金的发起资金。自本基金基金合同生效之日起，发起资金所认购的基金份额持有期限不低于三年。本基金管理人持有的发起份额已于2017年一季度全部赎回，相应份额的持有期限符合基金合同的约定。</w:t>
      </w:r>
    </w:p>
    <w:p w:rsidP="007C14DF" w:rsidR="00574FC7" w:rsidRDefault="00574FC7"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186,308,454.61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186,308,454.61</w:t>
            </w:r>
          </w:p>
        </w:tc>
        <w:tc>
          <w:tcPr>
            <w:vAlign w:val="center"/>
          </w:tcPr>
          <w:p>
            <w:pPr>
              <w:jc w:val="center"/>
            </w:pPr>
            <w:r>
              <w:rPr>
                <w:rFonts w:ascii="宋体" w:hAnsi="宋体" w:hint="eastAsia"/>
                <w:color w:val="000000"/>
                <w:kern w:val="0"/>
                <w:szCs w:val="21"/>
              </w:rPr>
              <w:t>17.82%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1、中国证监会批准交银施罗德纯债债券型发起式证券投资基金募集的文件；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2、《交银施罗德纯债债券型发起式证券投资基金基金合同》；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3、《交银施罗德纯债债券型发起式证券投资基金招募说明书》；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4、《交银施罗德纯债债券型发起式证券投资基金托管协议》；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5、关于募集交银施罗德纯债债券型发起式证券投资基金之法律意见书；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8、报告期内交银施罗德纯债债券型发起式证券投资基金在指定报刊上各项公告的原稿。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3" w:rsidRDefault="000C4653">
      <w:r>
        <w:separator/>
      </w:r>
    </w:p>
  </w:endnote>
  <w:endnote w:type="continuationSeparator" w:id="0">
    <w:p w:rsidR="000C4653" w:rsidRDefault="000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579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5793">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0C4653" w:rsidRDefault="000C4653">
      <w:r>
        <w:separator/>
      </w:r>
    </w:p>
  </w:footnote>
  <w:footnote w:id="0" w:type="continuationSeparator">
    <w:p w:rsidR="000C4653" w:rsidRDefault="000C465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交银施罗德纯债债券型发起式证券投资基金2019年第4季度报告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424C-2D01-4B90-A923-78EEFAAC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240</TotalTime>
  <Pages>27</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2019-11-26T02:16:00Z</dcterms:modified>
  <cp:revision>402</cp:revision>
</cp:coreProperties>
</file>