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交银施罗德蓝筹混合型证券投资基金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2007年8月8日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1,987,963,361.52</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75%×中证100指数+25%×中证综合债券指数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85,321,506.41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299,748,834.67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0.1468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2,279,502,336.01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1.1467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14.56%</w:t>
            </w:r>
          </w:p>
        </w:tc>
        <w:tc>
          <w:tcPr>
            <w:vAlign w:val="center"/>
          </w:tcPr>
          <w:p>
            <w:pPr>
              <w:jc w:val="center"/>
            </w:pPr>
            <w:r>
              <w:rPr>
                <w:color w:val="000000"/>
                <w:sz w:val="24"/>
                <w:szCs w:val="24"/>
              </w:rPr>
              <w:t>0.99%</w:t>
            </w:r>
          </w:p>
        </w:tc>
        <w:tc>
          <w:tcPr>
            <w:vAlign w:val="center"/>
          </w:tcPr>
          <w:p>
            <w:pPr>
              <w:jc w:val="center"/>
            </w:pPr>
            <w:r>
              <w:rPr>
                <w:color w:val="000000"/>
                <w:sz w:val="24"/>
                <w:szCs w:val="24"/>
              </w:rPr>
              <w:t>4.82%</w:t>
            </w:r>
          </w:p>
        </w:tc>
        <w:tc>
          <w:tcPr>
            <w:vAlign w:val="center"/>
          </w:tcPr>
          <w:p>
            <w:pPr>
              <w:jc w:val="center"/>
            </w:pPr>
            <w:r>
              <w:rPr>
                <w:color w:val="000000"/>
                <w:sz w:val="24"/>
                <w:szCs w:val="24"/>
              </w:rPr>
              <w:t>0.55%</w:t>
            </w:r>
          </w:p>
        </w:tc>
        <w:tc>
          <w:tcPr>
            <w:vAlign w:val="center"/>
          </w:tcPr>
          <w:p>
            <w:pPr>
              <w:jc w:val="center"/>
            </w:pPr>
            <w:r>
              <w:rPr>
                <w:color w:val="000000"/>
                <w:sz w:val="24"/>
                <w:szCs w:val="24"/>
              </w:rPr>
              <w:t>9.74%</w:t>
            </w:r>
          </w:p>
        </w:tc>
        <w:tc>
          <w:tcPr>
            <w:vAlign w:val="center"/>
          </w:tcPr>
          <w:p>
            <w:pPr>
              <w:jc w:val="center"/>
            </w:pPr>
            <w:r>
              <w:rPr>
                <w:color w:val="000000"/>
                <w:sz w:val="24"/>
                <w:szCs w:val="24"/>
              </w:rPr>
              <w:t>0.44%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交银施罗德蓝筹混合型证券投资基金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2007年8月8日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交银成长混合、交银蓝筹混合的基金经理，公司权益投资总监</w:t>
            </w:r>
          </w:p>
        </w:tc>
        <w:tc>
          <w:tcPr>
            <w:vAlign w:val="center"/>
          </w:tcPr>
          <w:p>
            <w:pPr>
              <w:jc w:val="center"/>
            </w:pPr>
            <w:r>
              <w:rPr>
                <w:color w:val="000000"/>
                <w:sz w:val="24"/>
                <w:szCs w:val="24"/>
              </w:rPr>
              <w:t>2018-09-28</w:t>
            </w:r>
          </w:p>
        </w:tc>
        <w:tc>
          <w:tcPr>
            <w:vAlign w:val="center"/>
          </w:tcPr>
          <w:p>
            <w:pPr>
              <w:jc w:val="center"/>
            </w:pPr>
            <w:r>
              <w:rPr>
                <w:color w:val="000000"/>
                <w:sz w:val="24"/>
                <w:szCs w:val="24"/>
              </w:rPr>
              <w:t>-</w:t>
            </w:r>
          </w:p>
        </w:tc>
        <w:tc>
          <w:tcPr>
            <w:vAlign w:val="center"/>
          </w:tcPr>
          <w:p>
            <w:pPr>
              <w:jc w:val="center"/>
            </w:pPr>
            <w:r>
              <w:rPr>
                <w:color w:val="000000"/>
                <w:sz w:val="24"/>
                <w:szCs w:val="24"/>
              </w:rPr>
              <w:t>15年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2018年8月24日至2019年8月28日担任交银施罗德恒益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国内经济依旧处于增速寻底阶段，但股市触底反弹。受到贸易战阶段性成果达成，国内股市风险偏好也持续提升。2018年下半年贸易冲突激化以来，美国、欧洲、日本以及中国工业企业生产和投资大幅放缓，拖累原材料和中间品价格，整体经济库存去化程度极端，但为未来工业品供小于求打下基础。贸易战阶段缓解，有望在全球范围实现去库存的逆转，这显著提振中国、欧洲与日本等制造业为主的经济体的短期经济景气趋势。但国内宏观经济数据中PMI的短期反弹的持续性值得怀疑，还需要其他数据佐证。此外，国内金融市场不认同未来整体通胀压力上行，同期短端利率被压制十年低点，带动两融激增。在整体风险溢价上行的背景下，除地产债利差持续扩张以及中小银行利差刚刚开始扩张之外，对信用风险定价普遍较低。但通胀的隐忧并未消除，虽然短期还没有看到CPI分项中食品向非食品的传导，但考虑本轮猪肉价格上涨可能持续性，以及经济短期反弹主推工资型通胀循环， 通胀压力的研判可能是2020年一个特别重要的胜负手。</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2019年四季度A股受益于贸易谈判的阶段性缓和，国内股市风险偏好也持续提升。前期相对滞涨的新能源汽车和主体性较强的传媒板块快速反弹，基金持仓集中板块阶段性回调。展望2020年一季度，A股市场在不出现系统性风险背景下依然可能是结构性行情。科技和消费板块中景气上行的，并且具有长期竞争优势的上市公司预计依然会有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1,949,377,101.18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1,949,377,101.18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84.90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110,144,000.00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110,144,000.00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234,342,831.63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2,328,111.58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2,296,192,044.39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66,974,630.00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1,394,245,576.46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4,621,766.00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275,639,921.10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12,151,705.42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107,696.00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195,629,228.16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1,949,377,101.18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85.52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4,781,048</w:t>
            </w:r>
          </w:p>
        </w:tc>
        <w:tc>
          <w:tcPr>
            <w:vAlign w:val="center"/>
          </w:tcPr>
          <w:p>
            <w:pPr>
              <w:jc w:val="right"/>
            </w:pPr>
            <w:r>
              <w:rPr>
                <w:color w:val="000000"/>
                <w:sz w:val="24"/>
                <w:szCs w:val="24"/>
              </w:rPr>
              <w:t>222,079,679.60</w:t>
            </w:r>
          </w:p>
        </w:tc>
        <w:tc>
          <w:tcPr>
            <w:vAlign w:val="center"/>
          </w:tcPr>
          <w:p>
            <w:pPr>
              <w:jc w:val="right"/>
            </w:pPr>
            <w:r>
              <w:rPr>
                <w:color w:val="000000"/>
                <w:sz w:val="24"/>
                <w:szCs w:val="24"/>
              </w:rPr>
              <w:t>9.74</w:t>
            </w:r>
          </w:p>
        </w:tc>
      </w:tr>
      <w:tr>
        <w:tc>
          <w:tcPr>
            <w:vAlign w:val="center"/>
          </w:tcPr>
          <w:p>
            <w:pPr>
              <w:jc w:val="center"/>
            </w:pPr>
            <w:r>
              <w:rPr>
                <w:color w:val="000000"/>
                <w:sz w:val="24"/>
                <w:szCs w:val="24"/>
              </w:rPr>
              <w:t>2</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15,277,326</w:t>
            </w:r>
          </w:p>
        </w:tc>
        <w:tc>
          <w:tcPr>
            <w:vAlign w:val="center"/>
          </w:tcPr>
          <w:p>
            <w:pPr>
              <w:jc w:val="right"/>
            </w:pPr>
            <w:r>
              <w:rPr>
                <w:color w:val="000000"/>
                <w:sz w:val="24"/>
                <w:szCs w:val="24"/>
              </w:rPr>
              <w:t>218,465,761.80</w:t>
            </w:r>
          </w:p>
        </w:tc>
        <w:tc>
          <w:tcPr>
            <w:vAlign w:val="center"/>
          </w:tcPr>
          <w:p>
            <w:pPr>
              <w:jc w:val="right"/>
            </w:pPr>
            <w:r>
              <w:rPr>
                <w:color w:val="000000"/>
                <w:sz w:val="24"/>
                <w:szCs w:val="24"/>
              </w:rPr>
              <w:t>9.58</w:t>
            </w:r>
          </w:p>
        </w:tc>
      </w:tr>
      <w:tr>
        <w:tc>
          <w:tcPr>
            <w:vAlign w:val="center"/>
          </w:tcPr>
          <w:p>
            <w:pPr>
              <w:jc w:val="center"/>
            </w:pPr>
            <w:r>
              <w:rPr>
                <w:color w:val="000000"/>
                <w:sz w:val="24"/>
                <w:szCs w:val="24"/>
              </w:rPr>
              <w:t>3</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10,941,232</w:t>
            </w:r>
          </w:p>
        </w:tc>
        <w:tc>
          <w:tcPr>
            <w:vAlign w:val="center"/>
          </w:tcPr>
          <w:p>
            <w:pPr>
              <w:jc w:val="right"/>
            </w:pPr>
            <w:r>
              <w:rPr>
                <w:color w:val="000000"/>
                <w:sz w:val="24"/>
                <w:szCs w:val="24"/>
              </w:rPr>
              <w:t>195,629,228.16</w:t>
            </w:r>
          </w:p>
        </w:tc>
        <w:tc>
          <w:tcPr>
            <w:vAlign w:val="center"/>
          </w:tcPr>
          <w:p>
            <w:pPr>
              <w:jc w:val="right"/>
            </w:pPr>
            <w:r>
              <w:rPr>
                <w:color w:val="000000"/>
                <w:sz w:val="24"/>
                <w:szCs w:val="24"/>
              </w:rPr>
              <w:t>8.58</w:t>
            </w:r>
          </w:p>
        </w:tc>
      </w:tr>
      <w:tr>
        <w:tc>
          <w:tcPr>
            <w:vAlign w:val="center"/>
          </w:tcPr>
          <w:p>
            <w:pPr>
              <w:jc w:val="center"/>
            </w:pPr>
            <w:r>
              <w:rPr>
                <w:color w:val="000000"/>
                <w:sz w:val="24"/>
                <w:szCs w:val="24"/>
              </w:rPr>
              <w:t>4</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3,938,467</w:t>
            </w:r>
          </w:p>
        </w:tc>
        <w:tc>
          <w:tcPr>
            <w:vAlign w:val="center"/>
          </w:tcPr>
          <w:p>
            <w:pPr>
              <w:jc w:val="right"/>
            </w:pPr>
            <w:r>
              <w:rPr>
                <w:color w:val="000000"/>
                <w:sz w:val="24"/>
                <w:szCs w:val="24"/>
              </w:rPr>
              <w:t>163,367,611.16</w:t>
            </w:r>
          </w:p>
        </w:tc>
        <w:tc>
          <w:tcPr>
            <w:vAlign w:val="center"/>
          </w:tcPr>
          <w:p>
            <w:pPr>
              <w:jc w:val="right"/>
            </w:pPr>
            <w:r>
              <w:rPr>
                <w:color w:val="000000"/>
                <w:sz w:val="24"/>
                <w:szCs w:val="24"/>
              </w:rPr>
              <w:t>7.17</w:t>
            </w:r>
          </w:p>
        </w:tc>
      </w:tr>
      <w:tr>
        <w:tc>
          <w:tcPr>
            <w:vAlign w:val="center"/>
          </w:tcPr>
          <w:p>
            <w:pPr>
              <w:jc w:val="center"/>
            </w:pPr>
            <w:r>
              <w:rPr>
                <w:color w:val="000000"/>
                <w:sz w:val="24"/>
                <w:szCs w:val="24"/>
              </w:rPr>
              <w:t>5</w:t>
            </w:r>
          </w:p>
        </w:tc>
        <w:tc>
          <w:tcPr>
            <w:vAlign w:val="center"/>
          </w:tcPr>
          <w:p>
            <w:pPr>
              <w:jc w:val="center"/>
            </w:pPr>
            <w:r>
              <w:rPr>
                <w:color w:val="000000"/>
                <w:sz w:val="24"/>
                <w:szCs w:val="24"/>
              </w:rPr>
              <w:t>688008</w:t>
            </w:r>
          </w:p>
        </w:tc>
        <w:tc>
          <w:tcPr>
            <w:vAlign w:val="center"/>
          </w:tcPr>
          <w:p>
            <w:pPr>
              <w:jc w:val="center"/>
            </w:pPr>
            <w:r>
              <w:rPr>
                <w:color w:val="000000"/>
                <w:sz w:val="24"/>
                <w:szCs w:val="24"/>
              </w:rPr>
              <w:t>澜起科技</w:t>
            </w:r>
          </w:p>
        </w:tc>
        <w:tc>
          <w:tcPr>
            <w:vAlign w:val="center"/>
          </w:tcPr>
          <w:p>
            <w:pPr>
              <w:jc w:val="right"/>
            </w:pPr>
            <w:r>
              <w:rPr>
                <w:color w:val="000000"/>
                <w:sz w:val="24"/>
                <w:szCs w:val="24"/>
              </w:rPr>
              <w:t>1,784,895</w:t>
            </w:r>
          </w:p>
        </w:tc>
        <w:tc>
          <w:tcPr>
            <w:vAlign w:val="center"/>
          </w:tcPr>
          <w:p>
            <w:pPr>
              <w:jc w:val="right"/>
            </w:pPr>
            <w:r>
              <w:rPr>
                <w:color w:val="000000"/>
                <w:sz w:val="24"/>
                <w:szCs w:val="24"/>
              </w:rPr>
              <w:t>127,816,330.95</w:t>
            </w:r>
          </w:p>
        </w:tc>
        <w:tc>
          <w:tcPr>
            <w:vAlign w:val="center"/>
          </w:tcPr>
          <w:p>
            <w:pPr>
              <w:jc w:val="right"/>
            </w:pPr>
            <w:r>
              <w:rPr>
                <w:color w:val="000000"/>
                <w:sz w:val="24"/>
                <w:szCs w:val="24"/>
              </w:rPr>
              <w:t>5.61</w:t>
            </w:r>
          </w:p>
        </w:tc>
      </w:tr>
      <w:tr>
        <w:tc>
          <w:tcPr>
            <w:vAlign w:val="center"/>
          </w:tcPr>
          <w:p>
            <w:pPr>
              <w:jc w:val="center"/>
            </w:pPr>
            <w:r>
              <w:rPr>
                <w:color w:val="000000"/>
                <w:sz w:val="24"/>
                <w:szCs w:val="24"/>
              </w:rPr>
              <w:t>6</w:t>
            </w:r>
          </w:p>
        </w:tc>
        <w:tc>
          <w:tcPr>
            <w:vAlign w:val="center"/>
          </w:tcPr>
          <w:p>
            <w:pPr>
              <w:jc w:val="center"/>
            </w:pPr>
            <w:r>
              <w:rPr>
                <w:color w:val="000000"/>
                <w:sz w:val="24"/>
                <w:szCs w:val="24"/>
              </w:rPr>
              <w:t>600216</w:t>
            </w:r>
          </w:p>
        </w:tc>
        <w:tc>
          <w:tcPr>
            <w:vAlign w:val="center"/>
          </w:tcPr>
          <w:p>
            <w:pPr>
              <w:jc w:val="center"/>
            </w:pPr>
            <w:r>
              <w:rPr>
                <w:color w:val="000000"/>
                <w:sz w:val="24"/>
                <w:szCs w:val="24"/>
              </w:rPr>
              <w:t>浙江医药</w:t>
            </w:r>
          </w:p>
        </w:tc>
        <w:tc>
          <w:tcPr>
            <w:vAlign w:val="center"/>
          </w:tcPr>
          <w:p>
            <w:pPr>
              <w:jc w:val="right"/>
            </w:pPr>
            <w:r>
              <w:rPr>
                <w:color w:val="000000"/>
                <w:sz w:val="24"/>
                <w:szCs w:val="24"/>
              </w:rPr>
              <w:t>7,984,700</w:t>
            </w:r>
          </w:p>
        </w:tc>
        <w:tc>
          <w:tcPr>
            <w:vAlign w:val="center"/>
          </w:tcPr>
          <w:p>
            <w:pPr>
              <w:jc w:val="right"/>
            </w:pPr>
            <w:r>
              <w:rPr>
                <w:color w:val="000000"/>
                <w:sz w:val="24"/>
                <w:szCs w:val="24"/>
              </w:rPr>
              <w:t>106,595,745.00</w:t>
            </w:r>
          </w:p>
        </w:tc>
        <w:tc>
          <w:tcPr>
            <w:vAlign w:val="center"/>
          </w:tcPr>
          <w:p>
            <w:pPr>
              <w:jc w:val="right"/>
            </w:pPr>
            <w:r>
              <w:rPr>
                <w:color w:val="000000"/>
                <w:sz w:val="24"/>
                <w:szCs w:val="24"/>
              </w:rPr>
              <w:t>4.68</w:t>
            </w:r>
          </w:p>
        </w:tc>
      </w:tr>
      <w:tr>
        <w:tc>
          <w:tcPr>
            <w:vAlign w:val="center"/>
          </w:tcPr>
          <w:p>
            <w:pPr>
              <w:jc w:val="center"/>
            </w:pPr>
            <w:r>
              <w:rPr>
                <w:color w:val="000000"/>
                <w:sz w:val="24"/>
                <w:szCs w:val="24"/>
              </w:rPr>
              <w:t>7</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2,761,185</w:t>
            </w:r>
          </w:p>
        </w:tc>
        <w:tc>
          <w:tcPr>
            <w:vAlign w:val="center"/>
          </w:tcPr>
          <w:p>
            <w:pPr>
              <w:jc w:val="right"/>
            </w:pPr>
            <w:r>
              <w:rPr>
                <w:color w:val="000000"/>
                <w:sz w:val="24"/>
                <w:szCs w:val="24"/>
              </w:rPr>
              <w:t>95,205,658.80</w:t>
            </w:r>
          </w:p>
        </w:tc>
        <w:tc>
          <w:tcPr>
            <w:vAlign w:val="center"/>
          </w:tcPr>
          <w:p>
            <w:pPr>
              <w:jc w:val="right"/>
            </w:pPr>
            <w:r>
              <w:rPr>
                <w:color w:val="000000"/>
                <w:sz w:val="24"/>
                <w:szCs w:val="24"/>
              </w:rPr>
              <w:t>4.18</w:t>
            </w:r>
          </w:p>
        </w:tc>
      </w:tr>
      <w:tr>
        <w:tc>
          <w:tcPr>
            <w:vAlign w:val="center"/>
          </w:tcPr>
          <w:p>
            <w:pPr>
              <w:jc w:val="center"/>
            </w:pPr>
            <w:r>
              <w:rPr>
                <w:color w:val="000000"/>
                <w:sz w:val="24"/>
                <w:szCs w:val="24"/>
              </w:rPr>
              <w:t>8</w:t>
            </w:r>
          </w:p>
        </w:tc>
        <w:tc>
          <w:tcPr>
            <w:vAlign w:val="center"/>
          </w:tcPr>
          <w:p>
            <w:pPr>
              <w:jc w:val="center"/>
            </w:pPr>
            <w:r>
              <w:rPr>
                <w:color w:val="000000"/>
                <w:sz w:val="24"/>
                <w:szCs w:val="24"/>
              </w:rPr>
              <w:t>002371</w:t>
            </w:r>
          </w:p>
        </w:tc>
        <w:tc>
          <w:tcPr>
            <w:vAlign w:val="center"/>
          </w:tcPr>
          <w:p>
            <w:pPr>
              <w:jc w:val="center"/>
            </w:pPr>
            <w:r>
              <w:rPr>
                <w:color w:val="000000"/>
                <w:sz w:val="24"/>
                <w:szCs w:val="24"/>
              </w:rPr>
              <w:t>北方华创</w:t>
            </w:r>
          </w:p>
        </w:tc>
        <w:tc>
          <w:tcPr>
            <w:vAlign w:val="center"/>
          </w:tcPr>
          <w:p>
            <w:pPr>
              <w:jc w:val="right"/>
            </w:pPr>
            <w:r>
              <w:rPr>
                <w:color w:val="000000"/>
                <w:sz w:val="24"/>
                <w:szCs w:val="24"/>
              </w:rPr>
              <w:t>886,300</w:t>
            </w:r>
          </w:p>
        </w:tc>
        <w:tc>
          <w:tcPr>
            <w:vAlign w:val="center"/>
          </w:tcPr>
          <w:p>
            <w:pPr>
              <w:jc w:val="right"/>
            </w:pPr>
            <w:r>
              <w:rPr>
                <w:color w:val="000000"/>
                <w:sz w:val="24"/>
                <w:szCs w:val="24"/>
              </w:rPr>
              <w:t>77,994,400.00</w:t>
            </w:r>
          </w:p>
        </w:tc>
        <w:tc>
          <w:tcPr>
            <w:vAlign w:val="center"/>
          </w:tcPr>
          <w:p>
            <w:pPr>
              <w:jc w:val="right"/>
            </w:pPr>
            <w:r>
              <w:rPr>
                <w:color w:val="000000"/>
                <w:sz w:val="24"/>
                <w:szCs w:val="24"/>
              </w:rPr>
              <w:t>3.42</w:t>
            </w:r>
          </w:p>
        </w:tc>
      </w:tr>
      <w:tr>
        <w:tc>
          <w:tcPr>
            <w:vAlign w:val="center"/>
          </w:tcPr>
          <w:p>
            <w:pPr>
              <w:jc w:val="center"/>
            </w:pPr>
            <w:r>
              <w:rPr>
                <w:color w:val="000000"/>
                <w:sz w:val="24"/>
                <w:szCs w:val="24"/>
              </w:rPr>
              <w:t>9</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492,670</w:t>
            </w:r>
          </w:p>
        </w:tc>
        <w:tc>
          <w:tcPr>
            <w:vAlign w:val="center"/>
          </w:tcPr>
          <w:p>
            <w:pPr>
              <w:jc w:val="right"/>
            </w:pPr>
            <w:r>
              <w:rPr>
                <w:color w:val="000000"/>
                <w:sz w:val="24"/>
                <w:szCs w:val="24"/>
              </w:rPr>
              <w:t>77,457,577.40</w:t>
            </w:r>
          </w:p>
        </w:tc>
        <w:tc>
          <w:tcPr>
            <w:vAlign w:val="center"/>
          </w:tcPr>
          <w:p>
            <w:pPr>
              <w:jc w:val="right"/>
            </w:pPr>
            <w:r>
              <w:rPr>
                <w:color w:val="000000"/>
                <w:sz w:val="24"/>
                <w:szCs w:val="24"/>
              </w:rPr>
              <w:t>3.40</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2,749,466</w:t>
            </w:r>
          </w:p>
        </w:tc>
        <w:tc>
          <w:tcPr>
            <w:vAlign w:val="center"/>
          </w:tcPr>
          <w:p>
            <w:pPr>
              <w:jc w:val="right"/>
            </w:pPr>
            <w:r>
              <w:rPr>
                <w:color w:val="000000"/>
                <w:sz w:val="24"/>
                <w:szCs w:val="24"/>
              </w:rPr>
              <w:t>75,995,240.24</w:t>
            </w:r>
          </w:p>
        </w:tc>
        <w:tc>
          <w:tcPr>
            <w:vAlign w:val="center"/>
          </w:tcPr>
          <w:p>
            <w:pPr>
              <w:jc w:val="right"/>
            </w:pPr>
            <w:r>
              <w:rPr>
                <w:color w:val="000000"/>
                <w:sz w:val="24"/>
                <w:szCs w:val="24"/>
              </w:rPr>
              <w:t>3.33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110,144,000.00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110,144,000.00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110,144,000.00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190405</w:t>
            </w:r>
          </w:p>
        </w:tc>
        <w:tc>
          <w:tcPr>
            <w:vAlign w:val="center"/>
          </w:tcPr>
          <w:p>
            <w:pPr>
              <w:jc w:val="center"/>
            </w:pPr>
            <w:r>
              <w:rPr>
                <w:color w:val="000000"/>
                <w:sz w:val="24"/>
                <w:szCs w:val="24"/>
              </w:rPr>
              <w:t>19农发05</w:t>
            </w:r>
          </w:p>
        </w:tc>
        <w:tc>
          <w:tcPr>
            <w:vAlign w:val="center"/>
          </w:tcPr>
          <w:p>
            <w:pPr>
              <w:jc w:val="right"/>
            </w:pPr>
            <w:r>
              <w:rPr>
                <w:color w:val="000000"/>
                <w:sz w:val="24"/>
                <w:szCs w:val="24"/>
              </w:rPr>
              <w:t>1,000,000</w:t>
            </w:r>
          </w:p>
        </w:tc>
        <w:tc>
          <w:tcPr>
            <w:vAlign w:val="center"/>
          </w:tcPr>
          <w:p>
            <w:pPr>
              <w:jc w:val="right"/>
            </w:pPr>
            <w:r>
              <w:rPr>
                <w:color w:val="000000"/>
                <w:sz w:val="24"/>
                <w:szCs w:val="24"/>
              </w:rPr>
              <w:t>100,130,000.00</w:t>
            </w:r>
          </w:p>
        </w:tc>
        <w:tc>
          <w:tcPr>
            <w:vAlign w:val="center"/>
          </w:tcPr>
          <w:p>
            <w:pPr>
              <w:jc w:val="right"/>
            </w:pPr>
            <w:r>
              <w:rPr>
                <w:color w:val="000000"/>
                <w:sz w:val="24"/>
                <w:szCs w:val="24"/>
              </w:rPr>
              <w:t>4.39</w:t>
            </w:r>
          </w:p>
        </w:tc>
      </w:tr>
      <w:tr>
        <w:tc>
          <w:tcPr>
            <w:vAlign w:val="center"/>
          </w:tcPr>
          <w:p>
            <w:pPr>
              <w:jc w:val="center"/>
            </w:pPr>
            <w:r>
              <w:rPr>
                <w:color w:val="000000"/>
                <w:sz w:val="24"/>
                <w:szCs w:val="24"/>
              </w:rPr>
              <w:t>2</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100,000</w:t>
            </w:r>
          </w:p>
        </w:tc>
        <w:tc>
          <w:tcPr>
            <w:vAlign w:val="center"/>
          </w:tcPr>
          <w:p>
            <w:pPr>
              <w:jc w:val="right"/>
            </w:pPr>
            <w:r>
              <w:rPr>
                <w:color w:val="000000"/>
                <w:sz w:val="24"/>
                <w:szCs w:val="24"/>
              </w:rPr>
              <w:t>10,014,000.00</w:t>
            </w:r>
          </w:p>
        </w:tc>
        <w:tc>
          <w:tcPr>
            <w:vAlign w:val="center"/>
          </w:tcPr>
          <w:p>
            <w:pPr>
              <w:jc w:val="right"/>
            </w:pPr>
            <w:r>
              <w:rPr>
                <w:color w:val="000000"/>
                <w:sz w:val="24"/>
                <w:szCs w:val="24"/>
              </w:rPr>
              <w:t>0.44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366,141.75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1,436,195.20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525,774.63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2,328,111.58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2,078,847,455.98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47,537,443.21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138,421,537.67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1,987,963,361.52</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2、《交银施罗德蓝筹混合型证券投资基金基金合同》；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3、《交银施罗德蓝筹混合型证券投资基金招募说明书》；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4、《交银施罗德蓝筹混合型证券投资基金托管协议》；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8、报告期内交银施罗德蓝筹混合型证券投资基金在指定报刊上各项公告的原稿。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交银施罗德蓝筹混合型证券投资基金2019年第4季度报告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