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交银施罗德天鑫宝货币市场基金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兴业银行股份有限公司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基金托管人兴业银行股份有限公司根据本基金合同规定，于2020年1月20日复核了本报告中的财务指标、净值表现和投资组合报告等内容，保证复核内容不存在虚假记载、误导性陈述或者重大遗漏。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2016年12月7日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14,054,376,753.93</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交银天鑫宝货币A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交银天鑫宝货币E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003482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003483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12,315,986.01</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14,042,060,767.92</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交银天鑫宝货币A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交银天鑫宝货币E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91,717.24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83,942,383.55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91,717.24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83,942,383.55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12,315,986.01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14,042,060,767.92</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交银天鑫宝货币A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0.6517%</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0.5635%</w:t>
            </w:r>
          </w:p>
        </w:tc>
        <w:tc>
          <w:tcPr>
            <w:vAlign w:val="center"/>
          </w:tcPr>
          <w:p>
            <w:pPr>
              <w:jc w:val="center"/>
            </w:pPr>
            <w:r>
              <w:rPr>
                <w:rFonts w:ascii="Times New Roman" w:hAnsi="Times New Roman"/>
                <w:color w:val="000000"/>
              </w:rPr>
              <w:t>0.0005%</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交银天鑫宝货币E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0.7129%</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0.6247%</w:t>
            </w:r>
          </w:p>
        </w:tc>
        <w:tc>
          <w:tcPr>
            <w:vAlign w:val="center"/>
          </w:tcPr>
          <w:p>
            <w:pPr>
              <w:jc w:val="center"/>
            </w:pPr>
            <w:r>
              <w:rPr>
                <w:rFonts w:ascii="Times New Roman" w:hAnsi="Times New Roman"/>
                <w:color w:val="000000"/>
              </w:rPr>
              <w:t>0.0005%</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交银施罗德天鑫宝货币市场基金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2016年12月7日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交银天鑫宝货币A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交银天鑫宝货币E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季参平</w:t>
            </w:r>
          </w:p>
        </w:tc>
        <w:tc>
          <w:tcPr>
            <w:vAlign w:val="center"/>
          </w:tcPr>
          <w:p>
            <w:pPr>
              <w:jc w:val="center"/>
            </w:pPr>
            <w:r>
              <w:rPr>
                <w:color w:val="000000"/>
                <w:sz w:val="24"/>
              </w:rPr>
              <w:t>交银货币、交银裕通纯债债券、交银现金宝货币、交银天鑫宝货币的基金经理</w:t>
            </w:r>
          </w:p>
        </w:tc>
        <w:tc>
          <w:tcPr>
            <w:vAlign w:val="center"/>
          </w:tcPr>
          <w:p>
            <w:pPr>
              <w:jc w:val="center"/>
            </w:pPr>
            <w:r>
              <w:rPr>
                <w:color w:val="000000"/>
                <w:sz w:val="24"/>
              </w:rPr>
              <w:t>2019-07-26</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货币市场资金水平总体保持平衡偏宽松的态势。由于缴税因素的影响，十月的隔夜回购价格在四季度处于相对高位，平均在2.39%附近，随着央行公开市场操作“削峰填谷”以及OMO、MLF利率的下调，隔夜利率逐步走低至十二月的2.16%水平。四季度由于大量银行存单到期，整体的存单市场价格较前期上涨，三个月国有股份制银行存单最高3.15%附近，但存单信用分层依然明显，城商行和AA+银行继续和国有股份制大行保持了明显的利差水平。货币政策角度来看，央行在稳健中性的基调下略偏宽松，除了下调七天、十四天逆回购利率5bps外，对于税期、季节性时点的短期资金支持也较为及时，银行间狭义流动性整体保持偏宽松状态。报告期内，三个月上海银行间拆借利率上行约30bps到3.03%。</w:t>
      </w:r>
    </w:p>
    <w:p>
      <w:pPr>
        <w:spacing w:before="29" w:line="288" w:lineRule="auto"/>
        <w:ind w:firstLine="480" w:firstLineChars="200"/>
        <w:rPr>
          <w:color w:val="000000"/>
          <w:sz w:val="24"/>
        </w:rPr>
      </w:pPr>
      <w:r>
        <w:rPr>
          <w:color w:val="000000"/>
          <w:sz w:val="24"/>
        </w:rPr>
        <w:t>基金操作方面，我们维持低杠杆、短久期的操作思路，多投资于估值波动较小的银行存款与回购等，组合整体流动性良好。十二月末我们视组合流动性和市场情况，增配了高评级的同业存单、同业存款等，提高组合收益水平。</w:t>
      </w:r>
    </w:p>
    <w:p>
      <w:pPr>
        <w:spacing w:before="29" w:line="288" w:lineRule="auto"/>
        <w:ind w:firstLine="480" w:firstLineChars="200"/>
        <w:rPr>
          <w:color w:val="000000"/>
          <w:sz w:val="24"/>
        </w:rPr>
      </w:pPr>
      <w:r>
        <w:rPr>
          <w:color w:val="000000"/>
          <w:sz w:val="24"/>
        </w:rPr>
        <w:t>展望2020年一季度，我们将密切关注年初信贷开门红后的库存周期和地产投资走势，警惕结构性猪肉通胀向全面通胀扩散的可能性，同时我们将继续观察银行理财子公司的发展以及现金管理型理财产品对行业生态的影响。我们认为，未来名义GDP的增长和通胀的不确定性，可能将增加利率的波动性，而狭义资金面的宽松可能相对较为确定。</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5,621,927,248.85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37.54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5,521,927,248.85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36.87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100,000,000.00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0.67</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3,177,286,125.94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21.21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6,130,248,892.57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40.93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47,741,501.30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0.32</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14,977,203,768.66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6.29</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918,138,391.89</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6.53</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84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84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41</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32.85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6.53</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21.25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19.82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3.82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28.49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106.23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6.53</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49,843,447.34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0.35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660,715,812.99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4.70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660,715,812.99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4.70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4,811,367,988.52</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34.23</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5,521,927,248.85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39.29</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170302</w:t>
            </w:r>
          </w:p>
        </w:tc>
        <w:tc>
          <w:tcPr>
            <w:vAlign w:val="center"/>
          </w:tcPr>
          <w:p>
            <w:pPr>
              <w:jc w:val="center"/>
            </w:pPr>
            <w:r>
              <w:rPr>
                <w:color w:val="000000"/>
                <w:sz w:val="24"/>
              </w:rPr>
              <w:t>17进出02</w:t>
            </w:r>
          </w:p>
        </w:tc>
        <w:tc>
          <w:tcPr>
            <w:vAlign w:val="center"/>
          </w:tcPr>
          <w:p>
            <w:pPr>
              <w:jc w:val="right"/>
            </w:pPr>
            <w:r>
              <w:rPr>
                <w:color w:val="000000"/>
                <w:sz w:val="24"/>
              </w:rPr>
              <w:t>2,000,000</w:t>
            </w:r>
          </w:p>
        </w:tc>
        <w:tc>
          <w:tcPr>
            <w:vAlign w:val="center"/>
          </w:tcPr>
          <w:p>
            <w:pPr>
              <w:jc w:val="right"/>
            </w:pPr>
            <w:r>
              <w:rPr>
                <w:color w:val="000000"/>
                <w:sz w:val="24"/>
              </w:rPr>
              <w:t>200,379,655.48</w:t>
            </w:r>
          </w:p>
        </w:tc>
        <w:tc>
          <w:tcPr>
            <w:vAlign w:val="center"/>
          </w:tcPr>
          <w:p>
            <w:pPr>
              <w:jc w:val="right"/>
            </w:pPr>
            <w:r>
              <w:rPr>
                <w:color w:val="000000"/>
                <w:sz w:val="24"/>
              </w:rPr>
              <w:t>1.43</w:t>
            </w:r>
          </w:p>
        </w:tc>
      </w:tr>
      <w:tr>
        <w:tc>
          <w:tcPr>
            <w:vAlign w:val="center"/>
          </w:tcPr>
          <w:p>
            <w:pPr>
              <w:jc w:val="center"/>
            </w:pPr>
            <w:r>
              <w:rPr>
                <w:color w:val="000000"/>
                <w:sz w:val="24"/>
              </w:rPr>
              <w:t>2</w:t>
            </w:r>
          </w:p>
        </w:tc>
        <w:tc>
          <w:tcPr>
            <w:vAlign w:val="center"/>
          </w:tcPr>
          <w:p>
            <w:pPr>
              <w:jc w:val="center"/>
            </w:pPr>
            <w:r>
              <w:rPr>
                <w:color w:val="000000"/>
                <w:sz w:val="24"/>
              </w:rPr>
              <w:t>111976870</w:t>
            </w:r>
          </w:p>
        </w:tc>
        <w:tc>
          <w:tcPr>
            <w:vAlign w:val="center"/>
          </w:tcPr>
          <w:p>
            <w:pPr>
              <w:jc w:val="center"/>
            </w:pPr>
            <w:r>
              <w:rPr>
                <w:color w:val="000000"/>
                <w:sz w:val="24"/>
              </w:rPr>
              <w:t>19华融湘江银行CD197</w:t>
            </w:r>
          </w:p>
        </w:tc>
        <w:tc>
          <w:tcPr>
            <w:vAlign w:val="center"/>
          </w:tcPr>
          <w:p>
            <w:pPr>
              <w:jc w:val="right"/>
            </w:pPr>
            <w:r>
              <w:rPr>
                <w:color w:val="000000"/>
                <w:sz w:val="24"/>
              </w:rPr>
              <w:t>2,000,000</w:t>
            </w:r>
          </w:p>
        </w:tc>
        <w:tc>
          <w:tcPr>
            <w:vAlign w:val="center"/>
          </w:tcPr>
          <w:p>
            <w:pPr>
              <w:jc w:val="right"/>
            </w:pPr>
            <w:r>
              <w:rPr>
                <w:color w:val="000000"/>
                <w:sz w:val="24"/>
              </w:rPr>
              <w:t>197,135,068.42</w:t>
            </w:r>
          </w:p>
        </w:tc>
        <w:tc>
          <w:tcPr>
            <w:vAlign w:val="center"/>
          </w:tcPr>
          <w:p>
            <w:pPr>
              <w:jc w:val="right"/>
            </w:pPr>
            <w:r>
              <w:rPr>
                <w:color w:val="000000"/>
                <w:sz w:val="24"/>
              </w:rPr>
              <w:t>1.40</w:t>
            </w:r>
          </w:p>
        </w:tc>
      </w:tr>
      <w:tr>
        <w:tc>
          <w:tcPr>
            <w:vAlign w:val="center"/>
          </w:tcPr>
          <w:p>
            <w:pPr>
              <w:jc w:val="center"/>
            </w:pPr>
            <w:r>
              <w:rPr>
                <w:color w:val="000000"/>
                <w:sz w:val="24"/>
              </w:rPr>
              <w:t>3</w:t>
            </w:r>
          </w:p>
        </w:tc>
        <w:tc>
          <w:tcPr>
            <w:vAlign w:val="center"/>
          </w:tcPr>
          <w:p>
            <w:pPr>
              <w:jc w:val="center"/>
            </w:pPr>
            <w:r>
              <w:rPr>
                <w:color w:val="000000"/>
                <w:sz w:val="24"/>
              </w:rPr>
              <w:t>111977441</w:t>
            </w:r>
          </w:p>
        </w:tc>
        <w:tc>
          <w:tcPr>
            <w:vAlign w:val="center"/>
          </w:tcPr>
          <w:p>
            <w:pPr>
              <w:jc w:val="center"/>
            </w:pPr>
            <w:r>
              <w:rPr>
                <w:color w:val="000000"/>
                <w:sz w:val="24"/>
              </w:rPr>
              <w:t>19昆仑银行CD107</w:t>
            </w:r>
          </w:p>
        </w:tc>
        <w:tc>
          <w:tcPr>
            <w:vAlign w:val="center"/>
          </w:tcPr>
          <w:p>
            <w:pPr>
              <w:jc w:val="right"/>
            </w:pPr>
            <w:r>
              <w:rPr>
                <w:color w:val="000000"/>
                <w:sz w:val="24"/>
              </w:rPr>
              <w:t>2,000,000</w:t>
            </w:r>
          </w:p>
        </w:tc>
        <w:tc>
          <w:tcPr>
            <w:vAlign w:val="center"/>
          </w:tcPr>
          <w:p>
            <w:pPr>
              <w:jc w:val="right"/>
            </w:pPr>
            <w:r>
              <w:rPr>
                <w:color w:val="000000"/>
                <w:sz w:val="24"/>
              </w:rPr>
              <w:t>197,079,867.91</w:t>
            </w:r>
          </w:p>
        </w:tc>
        <w:tc>
          <w:tcPr>
            <w:vAlign w:val="center"/>
          </w:tcPr>
          <w:p>
            <w:pPr>
              <w:jc w:val="right"/>
            </w:pPr>
            <w:r>
              <w:rPr>
                <w:color w:val="000000"/>
                <w:sz w:val="24"/>
              </w:rPr>
              <w:t>1.40</w:t>
            </w:r>
          </w:p>
        </w:tc>
      </w:tr>
      <w:tr>
        <w:tc>
          <w:tcPr>
            <w:vAlign w:val="center"/>
          </w:tcPr>
          <w:p>
            <w:pPr>
              <w:jc w:val="center"/>
            </w:pPr>
            <w:r>
              <w:rPr>
                <w:color w:val="000000"/>
                <w:sz w:val="24"/>
              </w:rPr>
              <w:t>4</w:t>
            </w:r>
          </w:p>
        </w:tc>
        <w:tc>
          <w:tcPr>
            <w:vAlign w:val="center"/>
          </w:tcPr>
          <w:p>
            <w:pPr>
              <w:jc w:val="center"/>
            </w:pPr>
            <w:r>
              <w:rPr>
                <w:color w:val="000000"/>
                <w:sz w:val="24"/>
              </w:rPr>
              <w:t>111921474</w:t>
            </w:r>
          </w:p>
        </w:tc>
        <w:tc>
          <w:tcPr>
            <w:vAlign w:val="center"/>
          </w:tcPr>
          <w:p>
            <w:pPr>
              <w:jc w:val="center"/>
            </w:pPr>
            <w:r>
              <w:rPr>
                <w:color w:val="000000"/>
                <w:sz w:val="24"/>
              </w:rPr>
              <w:t>19渤海银行CD474</w:t>
            </w:r>
          </w:p>
        </w:tc>
        <w:tc>
          <w:tcPr>
            <w:vAlign w:val="center"/>
          </w:tcPr>
          <w:p>
            <w:pPr>
              <w:jc w:val="right"/>
            </w:pPr>
            <w:r>
              <w:rPr>
                <w:color w:val="000000"/>
                <w:sz w:val="24"/>
              </w:rPr>
              <w:t>2,000,000</w:t>
            </w:r>
          </w:p>
        </w:tc>
        <w:tc>
          <w:tcPr>
            <w:vAlign w:val="center"/>
          </w:tcPr>
          <w:p>
            <w:pPr>
              <w:jc w:val="right"/>
            </w:pPr>
            <w:r>
              <w:rPr>
                <w:color w:val="000000"/>
                <w:sz w:val="24"/>
              </w:rPr>
              <w:t>197,072,496.20</w:t>
            </w:r>
          </w:p>
        </w:tc>
        <w:tc>
          <w:tcPr>
            <w:vAlign w:val="center"/>
          </w:tcPr>
          <w:p>
            <w:pPr>
              <w:jc w:val="right"/>
            </w:pPr>
            <w:r>
              <w:rPr>
                <w:color w:val="000000"/>
                <w:sz w:val="24"/>
              </w:rPr>
              <w:t>1.40</w:t>
            </w:r>
          </w:p>
        </w:tc>
      </w:tr>
      <w:tr>
        <w:tc>
          <w:tcPr>
            <w:vAlign w:val="center"/>
          </w:tcPr>
          <w:p>
            <w:pPr>
              <w:jc w:val="center"/>
            </w:pPr>
            <w:r>
              <w:rPr>
                <w:color w:val="000000"/>
                <w:sz w:val="24"/>
              </w:rPr>
              <w:t>5</w:t>
            </w:r>
          </w:p>
        </w:tc>
        <w:tc>
          <w:tcPr>
            <w:vAlign w:val="center"/>
          </w:tcPr>
          <w:p>
            <w:pPr>
              <w:jc w:val="center"/>
            </w:pPr>
            <w:r>
              <w:rPr>
                <w:color w:val="000000"/>
                <w:sz w:val="24"/>
              </w:rPr>
              <w:t>111921479</w:t>
            </w:r>
          </w:p>
        </w:tc>
        <w:tc>
          <w:tcPr>
            <w:vAlign w:val="center"/>
          </w:tcPr>
          <w:p>
            <w:pPr>
              <w:jc w:val="center"/>
            </w:pPr>
            <w:r>
              <w:rPr>
                <w:color w:val="000000"/>
                <w:sz w:val="24"/>
              </w:rPr>
              <w:t>19渤海银行CD479</w:t>
            </w:r>
          </w:p>
        </w:tc>
        <w:tc>
          <w:tcPr>
            <w:vAlign w:val="center"/>
          </w:tcPr>
          <w:p>
            <w:pPr>
              <w:jc w:val="right"/>
            </w:pPr>
            <w:r>
              <w:rPr>
                <w:color w:val="000000"/>
                <w:sz w:val="24"/>
              </w:rPr>
              <w:t>2,000,000</w:t>
            </w:r>
          </w:p>
        </w:tc>
        <w:tc>
          <w:tcPr>
            <w:vAlign w:val="center"/>
          </w:tcPr>
          <w:p>
            <w:pPr>
              <w:jc w:val="right"/>
            </w:pPr>
            <w:r>
              <w:rPr>
                <w:color w:val="000000"/>
                <w:sz w:val="24"/>
              </w:rPr>
              <w:t>197,023,786.30</w:t>
            </w:r>
          </w:p>
        </w:tc>
        <w:tc>
          <w:tcPr>
            <w:vAlign w:val="center"/>
          </w:tcPr>
          <w:p>
            <w:pPr>
              <w:jc w:val="right"/>
            </w:pPr>
            <w:r>
              <w:rPr>
                <w:color w:val="000000"/>
                <w:sz w:val="24"/>
              </w:rPr>
              <w:t>1.40</w:t>
            </w:r>
          </w:p>
        </w:tc>
      </w:tr>
      <w:tr>
        <w:tc>
          <w:tcPr>
            <w:vAlign w:val="center"/>
          </w:tcPr>
          <w:p>
            <w:pPr>
              <w:jc w:val="center"/>
            </w:pPr>
            <w:r>
              <w:rPr>
                <w:color w:val="000000"/>
                <w:sz w:val="24"/>
              </w:rPr>
              <w:t>6</w:t>
            </w:r>
          </w:p>
        </w:tc>
        <w:tc>
          <w:tcPr>
            <w:vAlign w:val="center"/>
          </w:tcPr>
          <w:p>
            <w:pPr>
              <w:jc w:val="center"/>
            </w:pPr>
            <w:r>
              <w:rPr>
                <w:color w:val="000000"/>
                <w:sz w:val="24"/>
              </w:rPr>
              <w:t>111921482</w:t>
            </w:r>
          </w:p>
        </w:tc>
        <w:tc>
          <w:tcPr>
            <w:vAlign w:val="center"/>
          </w:tcPr>
          <w:p>
            <w:pPr>
              <w:jc w:val="center"/>
            </w:pPr>
            <w:r>
              <w:rPr>
                <w:color w:val="000000"/>
                <w:sz w:val="24"/>
              </w:rPr>
              <w:t>19渤海银行CD482</w:t>
            </w:r>
          </w:p>
        </w:tc>
        <w:tc>
          <w:tcPr>
            <w:vAlign w:val="center"/>
          </w:tcPr>
          <w:p>
            <w:pPr>
              <w:jc w:val="right"/>
            </w:pPr>
            <w:r>
              <w:rPr>
                <w:color w:val="000000"/>
                <w:sz w:val="24"/>
              </w:rPr>
              <w:t>2,000,000</w:t>
            </w:r>
          </w:p>
        </w:tc>
        <w:tc>
          <w:tcPr>
            <w:vAlign w:val="center"/>
          </w:tcPr>
          <w:p>
            <w:pPr>
              <w:jc w:val="right"/>
            </w:pPr>
            <w:r>
              <w:rPr>
                <w:color w:val="000000"/>
                <w:sz w:val="24"/>
              </w:rPr>
              <w:t>197,004,132.23</w:t>
            </w:r>
          </w:p>
        </w:tc>
        <w:tc>
          <w:tcPr>
            <w:vAlign w:val="center"/>
          </w:tcPr>
          <w:p>
            <w:pPr>
              <w:jc w:val="right"/>
            </w:pPr>
            <w:r>
              <w:rPr>
                <w:color w:val="000000"/>
                <w:sz w:val="24"/>
              </w:rPr>
              <w:t>1.40</w:t>
            </w:r>
          </w:p>
        </w:tc>
      </w:tr>
      <w:tr>
        <w:tc>
          <w:tcPr>
            <w:vAlign w:val="center"/>
          </w:tcPr>
          <w:p>
            <w:pPr>
              <w:jc w:val="center"/>
            </w:pPr>
            <w:r>
              <w:rPr>
                <w:color w:val="000000"/>
                <w:sz w:val="24"/>
              </w:rPr>
              <w:t>7</w:t>
            </w:r>
          </w:p>
        </w:tc>
        <w:tc>
          <w:tcPr>
            <w:vAlign w:val="center"/>
          </w:tcPr>
          <w:p>
            <w:pPr>
              <w:jc w:val="center"/>
            </w:pPr>
            <w:r>
              <w:rPr>
                <w:color w:val="000000"/>
                <w:sz w:val="24"/>
              </w:rPr>
              <w:t>111977823</w:t>
            </w:r>
          </w:p>
        </w:tc>
        <w:tc>
          <w:tcPr>
            <w:vAlign w:val="center"/>
          </w:tcPr>
          <w:p>
            <w:pPr>
              <w:jc w:val="center"/>
            </w:pPr>
            <w:r>
              <w:rPr>
                <w:color w:val="000000"/>
                <w:sz w:val="24"/>
              </w:rPr>
              <w:t>19甘肃银行CD109</w:t>
            </w:r>
          </w:p>
        </w:tc>
        <w:tc>
          <w:tcPr>
            <w:vAlign w:val="center"/>
          </w:tcPr>
          <w:p>
            <w:pPr>
              <w:jc w:val="right"/>
            </w:pPr>
            <w:r>
              <w:rPr>
                <w:color w:val="000000"/>
                <w:sz w:val="24"/>
              </w:rPr>
              <w:t>2,000,000</w:t>
            </w:r>
          </w:p>
        </w:tc>
        <w:tc>
          <w:tcPr>
            <w:vAlign w:val="center"/>
          </w:tcPr>
          <w:p>
            <w:pPr>
              <w:jc w:val="right"/>
            </w:pPr>
            <w:r>
              <w:rPr>
                <w:color w:val="000000"/>
                <w:sz w:val="24"/>
              </w:rPr>
              <w:t>195,247,928.12</w:t>
            </w:r>
          </w:p>
        </w:tc>
        <w:tc>
          <w:tcPr>
            <w:vAlign w:val="center"/>
          </w:tcPr>
          <w:p>
            <w:pPr>
              <w:jc w:val="right"/>
            </w:pPr>
            <w:r>
              <w:rPr>
                <w:color w:val="000000"/>
                <w:sz w:val="24"/>
              </w:rPr>
              <w:t>1.39</w:t>
            </w:r>
          </w:p>
        </w:tc>
      </w:tr>
      <w:tr>
        <w:tc>
          <w:tcPr>
            <w:vAlign w:val="center"/>
          </w:tcPr>
          <w:p>
            <w:pPr>
              <w:jc w:val="center"/>
            </w:pPr>
            <w:r>
              <w:rPr>
                <w:color w:val="000000"/>
                <w:sz w:val="24"/>
              </w:rPr>
              <w:t>8</w:t>
            </w:r>
          </w:p>
        </w:tc>
        <w:tc>
          <w:tcPr>
            <w:vAlign w:val="center"/>
          </w:tcPr>
          <w:p>
            <w:pPr>
              <w:jc w:val="center"/>
            </w:pPr>
            <w:r>
              <w:rPr>
                <w:color w:val="000000"/>
                <w:sz w:val="24"/>
              </w:rPr>
              <w:t>111976500</w:t>
            </w:r>
          </w:p>
        </w:tc>
        <w:tc>
          <w:tcPr>
            <w:vAlign w:val="center"/>
          </w:tcPr>
          <w:p>
            <w:pPr>
              <w:jc w:val="center"/>
            </w:pPr>
            <w:r>
              <w:rPr>
                <w:color w:val="000000"/>
                <w:sz w:val="24"/>
              </w:rPr>
              <w:t>19恒生银行CD037</w:t>
            </w:r>
          </w:p>
        </w:tc>
        <w:tc>
          <w:tcPr>
            <w:vAlign w:val="center"/>
          </w:tcPr>
          <w:p>
            <w:pPr>
              <w:jc w:val="right"/>
            </w:pPr>
            <w:r>
              <w:rPr>
                <w:color w:val="000000"/>
                <w:sz w:val="24"/>
              </w:rPr>
              <w:t>1,500,000</w:t>
            </w:r>
          </w:p>
        </w:tc>
        <w:tc>
          <w:tcPr>
            <w:vAlign w:val="center"/>
          </w:tcPr>
          <w:p>
            <w:pPr>
              <w:jc w:val="right"/>
            </w:pPr>
            <w:r>
              <w:rPr>
                <w:color w:val="000000"/>
                <w:sz w:val="24"/>
              </w:rPr>
              <w:t>149,038,641.14</w:t>
            </w:r>
          </w:p>
        </w:tc>
        <w:tc>
          <w:tcPr>
            <w:vAlign w:val="center"/>
          </w:tcPr>
          <w:p>
            <w:pPr>
              <w:jc w:val="right"/>
            </w:pPr>
            <w:r>
              <w:rPr>
                <w:color w:val="000000"/>
                <w:sz w:val="24"/>
              </w:rPr>
              <w:t>1.06</w:t>
            </w:r>
          </w:p>
        </w:tc>
      </w:tr>
      <w:tr>
        <w:tc>
          <w:tcPr>
            <w:vAlign w:val="center"/>
          </w:tcPr>
          <w:p>
            <w:pPr>
              <w:jc w:val="center"/>
            </w:pPr>
            <w:r>
              <w:rPr>
                <w:color w:val="000000"/>
                <w:sz w:val="24"/>
              </w:rPr>
              <w:t>9</w:t>
            </w:r>
          </w:p>
        </w:tc>
        <w:tc>
          <w:tcPr>
            <w:vAlign w:val="center"/>
          </w:tcPr>
          <w:p>
            <w:pPr>
              <w:jc w:val="center"/>
            </w:pPr>
            <w:r>
              <w:rPr>
                <w:color w:val="000000"/>
                <w:sz w:val="24"/>
              </w:rPr>
              <w:t>190302</w:t>
            </w:r>
          </w:p>
        </w:tc>
        <w:tc>
          <w:tcPr>
            <w:vAlign w:val="center"/>
          </w:tcPr>
          <w:p>
            <w:pPr>
              <w:jc w:val="center"/>
            </w:pPr>
            <w:r>
              <w:rPr>
                <w:color w:val="000000"/>
                <w:sz w:val="24"/>
              </w:rPr>
              <w:t>19进出02</w:t>
            </w:r>
          </w:p>
        </w:tc>
        <w:tc>
          <w:tcPr>
            <w:vAlign w:val="center"/>
          </w:tcPr>
          <w:p>
            <w:pPr>
              <w:jc w:val="right"/>
            </w:pPr>
            <w:r>
              <w:rPr>
                <w:color w:val="000000"/>
                <w:sz w:val="24"/>
              </w:rPr>
              <w:t>1,400,000</w:t>
            </w:r>
          </w:p>
        </w:tc>
        <w:tc>
          <w:tcPr>
            <w:vAlign w:val="center"/>
          </w:tcPr>
          <w:p>
            <w:pPr>
              <w:jc w:val="right"/>
            </w:pPr>
            <w:r>
              <w:rPr>
                <w:color w:val="000000"/>
                <w:sz w:val="24"/>
              </w:rPr>
              <w:t>139,985,365.90</w:t>
            </w:r>
          </w:p>
        </w:tc>
        <w:tc>
          <w:tcPr>
            <w:vAlign w:val="center"/>
          </w:tcPr>
          <w:p>
            <w:pPr>
              <w:jc w:val="right"/>
            </w:pPr>
            <w:r>
              <w:rPr>
                <w:color w:val="000000"/>
                <w:sz w:val="24"/>
              </w:rPr>
              <w:t>1.00</w:t>
            </w:r>
          </w:p>
        </w:tc>
      </w:tr>
      <w:tr>
        <w:tc>
          <w:tcPr>
            <w:vAlign w:val="center"/>
          </w:tcPr>
          <w:p>
            <w:pPr>
              <w:jc w:val="center"/>
            </w:pPr>
            <w:r>
              <w:rPr>
                <w:color w:val="000000"/>
                <w:sz w:val="24"/>
              </w:rPr>
              <w:t>10</w:t>
            </w:r>
          </w:p>
        </w:tc>
        <w:tc>
          <w:tcPr>
            <w:vAlign w:val="center"/>
          </w:tcPr>
          <w:p>
            <w:pPr>
              <w:jc w:val="center"/>
            </w:pPr>
            <w:r>
              <w:rPr>
                <w:color w:val="000000"/>
                <w:sz w:val="24"/>
              </w:rPr>
              <w:t>190402</w:t>
            </w:r>
          </w:p>
        </w:tc>
        <w:tc>
          <w:tcPr>
            <w:vAlign w:val="center"/>
          </w:tcPr>
          <w:p>
            <w:pPr>
              <w:jc w:val="center"/>
            </w:pPr>
            <w:r>
              <w:rPr>
                <w:color w:val="000000"/>
                <w:sz w:val="24"/>
              </w:rPr>
              <w:t>19农发02</w:t>
            </w:r>
          </w:p>
        </w:tc>
        <w:tc>
          <w:tcPr>
            <w:vAlign w:val="center"/>
          </w:tcPr>
          <w:p>
            <w:pPr>
              <w:jc w:val="right"/>
            </w:pPr>
            <w:r>
              <w:rPr>
                <w:color w:val="000000"/>
                <w:sz w:val="24"/>
              </w:rPr>
              <w:t>1,300,000</w:t>
            </w:r>
          </w:p>
        </w:tc>
        <w:tc>
          <w:tcPr>
            <w:vAlign w:val="center"/>
          </w:tcPr>
          <w:p>
            <w:pPr>
              <w:jc w:val="right"/>
            </w:pPr>
            <w:r>
              <w:rPr>
                <w:color w:val="000000"/>
                <w:sz w:val="24"/>
              </w:rPr>
              <w:t>129,960,071.24</w:t>
            </w:r>
          </w:p>
        </w:tc>
        <w:tc>
          <w:tcPr>
            <w:vAlign w:val="center"/>
          </w:tcPr>
          <w:p>
            <w:pPr>
              <w:jc w:val="right"/>
            </w:pPr>
            <w:r>
              <w:rPr>
                <w:color w:val="000000"/>
                <w:sz w:val="24"/>
              </w:rPr>
              <w:t>0.92</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0.0196%</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-0.0045%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0.0057%</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1989480</w:t>
            </w:r>
          </w:p>
        </w:tc>
        <w:tc>
          <w:tcPr>
            <w:vAlign w:val="center"/>
          </w:tcPr>
          <w:p>
            <w:pPr>
              <w:jc w:val="center"/>
            </w:pPr>
            <w:r>
              <w:rPr>
                <w:color w:val="000000"/>
                <w:sz w:val="24"/>
              </w:rPr>
              <w:t>19上和4A1</w:t>
            </w:r>
          </w:p>
        </w:tc>
        <w:tc>
          <w:tcPr>
            <w:vAlign w:val="center"/>
          </w:tcPr>
          <w:p>
            <w:pPr>
              <w:jc w:val="right"/>
            </w:pPr>
            <w:r>
              <w:rPr>
                <w:color w:val="000000"/>
                <w:sz w:val="24"/>
              </w:rPr>
              <w:t>500,000</w:t>
            </w:r>
          </w:p>
        </w:tc>
        <w:tc>
          <w:tcPr>
            <w:vAlign w:val="center"/>
          </w:tcPr>
          <w:p>
            <w:pPr>
              <w:jc w:val="right"/>
            </w:pPr>
            <w:r>
              <w:rPr>
                <w:color w:val="000000"/>
                <w:sz w:val="24"/>
              </w:rPr>
              <w:t>50,015,000.00</w:t>
            </w:r>
          </w:p>
        </w:tc>
        <w:tc>
          <w:tcPr>
            <w:vAlign w:val="center"/>
          </w:tcPr>
          <w:p>
            <w:pPr>
              <w:jc w:val="right"/>
            </w:pPr>
            <w:r>
              <w:rPr>
                <w:color w:val="000000"/>
                <w:sz w:val="24"/>
              </w:rPr>
              <w:t>0.36</w:t>
            </w:r>
          </w:p>
        </w:tc>
      </w:tr>
      <w:tr>
        <w:tc>
          <w:tcPr>
            <w:vAlign w:val="center"/>
          </w:tcPr>
          <w:p>
            <w:pPr>
              <w:jc w:val="center"/>
            </w:pPr>
            <w:r>
              <w:rPr>
                <w:color w:val="000000"/>
                <w:sz w:val="24"/>
              </w:rPr>
              <w:t>2</w:t>
            </w:r>
          </w:p>
        </w:tc>
        <w:tc>
          <w:tcPr>
            <w:vAlign w:val="center"/>
          </w:tcPr>
          <w:p>
            <w:pPr>
              <w:jc w:val="center"/>
            </w:pPr>
            <w:r>
              <w:rPr>
                <w:color w:val="000000"/>
                <w:sz w:val="24"/>
              </w:rPr>
              <w:t>165334</w:t>
            </w:r>
          </w:p>
        </w:tc>
        <w:tc>
          <w:tcPr>
            <w:vAlign w:val="center"/>
          </w:tcPr>
          <w:p>
            <w:pPr>
              <w:jc w:val="center"/>
            </w:pPr>
            <w:r>
              <w:rPr>
                <w:color w:val="000000"/>
                <w:sz w:val="24"/>
              </w:rPr>
              <w:t>信泽06A1</w:t>
            </w:r>
          </w:p>
        </w:tc>
        <w:tc>
          <w:tcPr>
            <w:vAlign w:val="center"/>
          </w:tcPr>
          <w:p>
            <w:pPr>
              <w:jc w:val="right"/>
            </w:pPr>
            <w:r>
              <w:rPr>
                <w:color w:val="000000"/>
                <w:sz w:val="24"/>
              </w:rPr>
              <w:t>300,000</w:t>
            </w:r>
          </w:p>
        </w:tc>
        <w:tc>
          <w:tcPr>
            <w:vAlign w:val="center"/>
          </w:tcPr>
          <w:p>
            <w:pPr>
              <w:jc w:val="right"/>
            </w:pPr>
            <w:r>
              <w:rPr>
                <w:color w:val="000000"/>
                <w:sz w:val="24"/>
              </w:rPr>
              <w:t>30,018,000.00</w:t>
            </w:r>
          </w:p>
        </w:tc>
        <w:tc>
          <w:tcPr>
            <w:vAlign w:val="center"/>
          </w:tcPr>
          <w:p>
            <w:pPr>
              <w:jc w:val="right"/>
            </w:pPr>
            <w:r>
              <w:rPr>
                <w:color w:val="000000"/>
                <w:sz w:val="24"/>
              </w:rPr>
              <w:t>0.21</w:t>
            </w:r>
          </w:p>
        </w:tc>
      </w:tr>
      <w:tr>
        <w:tc>
          <w:tcPr>
            <w:vAlign w:val="center"/>
          </w:tcPr>
          <w:p>
            <w:pPr>
              <w:jc w:val="center"/>
            </w:pPr>
            <w:r>
              <w:rPr>
                <w:color w:val="000000"/>
                <w:sz w:val="24"/>
              </w:rPr>
              <w:t>3</w:t>
            </w:r>
          </w:p>
        </w:tc>
        <w:tc>
          <w:tcPr>
            <w:vAlign w:val="center"/>
          </w:tcPr>
          <w:p>
            <w:pPr>
              <w:jc w:val="center"/>
            </w:pPr>
            <w:r>
              <w:rPr>
                <w:color w:val="000000"/>
                <w:sz w:val="24"/>
              </w:rPr>
              <w:t>138222</w:t>
            </w:r>
          </w:p>
        </w:tc>
        <w:tc>
          <w:tcPr>
            <w:vAlign w:val="center"/>
          </w:tcPr>
          <w:p>
            <w:pPr>
              <w:jc w:val="center"/>
            </w:pPr>
            <w:r>
              <w:rPr>
                <w:color w:val="000000"/>
                <w:sz w:val="24"/>
              </w:rPr>
              <w:t>煦日03A1</w:t>
            </w:r>
          </w:p>
        </w:tc>
        <w:tc>
          <w:tcPr>
            <w:vAlign w:val="center"/>
          </w:tcPr>
          <w:p>
            <w:pPr>
              <w:jc w:val="right"/>
            </w:pPr>
            <w:r>
              <w:rPr>
                <w:color w:val="000000"/>
                <w:sz w:val="24"/>
              </w:rPr>
              <w:t>200,000</w:t>
            </w:r>
          </w:p>
        </w:tc>
        <w:tc>
          <w:tcPr>
            <w:vAlign w:val="center"/>
          </w:tcPr>
          <w:p>
            <w:pPr>
              <w:jc w:val="right"/>
            </w:pPr>
            <w:r>
              <w:rPr>
                <w:color w:val="000000"/>
                <w:sz w:val="24"/>
              </w:rPr>
              <w:t>20,018,000.00</w:t>
            </w:r>
          </w:p>
        </w:tc>
        <w:tc>
          <w:tcPr>
            <w:vAlign w:val="center"/>
          </w:tcPr>
          <w:p>
            <w:pPr>
              <w:jc w:val="right"/>
            </w:pPr>
            <w:r>
              <w:rPr>
                <w:color w:val="000000"/>
                <w:sz w:val="24"/>
              </w:rPr>
              <w:t>0.14</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47,589,001.30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152,500.00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47,741,501.30</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交银天鑫宝货币A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交银天鑫宝货币E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16,809,299.89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7,630,611,356.39</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1,731,671.32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12,988,730,596.96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6,224,985.20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6,577,281,185.43</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12,315,986.01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14,042,060,767.92</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申购</w:t>
            </w:r>
          </w:p>
        </w:tc>
        <w:tc>
          <w:tcPr>
            <w:vAlign w:val="center"/>
          </w:tcPr>
          <w:p>
            <w:pPr>
              <w:jc w:val="center"/>
            </w:pPr>
            <w:r>
              <w:rPr>
                <w:color w:val="000000"/>
                <w:sz w:val="24"/>
              </w:rPr>
              <w:t>2019-10-24</w:t>
            </w:r>
          </w:p>
        </w:tc>
        <w:tc>
          <w:tcPr>
            <w:vAlign w:val="center"/>
          </w:tcPr>
          <w:p>
            <w:pPr>
              <w:jc w:val="right"/>
            </w:pPr>
            <w:r>
              <w:rPr>
                <w:color w:val="000000"/>
                <w:sz w:val="24"/>
              </w:rPr>
              <w:t>100,000,000.00</w:t>
            </w:r>
          </w:p>
        </w:tc>
        <w:tc>
          <w:tcPr>
            <w:vAlign w:val="center"/>
          </w:tcPr>
          <w:p>
            <w:pPr>
              <w:jc w:val="right"/>
            </w:pPr>
            <w:r>
              <w:rPr>
                <w:color w:val="000000"/>
                <w:sz w:val="24"/>
              </w:rPr>
              <w:t>100,000,000.00</w:t>
            </w:r>
          </w:p>
        </w:tc>
        <w:tc>
          <w:tcPr>
            <w:vAlign w:val="center"/>
          </w:tcPr>
          <w:p>
            <w:pPr>
              <w:jc w:val="center"/>
            </w:pPr>
            <w:r>
              <w:rPr>
                <w:color w:val="000000"/>
                <w:sz w:val="24"/>
              </w:rPr>
              <w:t>-</w:t>
            </w:r>
          </w:p>
        </w:tc>
      </w:tr>
      <w:tr>
        <w:tc>
          <w:tcPr>
            <w:vAlign w:val="center"/>
          </w:tcPr>
          <w:p>
            <w:pPr>
              <w:jc w:val="center"/>
            </w:pPr>
            <w:r>
              <w:rPr>
                <w:color w:val="000000"/>
                <w:sz w:val="24"/>
              </w:rPr>
              <w:t>2</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530,775.92</w:t>
            </w:r>
          </w:p>
        </w:tc>
        <w:tc>
          <w:tcPr>
            <w:vAlign w:val="center"/>
          </w:tcPr>
          <w:p>
            <w:pPr>
              <w:jc w:val="right"/>
            </w:pPr>
            <w:r>
              <w:rPr>
                <w:color w:val="000000"/>
                <w:sz w:val="24"/>
              </w:rPr>
              <w:t>530,775.92</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100,530,775.92</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100,530,775.92</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注：1、本基金管理人本报告期末持有本基金A类份额0.00份，占本基金期末A类基金总份额的0.00%；本基金管理人本报告期末持有本基金E类份额100,530,775.92份，占本基金期末E类基金总份额的0.72%。</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1、中国证监会准予交银施罗德天鑫宝货币市场基金募集注册的文件； </w:t>
      </w:r>
    </w:p>
    <w:p>
      <w:pPr>
        <w:spacing w:before="29" w:line="288" w:lineRule="auto"/>
        <w:ind w:firstLine="480" w:firstLineChars="200"/>
        <w:rPr>
          <w:color w:val="000000"/>
          <w:sz w:val="24"/>
        </w:rPr>
      </w:pPr>
      <w:r>
        <w:rPr>
          <w:color w:val="000000"/>
          <w:sz w:val="24"/>
        </w:rPr>
        <w:t xml:space="preserve">2、《交银施罗德天鑫宝货币市场基金基金合同》； </w:t>
      </w:r>
    </w:p>
    <w:p>
      <w:pPr>
        <w:spacing w:before="29" w:line="288" w:lineRule="auto"/>
        <w:ind w:firstLine="480" w:firstLineChars="200"/>
        <w:rPr>
          <w:color w:val="000000"/>
          <w:sz w:val="24"/>
        </w:rPr>
      </w:pPr>
      <w:r>
        <w:rPr>
          <w:color w:val="000000"/>
          <w:sz w:val="24"/>
        </w:rPr>
        <w:t xml:space="preserve">3、《交银施罗德天鑫宝货币市场基金招募说明书》； </w:t>
      </w:r>
    </w:p>
    <w:p>
      <w:pPr>
        <w:spacing w:before="29" w:line="288" w:lineRule="auto"/>
        <w:ind w:firstLine="480" w:firstLineChars="200"/>
        <w:rPr>
          <w:color w:val="000000"/>
          <w:sz w:val="24"/>
        </w:rPr>
      </w:pPr>
      <w:r>
        <w:rPr>
          <w:color w:val="000000"/>
          <w:sz w:val="24"/>
        </w:rPr>
        <w:t xml:space="preserve">4、《交银施罗德天鑫宝货币市场基金托管协议》； </w:t>
      </w:r>
    </w:p>
    <w:p>
      <w:pPr>
        <w:spacing w:before="29" w:line="288" w:lineRule="auto"/>
        <w:ind w:firstLine="480" w:firstLineChars="200"/>
        <w:rPr>
          <w:color w:val="000000"/>
          <w:sz w:val="24"/>
        </w:rPr>
      </w:pPr>
      <w:r>
        <w:rPr>
          <w:color w:val="000000"/>
          <w:sz w:val="24"/>
        </w:rPr>
        <w:t xml:space="preserve">5、关于申请募集注册交银施罗德天鑫宝货币市场基金的法律意见书；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8、报告期内交银施罗德天鑫宝货币市场基金在指定报刊上各项公告的原稿。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交银施罗德天鑫宝货币市场基金2019年第4季度报告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