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交银施罗德中债</w:t>
      </w:r>
      <w:r w:rsidRPr="005858C2">
        <w:rPr>
          <w:rFonts w:eastAsiaTheme="minorEastAsia"/>
          <w:b/>
          <w:sz w:val="36"/>
          <w:szCs w:val="36"/>
        </w:rPr>
        <w:t>1-3</w:t>
      </w:r>
      <w:r w:rsidRPr="005858C2">
        <w:rPr>
          <w:rFonts w:eastAsiaTheme="minorEastAsia"/>
          <w:b/>
          <w:sz w:val="36"/>
          <w:szCs w:val="36"/>
        </w:rPr>
        <w:t>年农发行债券指数证券投资基金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中国光大银行股份有限公司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基金托管人中国光大银行股份有限公司根据本基金合同规定，于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交银中债</w:t>
            </w:r>
            <w:r w:rsidRPr="007F52FA">
              <w:rPr>
                <w:color w:val="000000"/>
                <w:kern w:val="0"/>
                <w:sz w:val="24"/>
              </w:rPr>
              <w:t>1-3</w:t>
            </w:r>
            <w:r w:rsidRPr="007F52FA">
              <w:rPr>
                <w:color w:val="000000"/>
                <w:kern w:val="0"/>
                <w:sz w:val="24"/>
              </w:rPr>
              <w:t>年农发债指数</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006745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7,496,295,856.26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本基金通过指数化投资，争取在扣除各项费用之前获得与标的指数相似的总回报，追求跟踪偏离度及跟踪误差的最小化。</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w:t>
            </w:r>
            <w:r w:rsidRPr="007F52FA">
              <w:rPr>
                <w:color w:val="000000"/>
                <w:kern w:val="0"/>
                <w:sz w:val="24"/>
              </w:rPr>
              <w:t>1-3</w:t>
            </w:r>
            <w:r w:rsidRPr="007F52FA">
              <w:rPr>
                <w:color w:val="000000"/>
                <w:kern w:val="0"/>
                <w:sz w:val="24"/>
              </w:rPr>
              <w:t>年农发行债券指数收益率</w:t>
            </w:r>
            <w:r w:rsidRPr="007F52FA">
              <w:rPr>
                <w:color w:val="000000"/>
                <w:kern w:val="0"/>
                <w:sz w:val="24"/>
              </w:rPr>
              <w:t>*95%+</w:t>
            </w:r>
            <w:r w:rsidRPr="007F52FA">
              <w:rPr>
                <w:color w:val="000000"/>
                <w:kern w:val="0"/>
                <w:sz w:val="24"/>
              </w:rPr>
              <w:t>银行活期存款利率（税后）</w:t>
            </w:r>
            <w:r w:rsidRPr="007F52FA">
              <w:rPr>
                <w:color w:val="000000"/>
                <w:kern w:val="0"/>
                <w:sz w:val="24"/>
              </w:rPr>
              <w:t>*5%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本基金是一只债券型基金，其预期风险与预期收益高于货币市场基金，低于混合型基金和股票型基金。本基金为指数型基金，主要采用抽样复制和动态最优化的方法</w:t>
            </w:r>
            <w:r w:rsidRPr="007F52FA">
              <w:rPr>
                <w:color w:val="000000"/>
                <w:kern w:val="0"/>
                <w:sz w:val="24"/>
              </w:rPr>
              <w:lastRenderedPageBreak/>
              <w:t>跟踪标的指数的表现，具有与标的指数、以及标的指数所代表的债券市场相似的风险收益特征。</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中国光大银行股份有限公司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006745</w:t>
            </w:r>
          </w:p>
        </w:tc>
        <w:tc>
          <w:tcPr>
            <w:tcW w:w="3048" w:type="dxa"/>
            <w:vAlign w:val="center"/>
          </w:tcPr>
          <w:p w:rsidR="00C23B30" w:rsidRPr="000E4C40" w:rsidRDefault="00C23B30" w:rsidP="00A52A9E">
            <w:pPr>
              <w:spacing w:before="29" w:line="288" w:lineRule="auto"/>
              <w:jc w:val="left"/>
              <w:rPr>
                <w:sz w:val="24"/>
              </w:rPr>
            </w:pPr>
            <w:r w:rsidRPr="000E4C40">
              <w:rPr>
                <w:sz w:val="24"/>
              </w:rPr>
              <w:t>006746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7,496,295,856.26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58,793,300.60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70,506,070.60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7,712,124,844.44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F1424F" w:rsidRDefault="00986F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F1424F" w:rsidRDefault="00986F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F1424F" w:rsidRDefault="00986F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3</w:t>
      </w:r>
      <w:r>
        <w:rPr>
          <w:rFonts w:eastAsiaTheme="minorEastAsia"/>
          <w:color w:val="000000"/>
          <w:sz w:val="24"/>
        </w:rPr>
        <w:t>、本基金</w:t>
      </w:r>
      <w:r>
        <w:rPr>
          <w:rFonts w:eastAsiaTheme="minorEastAsia"/>
          <w:color w:val="000000"/>
          <w:sz w:val="24"/>
        </w:rPr>
        <w:t>C</w:t>
      </w:r>
      <w:r>
        <w:rPr>
          <w:rFonts w:eastAsiaTheme="minorEastAsia"/>
          <w:color w:val="000000"/>
          <w:sz w:val="24"/>
        </w:rPr>
        <w:t>类份额为</w:t>
      </w:r>
      <w:r>
        <w:rPr>
          <w:rFonts w:eastAsiaTheme="minorEastAsia"/>
          <w:color w:val="000000"/>
          <w:sz w:val="24"/>
        </w:rPr>
        <w:t>0</w:t>
      </w:r>
      <w:r>
        <w:rPr>
          <w:rFonts w:eastAsiaTheme="minorEastAsia"/>
          <w:color w:val="000000"/>
          <w:sz w:val="24"/>
        </w:rPr>
        <w:t>。</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lastRenderedPageBreak/>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交银中债</w:t>
      </w:r>
      <w:r w:rsidR="00A5643A" w:rsidRPr="007F52FA">
        <w:rPr>
          <w:b/>
          <w:color w:val="000000"/>
          <w:kern w:val="0"/>
          <w:sz w:val="24"/>
        </w:rPr>
        <w:t>1-3</w:t>
      </w:r>
      <w:r w:rsidR="00A5643A" w:rsidRPr="007F52FA">
        <w:rPr>
          <w:b/>
          <w:color w:val="000000"/>
          <w:kern w:val="0"/>
          <w:sz w:val="24"/>
        </w:rPr>
        <w:t>年农发债指数</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1424F">
        <w:trPr>
          <w:jc w:val="center"/>
        </w:trPr>
        <w:tc>
          <w:tcPr>
            <w:tcW w:w="1266" w:type="dxa"/>
            <w:vAlign w:val="center"/>
          </w:tcPr>
          <w:p w:rsidR="00F1424F" w:rsidRDefault="00986FFF">
            <w:pPr>
              <w:jc w:val="left"/>
            </w:pPr>
            <w:r>
              <w:rPr>
                <w:color w:val="000000"/>
                <w:sz w:val="24"/>
              </w:rPr>
              <w:t>过去三个月</w:t>
            </w:r>
          </w:p>
        </w:tc>
        <w:tc>
          <w:tcPr>
            <w:tcW w:w="1267" w:type="dxa"/>
            <w:vAlign w:val="center"/>
          </w:tcPr>
          <w:p w:rsidR="00F1424F" w:rsidRDefault="00986FFF">
            <w:pPr>
              <w:jc w:val="center"/>
            </w:pPr>
            <w:r>
              <w:rPr>
                <w:color w:val="000000"/>
                <w:sz w:val="24"/>
              </w:rPr>
              <w:t>1.02%</w:t>
            </w:r>
          </w:p>
        </w:tc>
        <w:tc>
          <w:tcPr>
            <w:tcW w:w="1267" w:type="dxa"/>
            <w:vAlign w:val="center"/>
          </w:tcPr>
          <w:p w:rsidR="00F1424F" w:rsidRDefault="00986FFF">
            <w:pPr>
              <w:jc w:val="center"/>
            </w:pPr>
            <w:r>
              <w:rPr>
                <w:color w:val="000000"/>
                <w:sz w:val="24"/>
              </w:rPr>
              <w:t>0.03%</w:t>
            </w:r>
          </w:p>
        </w:tc>
        <w:tc>
          <w:tcPr>
            <w:tcW w:w="1267" w:type="dxa"/>
            <w:vAlign w:val="center"/>
          </w:tcPr>
          <w:p w:rsidR="00F1424F" w:rsidRDefault="00986FFF">
            <w:pPr>
              <w:jc w:val="center"/>
            </w:pPr>
            <w:r>
              <w:rPr>
                <w:color w:val="000000"/>
                <w:sz w:val="24"/>
              </w:rPr>
              <w:t>0.83%</w:t>
            </w:r>
          </w:p>
        </w:tc>
        <w:tc>
          <w:tcPr>
            <w:tcW w:w="1267" w:type="dxa"/>
            <w:vAlign w:val="center"/>
          </w:tcPr>
          <w:p w:rsidR="00F1424F" w:rsidRDefault="00986FFF">
            <w:pPr>
              <w:jc w:val="center"/>
            </w:pPr>
            <w:r>
              <w:rPr>
                <w:color w:val="000000"/>
                <w:sz w:val="24"/>
              </w:rPr>
              <w:t>0.03%</w:t>
            </w:r>
          </w:p>
        </w:tc>
        <w:tc>
          <w:tcPr>
            <w:tcW w:w="1267" w:type="dxa"/>
            <w:vAlign w:val="center"/>
          </w:tcPr>
          <w:p w:rsidR="00F1424F" w:rsidRDefault="00986FFF">
            <w:pPr>
              <w:jc w:val="center"/>
            </w:pPr>
            <w:r>
              <w:rPr>
                <w:color w:val="000000"/>
                <w:sz w:val="24"/>
              </w:rPr>
              <w:t>0.19%</w:t>
            </w:r>
          </w:p>
        </w:tc>
        <w:tc>
          <w:tcPr>
            <w:tcW w:w="1267" w:type="dxa"/>
            <w:vAlign w:val="center"/>
          </w:tcPr>
          <w:p w:rsidR="00F1424F" w:rsidRDefault="00986FFF">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交银中债</w:t>
      </w:r>
      <w:r w:rsidR="00FE7FBD" w:rsidRPr="007F52FA">
        <w:rPr>
          <w:b/>
          <w:color w:val="000000"/>
          <w:kern w:val="0"/>
          <w:sz w:val="24"/>
        </w:rPr>
        <w:t>1-3</w:t>
      </w:r>
      <w:r w:rsidR="00FE7FBD" w:rsidRPr="007F52FA">
        <w:rPr>
          <w:b/>
          <w:color w:val="000000"/>
          <w:kern w:val="0"/>
          <w:sz w:val="24"/>
        </w:rPr>
        <w:t>年农发债指数</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1424F">
        <w:trPr>
          <w:jc w:val="center"/>
        </w:trPr>
        <w:tc>
          <w:tcPr>
            <w:tcW w:w="1266" w:type="dxa"/>
            <w:vAlign w:val="center"/>
          </w:tcPr>
          <w:p w:rsidR="00F1424F" w:rsidRDefault="00986FFF">
            <w:pPr>
              <w:jc w:val="left"/>
            </w:pPr>
            <w:r>
              <w:rPr>
                <w:color w:val="000000"/>
                <w:sz w:val="24"/>
              </w:rPr>
              <w:t>过去三个月</w:t>
            </w:r>
          </w:p>
        </w:tc>
        <w:tc>
          <w:tcPr>
            <w:tcW w:w="1267" w:type="dxa"/>
            <w:vAlign w:val="center"/>
          </w:tcPr>
          <w:p w:rsidR="00F1424F" w:rsidRDefault="00986FFF">
            <w:pPr>
              <w:jc w:val="center"/>
            </w:pPr>
            <w:r>
              <w:rPr>
                <w:color w:val="000000"/>
                <w:sz w:val="24"/>
              </w:rPr>
              <w:t>-</w:t>
            </w:r>
          </w:p>
        </w:tc>
        <w:tc>
          <w:tcPr>
            <w:tcW w:w="1267" w:type="dxa"/>
            <w:vAlign w:val="center"/>
          </w:tcPr>
          <w:p w:rsidR="00F1424F" w:rsidRDefault="00986FFF">
            <w:pPr>
              <w:jc w:val="center"/>
            </w:pPr>
            <w:r>
              <w:rPr>
                <w:color w:val="000000"/>
                <w:sz w:val="24"/>
              </w:rPr>
              <w:t>-</w:t>
            </w:r>
          </w:p>
        </w:tc>
        <w:tc>
          <w:tcPr>
            <w:tcW w:w="1267" w:type="dxa"/>
            <w:vAlign w:val="center"/>
          </w:tcPr>
          <w:p w:rsidR="00F1424F" w:rsidRDefault="00986FFF">
            <w:pPr>
              <w:jc w:val="center"/>
            </w:pPr>
            <w:r>
              <w:rPr>
                <w:color w:val="000000"/>
                <w:sz w:val="24"/>
              </w:rPr>
              <w:t>-</w:t>
            </w:r>
          </w:p>
        </w:tc>
        <w:tc>
          <w:tcPr>
            <w:tcW w:w="1267" w:type="dxa"/>
            <w:vAlign w:val="center"/>
          </w:tcPr>
          <w:p w:rsidR="00F1424F" w:rsidRDefault="00986FFF">
            <w:pPr>
              <w:jc w:val="center"/>
            </w:pPr>
            <w:r>
              <w:rPr>
                <w:color w:val="000000"/>
                <w:sz w:val="24"/>
              </w:rPr>
              <w:t>-</w:t>
            </w:r>
          </w:p>
        </w:tc>
        <w:tc>
          <w:tcPr>
            <w:tcW w:w="1267" w:type="dxa"/>
            <w:vAlign w:val="center"/>
          </w:tcPr>
          <w:p w:rsidR="00F1424F" w:rsidRDefault="00986FFF">
            <w:pPr>
              <w:jc w:val="center"/>
            </w:pPr>
            <w:r>
              <w:rPr>
                <w:color w:val="000000"/>
                <w:sz w:val="24"/>
              </w:rPr>
              <w:t>-</w:t>
            </w:r>
          </w:p>
        </w:tc>
        <w:tc>
          <w:tcPr>
            <w:tcW w:w="1267" w:type="dxa"/>
            <w:vAlign w:val="center"/>
          </w:tcPr>
          <w:p w:rsidR="00F1424F" w:rsidRDefault="00986FFF">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交银中债</w:t>
      </w:r>
      <w:r w:rsidR="0042785F" w:rsidRPr="007F52FA">
        <w:rPr>
          <w:color w:val="000000"/>
          <w:sz w:val="24"/>
        </w:rPr>
        <w:t>1-3</w:t>
      </w:r>
      <w:r w:rsidR="0042785F" w:rsidRPr="007F52FA">
        <w:rPr>
          <w:color w:val="000000"/>
          <w:sz w:val="24"/>
        </w:rPr>
        <w:t>年农发债指数</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交银中债</w:t>
      </w:r>
      <w:r w:rsidR="00FE7FBD" w:rsidRPr="007F52FA">
        <w:rPr>
          <w:color w:val="000000"/>
          <w:sz w:val="24"/>
        </w:rPr>
        <w:t>1-3</w:t>
      </w:r>
      <w:r w:rsidR="00FE7FBD" w:rsidRPr="007F52FA">
        <w:rPr>
          <w:color w:val="000000"/>
          <w:sz w:val="24"/>
        </w:rPr>
        <w:t>年农发债指数</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1424F">
        <w:trPr>
          <w:jc w:val="center"/>
        </w:trPr>
        <w:tc>
          <w:tcPr>
            <w:tcW w:w="946" w:type="dxa"/>
            <w:vAlign w:val="center"/>
          </w:tcPr>
          <w:p w:rsidR="00F1424F" w:rsidRDefault="00986FFF">
            <w:pPr>
              <w:jc w:val="center"/>
            </w:pPr>
            <w:r>
              <w:rPr>
                <w:color w:val="000000"/>
                <w:sz w:val="24"/>
              </w:rPr>
              <w:t>魏玉敏</w:t>
            </w:r>
          </w:p>
        </w:tc>
        <w:tc>
          <w:tcPr>
            <w:tcW w:w="924" w:type="dxa"/>
            <w:vAlign w:val="center"/>
          </w:tcPr>
          <w:p w:rsidR="00F1424F" w:rsidRDefault="00986FFF">
            <w:pPr>
              <w:jc w:val="center"/>
            </w:pPr>
            <w:r>
              <w:rPr>
                <w:color w:val="000000"/>
                <w:sz w:val="24"/>
              </w:rPr>
              <w:t>交银增利债券、交银纯债</w:t>
            </w:r>
            <w:r>
              <w:rPr>
                <w:color w:val="000000"/>
                <w:sz w:val="24"/>
              </w:rPr>
              <w:lastRenderedPageBreak/>
              <w:t>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F1424F" w:rsidRDefault="00986FFF">
            <w:pPr>
              <w:jc w:val="center"/>
            </w:pPr>
            <w:r>
              <w:rPr>
                <w:color w:val="000000"/>
                <w:sz w:val="24"/>
              </w:rPr>
              <w:lastRenderedPageBreak/>
              <w:t>2019-01-23</w:t>
            </w:r>
          </w:p>
        </w:tc>
        <w:tc>
          <w:tcPr>
            <w:tcW w:w="1300" w:type="dxa"/>
            <w:vAlign w:val="center"/>
          </w:tcPr>
          <w:p w:rsidR="00F1424F" w:rsidRDefault="00986FFF">
            <w:pPr>
              <w:jc w:val="center"/>
            </w:pPr>
            <w:r>
              <w:rPr>
                <w:color w:val="000000"/>
                <w:sz w:val="24"/>
              </w:rPr>
              <w:t>-</w:t>
            </w:r>
          </w:p>
        </w:tc>
        <w:tc>
          <w:tcPr>
            <w:tcW w:w="1245" w:type="dxa"/>
            <w:vAlign w:val="center"/>
          </w:tcPr>
          <w:p w:rsidR="00F1424F" w:rsidRDefault="00986FFF">
            <w:pPr>
              <w:jc w:val="center"/>
            </w:pPr>
            <w:r>
              <w:rPr>
                <w:color w:val="000000"/>
                <w:sz w:val="24"/>
              </w:rPr>
              <w:t>7</w:t>
            </w:r>
            <w:r>
              <w:rPr>
                <w:color w:val="000000"/>
                <w:sz w:val="24"/>
              </w:rPr>
              <w:t>年</w:t>
            </w:r>
          </w:p>
        </w:tc>
        <w:tc>
          <w:tcPr>
            <w:tcW w:w="3251" w:type="dxa"/>
            <w:vAlign w:val="center"/>
          </w:tcPr>
          <w:p w:rsidR="00F1424F" w:rsidRDefault="00986FFF">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lastRenderedPageBreak/>
              <w:t>2016</w:t>
            </w:r>
            <w:r>
              <w:rPr>
                <w:color w:val="000000"/>
                <w:sz w:val="24"/>
              </w:rPr>
              <w:t>年加入交银施罗德基金管理有限公司，历任基金经理助理。</w:t>
            </w:r>
          </w:p>
          <w:p w:rsidR="00F1424F" w:rsidRDefault="00F1424F"/>
        </w:tc>
      </w:tr>
    </w:tbl>
    <w:p w:rsidR="009238DB" w:rsidRPr="007F52FA" w:rsidRDefault="00986FFF" w:rsidP="007C14DF">
      <w:pPr>
        <w:autoSpaceDE w:val="0"/>
        <w:autoSpaceDN w:val="0"/>
        <w:adjustRightInd w:val="0"/>
        <w:spacing w:before="29" w:line="288" w:lineRule="auto"/>
        <w:jc w:val="left"/>
        <w:rPr>
          <w:rFonts w:hint="eastAsia"/>
          <w:color w:val="000000"/>
          <w:sz w:val="24"/>
        </w:rPr>
      </w:pPr>
      <w:r>
        <w:rPr>
          <w:color w:val="000000"/>
          <w:sz w:val="24"/>
        </w:rPr>
        <w:lastRenderedPageBreak/>
        <w:t>注：</w:t>
      </w:r>
      <w:bookmarkStart w:id="0" w:name="_GoBack"/>
      <w:bookmarkEnd w:id="0"/>
      <w:r>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w:t>
      </w:r>
      <w:r w:rsidRPr="007F52FA">
        <w:rPr>
          <w:color w:val="000000"/>
          <w:sz w:val="24"/>
        </w:rPr>
        <w:lastRenderedPageBreak/>
        <w:t>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1424F" w:rsidRDefault="00986FF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1424F" w:rsidRDefault="00986FF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1424F" w:rsidRDefault="00986FF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1424F" w:rsidRDefault="00986FFF">
      <w:pPr>
        <w:spacing w:before="29" w:line="288" w:lineRule="auto"/>
        <w:ind w:firstLineChars="200" w:firstLine="480"/>
        <w:rPr>
          <w:color w:val="000000"/>
          <w:sz w:val="24"/>
        </w:rPr>
      </w:pPr>
      <w:r>
        <w:rPr>
          <w:color w:val="000000"/>
          <w:sz w:val="24"/>
        </w:rPr>
        <w:t>2019</w:t>
      </w:r>
      <w:r>
        <w:rPr>
          <w:color w:val="000000"/>
          <w:sz w:val="24"/>
        </w:rPr>
        <w:t>年四季度债券收益率先上后下，维持低位震荡格局。四季度伊始，债券市场利空因素集中出现，中美贸易摩擦缓和、通胀上行以及金融数据超预期共同推升债券收益率上行，债券收益率在十月底上行至年内第二高点。进入十一月后，在央行超预期下调</w:t>
      </w:r>
      <w:r>
        <w:rPr>
          <w:color w:val="000000"/>
          <w:sz w:val="24"/>
        </w:rPr>
        <w:t>MLF</w:t>
      </w:r>
      <w:r>
        <w:rPr>
          <w:color w:val="000000"/>
          <w:sz w:val="24"/>
        </w:rPr>
        <w:t>、逆回购利率的背景下，市场对于基本面利空反应钝化，虽然通胀走高，但收益率开始震荡下行。进入十二月后，资金宽松导致的机构配置压力增大成为助推债券收益率下行的重要原因。年末央行大额净投放，结合三季度中国货币政策执行报告强调</w:t>
      </w:r>
      <w:r>
        <w:rPr>
          <w:color w:val="000000"/>
          <w:sz w:val="24"/>
        </w:rPr>
        <w:t>“</w:t>
      </w:r>
      <w:r>
        <w:rPr>
          <w:color w:val="000000"/>
          <w:sz w:val="24"/>
        </w:rPr>
        <w:t>降成本</w:t>
      </w:r>
      <w:r>
        <w:rPr>
          <w:color w:val="000000"/>
          <w:sz w:val="24"/>
        </w:rPr>
        <w:t>”</w:t>
      </w:r>
      <w:r>
        <w:rPr>
          <w:color w:val="000000"/>
          <w:sz w:val="24"/>
        </w:rPr>
        <w:t>等相关表述，市场降准预期再起，短端资金利率大幅下行，机构配置热情高涨，债券收益率维持低位震荡。</w:t>
      </w:r>
    </w:p>
    <w:p w:rsidR="00F1424F" w:rsidRDefault="00986FFF">
      <w:pPr>
        <w:spacing w:before="29" w:line="288" w:lineRule="auto"/>
        <w:ind w:firstLineChars="200" w:firstLine="480"/>
        <w:rPr>
          <w:color w:val="000000"/>
          <w:sz w:val="24"/>
        </w:rPr>
      </w:pPr>
      <w:r>
        <w:rPr>
          <w:color w:val="000000"/>
          <w:sz w:val="24"/>
        </w:rPr>
        <w:t>组合是被动跟踪指数表现的指数基金，本报告期内，组合继续做好指数跟踪，根据组合规模变动和指数关键指标变动，动态调整组合券种配置，控制组合与跟踪指数的偏</w:t>
      </w:r>
      <w:r>
        <w:rPr>
          <w:color w:val="000000"/>
          <w:sz w:val="24"/>
        </w:rPr>
        <w:lastRenderedPageBreak/>
        <w:t>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7F52FA">
        <w:rPr>
          <w:color w:val="000000"/>
          <w:sz w:val="24"/>
        </w:rPr>
        <w:t>2020</w:t>
      </w:r>
      <w:r w:rsidRPr="007F52FA">
        <w:rPr>
          <w:color w:val="000000"/>
          <w:sz w:val="24"/>
        </w:rPr>
        <w:t>年全面建成小康社会之年，政策基调以稳为主，操作上多基于底线思维，流动性预计保持合理充裕，</w:t>
      </w:r>
      <w:r w:rsidRPr="007F52FA">
        <w:rPr>
          <w:color w:val="000000"/>
          <w:sz w:val="24"/>
        </w:rPr>
        <w:t>LPR</w:t>
      </w:r>
      <w:r w:rsidRPr="007F52FA">
        <w:rPr>
          <w:color w:val="000000"/>
          <w:sz w:val="24"/>
        </w:rPr>
        <w:t>改革后宽信用效果将逐渐显现，预计长端利率维持区间震荡格局，票息策略优于久期策略。操作策略方面，组合将根据指数动态进行复制调整，尽力保证组合与指数的偏离在控制范围之中。</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7,844,298,000.00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7,844,298,000.00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1,075,916.36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147,716,017.41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7,993,089,933.77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257205" w:rsidRDefault="00257205"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7,844,298,000.00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7,844,298,000.00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7,844,298,000.00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1424F">
        <w:trPr>
          <w:jc w:val="center"/>
        </w:trPr>
        <w:tc>
          <w:tcPr>
            <w:tcW w:w="1075" w:type="dxa"/>
            <w:vAlign w:val="center"/>
          </w:tcPr>
          <w:p w:rsidR="00F1424F" w:rsidRDefault="00986FFF">
            <w:pPr>
              <w:jc w:val="center"/>
            </w:pPr>
            <w:r>
              <w:rPr>
                <w:color w:val="000000"/>
                <w:sz w:val="24"/>
              </w:rPr>
              <w:t>1</w:t>
            </w:r>
          </w:p>
        </w:tc>
        <w:tc>
          <w:tcPr>
            <w:tcW w:w="1533" w:type="dxa"/>
            <w:vAlign w:val="center"/>
          </w:tcPr>
          <w:p w:rsidR="00F1424F" w:rsidRDefault="00986FFF">
            <w:pPr>
              <w:jc w:val="center"/>
            </w:pPr>
            <w:r>
              <w:rPr>
                <w:color w:val="000000"/>
                <w:sz w:val="24"/>
              </w:rPr>
              <w:t>180409</w:t>
            </w:r>
          </w:p>
        </w:tc>
        <w:tc>
          <w:tcPr>
            <w:tcW w:w="1533" w:type="dxa"/>
            <w:vAlign w:val="center"/>
          </w:tcPr>
          <w:p w:rsidR="00F1424F" w:rsidRDefault="00986FFF">
            <w:pPr>
              <w:jc w:val="center"/>
            </w:pPr>
            <w:r>
              <w:rPr>
                <w:color w:val="000000"/>
                <w:sz w:val="24"/>
              </w:rPr>
              <w:t>18</w:t>
            </w:r>
            <w:r>
              <w:rPr>
                <w:color w:val="000000"/>
                <w:sz w:val="24"/>
              </w:rPr>
              <w:t>农发</w:t>
            </w:r>
            <w:r>
              <w:rPr>
                <w:color w:val="000000"/>
                <w:sz w:val="24"/>
              </w:rPr>
              <w:t>09</w:t>
            </w:r>
          </w:p>
        </w:tc>
        <w:tc>
          <w:tcPr>
            <w:tcW w:w="1394" w:type="dxa"/>
            <w:vAlign w:val="center"/>
          </w:tcPr>
          <w:p w:rsidR="00F1424F" w:rsidRDefault="00986FFF">
            <w:pPr>
              <w:jc w:val="right"/>
            </w:pPr>
            <w:r>
              <w:rPr>
                <w:color w:val="000000"/>
                <w:sz w:val="24"/>
              </w:rPr>
              <w:t>22,500,000</w:t>
            </w:r>
          </w:p>
        </w:tc>
        <w:tc>
          <w:tcPr>
            <w:tcW w:w="1944" w:type="dxa"/>
            <w:vAlign w:val="center"/>
          </w:tcPr>
          <w:p w:rsidR="00F1424F" w:rsidRDefault="00986FFF">
            <w:pPr>
              <w:jc w:val="right"/>
            </w:pPr>
            <w:r>
              <w:rPr>
                <w:color w:val="000000"/>
                <w:sz w:val="24"/>
              </w:rPr>
              <w:t>2,296,350,000.00</w:t>
            </w:r>
          </w:p>
        </w:tc>
        <w:tc>
          <w:tcPr>
            <w:tcW w:w="1389" w:type="dxa"/>
            <w:vAlign w:val="center"/>
          </w:tcPr>
          <w:p w:rsidR="00F1424F" w:rsidRDefault="00986FFF">
            <w:pPr>
              <w:jc w:val="right"/>
            </w:pPr>
            <w:r>
              <w:rPr>
                <w:color w:val="000000"/>
                <w:sz w:val="24"/>
              </w:rPr>
              <w:t>29.78</w:t>
            </w:r>
          </w:p>
        </w:tc>
      </w:tr>
      <w:tr w:rsidR="00F1424F">
        <w:trPr>
          <w:jc w:val="center"/>
        </w:trPr>
        <w:tc>
          <w:tcPr>
            <w:tcW w:w="1075" w:type="dxa"/>
            <w:vAlign w:val="center"/>
          </w:tcPr>
          <w:p w:rsidR="00F1424F" w:rsidRDefault="00986FFF">
            <w:pPr>
              <w:jc w:val="center"/>
            </w:pPr>
            <w:r>
              <w:rPr>
                <w:color w:val="000000"/>
                <w:sz w:val="24"/>
              </w:rPr>
              <w:t>2</w:t>
            </w:r>
          </w:p>
        </w:tc>
        <w:tc>
          <w:tcPr>
            <w:tcW w:w="1533" w:type="dxa"/>
            <w:vAlign w:val="center"/>
          </w:tcPr>
          <w:p w:rsidR="00F1424F" w:rsidRDefault="00986FFF">
            <w:pPr>
              <w:jc w:val="center"/>
            </w:pPr>
            <w:r>
              <w:rPr>
                <w:color w:val="000000"/>
                <w:sz w:val="24"/>
              </w:rPr>
              <w:t>180412</w:t>
            </w:r>
          </w:p>
        </w:tc>
        <w:tc>
          <w:tcPr>
            <w:tcW w:w="1533" w:type="dxa"/>
            <w:vAlign w:val="center"/>
          </w:tcPr>
          <w:p w:rsidR="00F1424F" w:rsidRDefault="00986FFF">
            <w:pPr>
              <w:jc w:val="center"/>
            </w:pPr>
            <w:r>
              <w:rPr>
                <w:color w:val="000000"/>
                <w:sz w:val="24"/>
              </w:rPr>
              <w:t>18</w:t>
            </w:r>
            <w:r>
              <w:rPr>
                <w:color w:val="000000"/>
                <w:sz w:val="24"/>
              </w:rPr>
              <w:t>农发</w:t>
            </w:r>
            <w:r>
              <w:rPr>
                <w:color w:val="000000"/>
                <w:sz w:val="24"/>
              </w:rPr>
              <w:t>12</w:t>
            </w:r>
          </w:p>
        </w:tc>
        <w:tc>
          <w:tcPr>
            <w:tcW w:w="1394" w:type="dxa"/>
            <w:vAlign w:val="center"/>
          </w:tcPr>
          <w:p w:rsidR="00F1424F" w:rsidRDefault="00986FFF">
            <w:pPr>
              <w:jc w:val="right"/>
            </w:pPr>
            <w:r>
              <w:rPr>
                <w:color w:val="000000"/>
                <w:sz w:val="24"/>
              </w:rPr>
              <w:t>17,100,000</w:t>
            </w:r>
          </w:p>
        </w:tc>
        <w:tc>
          <w:tcPr>
            <w:tcW w:w="1944" w:type="dxa"/>
            <w:vAlign w:val="center"/>
          </w:tcPr>
          <w:p w:rsidR="00F1424F" w:rsidRDefault="00986FFF">
            <w:pPr>
              <w:jc w:val="right"/>
            </w:pPr>
            <w:r>
              <w:rPr>
                <w:color w:val="000000"/>
                <w:sz w:val="24"/>
              </w:rPr>
              <w:t>1,727,271,000.00</w:t>
            </w:r>
          </w:p>
        </w:tc>
        <w:tc>
          <w:tcPr>
            <w:tcW w:w="1389" w:type="dxa"/>
            <w:vAlign w:val="center"/>
          </w:tcPr>
          <w:p w:rsidR="00F1424F" w:rsidRDefault="00986FFF">
            <w:pPr>
              <w:jc w:val="right"/>
            </w:pPr>
            <w:r>
              <w:rPr>
                <w:color w:val="000000"/>
                <w:sz w:val="24"/>
              </w:rPr>
              <w:t>22.40</w:t>
            </w:r>
          </w:p>
        </w:tc>
      </w:tr>
      <w:tr w:rsidR="00F1424F">
        <w:trPr>
          <w:jc w:val="center"/>
        </w:trPr>
        <w:tc>
          <w:tcPr>
            <w:tcW w:w="1075" w:type="dxa"/>
            <w:vAlign w:val="center"/>
          </w:tcPr>
          <w:p w:rsidR="00F1424F" w:rsidRDefault="00986FFF">
            <w:pPr>
              <w:jc w:val="center"/>
            </w:pPr>
            <w:r>
              <w:rPr>
                <w:color w:val="000000"/>
                <w:sz w:val="24"/>
              </w:rPr>
              <w:t>3</w:t>
            </w:r>
          </w:p>
        </w:tc>
        <w:tc>
          <w:tcPr>
            <w:tcW w:w="1533" w:type="dxa"/>
            <w:vAlign w:val="center"/>
          </w:tcPr>
          <w:p w:rsidR="00F1424F" w:rsidRDefault="00986FFF">
            <w:pPr>
              <w:jc w:val="center"/>
            </w:pPr>
            <w:r>
              <w:rPr>
                <w:color w:val="000000"/>
                <w:sz w:val="24"/>
              </w:rPr>
              <w:t>091918001</w:t>
            </w:r>
          </w:p>
        </w:tc>
        <w:tc>
          <w:tcPr>
            <w:tcW w:w="1533" w:type="dxa"/>
            <w:vAlign w:val="center"/>
          </w:tcPr>
          <w:p w:rsidR="00F1424F" w:rsidRDefault="00986FFF">
            <w:pPr>
              <w:jc w:val="center"/>
            </w:pPr>
            <w:r>
              <w:rPr>
                <w:color w:val="000000"/>
                <w:sz w:val="24"/>
              </w:rPr>
              <w:t>19</w:t>
            </w:r>
            <w:r>
              <w:rPr>
                <w:color w:val="000000"/>
                <w:sz w:val="24"/>
              </w:rPr>
              <w:t>农发清发</w:t>
            </w:r>
            <w:r>
              <w:rPr>
                <w:color w:val="000000"/>
                <w:sz w:val="24"/>
              </w:rPr>
              <w:t>01</w:t>
            </w:r>
          </w:p>
        </w:tc>
        <w:tc>
          <w:tcPr>
            <w:tcW w:w="1394" w:type="dxa"/>
            <w:vAlign w:val="center"/>
          </w:tcPr>
          <w:p w:rsidR="00F1424F" w:rsidRDefault="00986FFF">
            <w:pPr>
              <w:jc w:val="right"/>
            </w:pPr>
            <w:r>
              <w:rPr>
                <w:color w:val="000000"/>
                <w:sz w:val="24"/>
              </w:rPr>
              <w:t>13,100,000</w:t>
            </w:r>
          </w:p>
        </w:tc>
        <w:tc>
          <w:tcPr>
            <w:tcW w:w="1944" w:type="dxa"/>
            <w:vAlign w:val="center"/>
          </w:tcPr>
          <w:p w:rsidR="00F1424F" w:rsidRDefault="00986FFF">
            <w:pPr>
              <w:jc w:val="right"/>
            </w:pPr>
            <w:r>
              <w:rPr>
                <w:color w:val="000000"/>
                <w:sz w:val="24"/>
              </w:rPr>
              <w:t>1,316,419,000.00</w:t>
            </w:r>
          </w:p>
        </w:tc>
        <w:tc>
          <w:tcPr>
            <w:tcW w:w="1389" w:type="dxa"/>
            <w:vAlign w:val="center"/>
          </w:tcPr>
          <w:p w:rsidR="00F1424F" w:rsidRDefault="00986FFF">
            <w:pPr>
              <w:jc w:val="right"/>
            </w:pPr>
            <w:r>
              <w:rPr>
                <w:color w:val="000000"/>
                <w:sz w:val="24"/>
              </w:rPr>
              <w:t>17.07</w:t>
            </w:r>
          </w:p>
        </w:tc>
      </w:tr>
      <w:tr w:rsidR="00F1424F">
        <w:trPr>
          <w:jc w:val="center"/>
        </w:trPr>
        <w:tc>
          <w:tcPr>
            <w:tcW w:w="1075" w:type="dxa"/>
            <w:vAlign w:val="center"/>
          </w:tcPr>
          <w:p w:rsidR="00F1424F" w:rsidRDefault="00986FFF">
            <w:pPr>
              <w:jc w:val="center"/>
            </w:pPr>
            <w:r>
              <w:rPr>
                <w:color w:val="000000"/>
                <w:sz w:val="24"/>
              </w:rPr>
              <w:t>4</w:t>
            </w:r>
          </w:p>
        </w:tc>
        <w:tc>
          <w:tcPr>
            <w:tcW w:w="1533" w:type="dxa"/>
            <w:vAlign w:val="center"/>
          </w:tcPr>
          <w:p w:rsidR="00F1424F" w:rsidRDefault="00986FFF">
            <w:pPr>
              <w:jc w:val="center"/>
            </w:pPr>
            <w:r>
              <w:rPr>
                <w:color w:val="000000"/>
                <w:sz w:val="24"/>
              </w:rPr>
              <w:t>170411</w:t>
            </w:r>
          </w:p>
        </w:tc>
        <w:tc>
          <w:tcPr>
            <w:tcW w:w="1533" w:type="dxa"/>
            <w:vAlign w:val="center"/>
          </w:tcPr>
          <w:p w:rsidR="00F1424F" w:rsidRDefault="00986FFF">
            <w:pPr>
              <w:jc w:val="center"/>
            </w:pPr>
            <w:r>
              <w:rPr>
                <w:color w:val="000000"/>
                <w:sz w:val="24"/>
              </w:rPr>
              <w:t>17</w:t>
            </w:r>
            <w:r>
              <w:rPr>
                <w:color w:val="000000"/>
                <w:sz w:val="24"/>
              </w:rPr>
              <w:t>农发</w:t>
            </w:r>
            <w:r>
              <w:rPr>
                <w:color w:val="000000"/>
                <w:sz w:val="24"/>
              </w:rPr>
              <w:t>11</w:t>
            </w:r>
          </w:p>
        </w:tc>
        <w:tc>
          <w:tcPr>
            <w:tcW w:w="1394" w:type="dxa"/>
            <w:vAlign w:val="center"/>
          </w:tcPr>
          <w:p w:rsidR="00F1424F" w:rsidRDefault="00986FFF">
            <w:pPr>
              <w:jc w:val="right"/>
            </w:pPr>
            <w:r>
              <w:rPr>
                <w:color w:val="000000"/>
                <w:sz w:val="24"/>
              </w:rPr>
              <w:t>5,500,000</w:t>
            </w:r>
          </w:p>
        </w:tc>
        <w:tc>
          <w:tcPr>
            <w:tcW w:w="1944" w:type="dxa"/>
            <w:vAlign w:val="center"/>
          </w:tcPr>
          <w:p w:rsidR="00F1424F" w:rsidRDefault="00986FFF">
            <w:pPr>
              <w:jc w:val="right"/>
            </w:pPr>
            <w:r>
              <w:rPr>
                <w:color w:val="000000"/>
                <w:sz w:val="24"/>
              </w:rPr>
              <w:t>555,225,000.00</w:t>
            </w:r>
          </w:p>
        </w:tc>
        <w:tc>
          <w:tcPr>
            <w:tcW w:w="1389" w:type="dxa"/>
            <w:vAlign w:val="center"/>
          </w:tcPr>
          <w:p w:rsidR="00F1424F" w:rsidRDefault="00986FFF">
            <w:pPr>
              <w:jc w:val="right"/>
            </w:pPr>
            <w:r>
              <w:rPr>
                <w:color w:val="000000"/>
                <w:sz w:val="24"/>
              </w:rPr>
              <w:t>7.20</w:t>
            </w:r>
          </w:p>
        </w:tc>
      </w:tr>
      <w:tr w:rsidR="00F1424F">
        <w:trPr>
          <w:jc w:val="center"/>
        </w:trPr>
        <w:tc>
          <w:tcPr>
            <w:tcW w:w="1075" w:type="dxa"/>
            <w:vAlign w:val="center"/>
          </w:tcPr>
          <w:p w:rsidR="00F1424F" w:rsidRDefault="00986FFF">
            <w:pPr>
              <w:jc w:val="center"/>
            </w:pPr>
            <w:r>
              <w:rPr>
                <w:color w:val="000000"/>
                <w:sz w:val="24"/>
              </w:rPr>
              <w:t>5</w:t>
            </w:r>
          </w:p>
        </w:tc>
        <w:tc>
          <w:tcPr>
            <w:tcW w:w="1533" w:type="dxa"/>
            <w:vAlign w:val="center"/>
          </w:tcPr>
          <w:p w:rsidR="00F1424F" w:rsidRDefault="00986FFF">
            <w:pPr>
              <w:jc w:val="center"/>
            </w:pPr>
            <w:r>
              <w:rPr>
                <w:color w:val="000000"/>
                <w:sz w:val="24"/>
              </w:rPr>
              <w:t>180402</w:t>
            </w:r>
          </w:p>
        </w:tc>
        <w:tc>
          <w:tcPr>
            <w:tcW w:w="1533" w:type="dxa"/>
            <w:vAlign w:val="center"/>
          </w:tcPr>
          <w:p w:rsidR="00F1424F" w:rsidRDefault="00986FFF">
            <w:pPr>
              <w:jc w:val="center"/>
            </w:pPr>
            <w:r>
              <w:rPr>
                <w:color w:val="000000"/>
                <w:sz w:val="24"/>
              </w:rPr>
              <w:t>18</w:t>
            </w:r>
            <w:r>
              <w:rPr>
                <w:color w:val="000000"/>
                <w:sz w:val="24"/>
              </w:rPr>
              <w:t>农发</w:t>
            </w:r>
            <w:r>
              <w:rPr>
                <w:color w:val="000000"/>
                <w:sz w:val="24"/>
              </w:rPr>
              <w:t>02</w:t>
            </w:r>
          </w:p>
        </w:tc>
        <w:tc>
          <w:tcPr>
            <w:tcW w:w="1394" w:type="dxa"/>
            <w:vAlign w:val="center"/>
          </w:tcPr>
          <w:p w:rsidR="00F1424F" w:rsidRDefault="00986FFF">
            <w:pPr>
              <w:jc w:val="right"/>
            </w:pPr>
            <w:r>
              <w:rPr>
                <w:color w:val="000000"/>
                <w:sz w:val="24"/>
              </w:rPr>
              <w:t>4,800,000</w:t>
            </w:r>
          </w:p>
        </w:tc>
        <w:tc>
          <w:tcPr>
            <w:tcW w:w="1944" w:type="dxa"/>
            <w:vAlign w:val="center"/>
          </w:tcPr>
          <w:p w:rsidR="00F1424F" w:rsidRDefault="00986FFF">
            <w:pPr>
              <w:jc w:val="right"/>
            </w:pPr>
            <w:r>
              <w:rPr>
                <w:color w:val="000000"/>
                <w:sz w:val="24"/>
              </w:rPr>
              <w:t>491,040,000.00</w:t>
            </w:r>
          </w:p>
        </w:tc>
        <w:tc>
          <w:tcPr>
            <w:tcW w:w="1389" w:type="dxa"/>
            <w:vAlign w:val="center"/>
          </w:tcPr>
          <w:p w:rsidR="00F1424F" w:rsidRDefault="00986FFF">
            <w:pPr>
              <w:jc w:val="right"/>
            </w:pPr>
            <w:r>
              <w:rPr>
                <w:color w:val="000000"/>
                <w:sz w:val="24"/>
              </w:rPr>
              <w:t>6.37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257205" w:rsidRDefault="00257205" w:rsidP="007C14DF">
      <w:pPr>
        <w:autoSpaceDE w:val="0"/>
        <w:autoSpaceDN w:val="0"/>
        <w:adjustRightInd w:val="0"/>
        <w:spacing w:before="29" w:line="288" w:lineRule="auto"/>
        <w:jc w:val="left"/>
        <w:rPr>
          <w:rFonts w:eastAsiaTheme="minorEastAsia"/>
          <w:b/>
          <w:bCs/>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257205" w:rsidRDefault="00257205" w:rsidP="00A0678E">
      <w:pPr>
        <w:autoSpaceDE w:val="0"/>
        <w:autoSpaceDN w:val="0"/>
        <w:adjustRightInd w:val="0"/>
        <w:spacing w:before="29" w:line="288" w:lineRule="auto"/>
        <w:rPr>
          <w:kern w:val="0"/>
          <w:sz w:val="24"/>
        </w:rPr>
      </w:pP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257205" w:rsidRDefault="00257205" w:rsidP="007C14DF">
      <w:pPr>
        <w:autoSpaceDE w:val="0"/>
        <w:autoSpaceDN w:val="0"/>
        <w:adjustRightInd w:val="0"/>
        <w:spacing w:before="29" w:line="288" w:lineRule="auto"/>
        <w:rPr>
          <w:kern w:val="0"/>
          <w:sz w:val="24"/>
        </w:rPr>
      </w:pP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147,715,967.46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49.95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147,716,017.41</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257205" w:rsidRDefault="00257205" w:rsidP="007C14DF">
      <w:pPr>
        <w:autoSpaceDE w:val="0"/>
        <w:autoSpaceDN w:val="0"/>
        <w:adjustRightInd w:val="0"/>
        <w:spacing w:before="29" w:line="288" w:lineRule="auto"/>
        <w:jc w:val="left"/>
        <w:rPr>
          <w:rFonts w:eastAsiaTheme="minorEastAsia"/>
          <w:b/>
          <w:kern w:val="0"/>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257205" w:rsidRDefault="00257205" w:rsidP="007C14DF">
      <w:pPr>
        <w:spacing w:before="29" w:line="288" w:lineRule="auto"/>
        <w:rPr>
          <w:rFonts w:eastAsiaTheme="minorEastAsia"/>
          <w:b/>
          <w:kern w:val="0"/>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6,326,029,196.59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2,683,580,622.06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1,513,313,962.39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7,496,295,856.26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F1424F" w:rsidRDefault="00986F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1424F" w:rsidRDefault="00986F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、如果本报告期间发生转换出业务，则总赎回份额中包含该业务。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1424F">
        <w:tc>
          <w:tcPr>
            <w:tcW w:w="992" w:type="dxa"/>
            <w:vMerge w:val="restart"/>
          </w:tcPr>
          <w:p w:rsidR="00F1424F" w:rsidRDefault="00F1424F"/>
          <w:p w:rsidR="00F1424F" w:rsidRDefault="00986FFF">
            <w:r>
              <w:rPr>
                <w:rFonts w:ascii="宋体" w:hAnsi="宋体" w:hint="eastAsia"/>
                <w:bCs/>
                <w:color w:val="000000"/>
                <w:kern w:val="0"/>
                <w:szCs w:val="21"/>
              </w:rPr>
              <w:t>机构</w:t>
            </w:r>
          </w:p>
        </w:tc>
        <w:tc>
          <w:tcPr>
            <w:tcW w:w="991" w:type="dxa"/>
            <w:vAlign w:val="center"/>
          </w:tcPr>
          <w:p w:rsidR="00F1424F" w:rsidRDefault="00986FFF">
            <w:pPr>
              <w:jc w:val="center"/>
            </w:pPr>
            <w:r>
              <w:rPr>
                <w:rFonts w:ascii="宋体" w:hAnsi="宋体" w:hint="eastAsia"/>
                <w:color w:val="000000"/>
                <w:kern w:val="0"/>
                <w:szCs w:val="21"/>
              </w:rPr>
              <w:t>1</w:t>
            </w:r>
          </w:p>
        </w:tc>
        <w:tc>
          <w:tcPr>
            <w:tcW w:w="1843" w:type="dxa"/>
            <w:vAlign w:val="center"/>
          </w:tcPr>
          <w:p w:rsidR="00F1424F" w:rsidRDefault="00986FFF">
            <w:pPr>
              <w:jc w:val="center"/>
            </w:pPr>
            <w:r>
              <w:rPr>
                <w:rFonts w:ascii="宋体" w:hAnsi="宋体" w:hint="eastAsia"/>
                <w:color w:val="000000"/>
                <w:kern w:val="0"/>
                <w:szCs w:val="21"/>
              </w:rPr>
              <w:t>2019/10/1-2019/12/31</w:t>
            </w:r>
          </w:p>
        </w:tc>
        <w:tc>
          <w:tcPr>
            <w:tcW w:w="851" w:type="dxa"/>
            <w:vAlign w:val="center"/>
          </w:tcPr>
          <w:p w:rsidR="00F1424F" w:rsidRDefault="00986FFF">
            <w:pPr>
              <w:jc w:val="center"/>
            </w:pPr>
            <w:r>
              <w:rPr>
                <w:rFonts w:ascii="宋体" w:hAnsi="宋体" w:hint="eastAsia"/>
                <w:color w:val="000000"/>
                <w:kern w:val="0"/>
                <w:szCs w:val="21"/>
              </w:rPr>
              <w:t>1,475,411,538.77</w:t>
            </w:r>
          </w:p>
        </w:tc>
        <w:tc>
          <w:tcPr>
            <w:tcW w:w="850" w:type="dxa"/>
            <w:vAlign w:val="center"/>
          </w:tcPr>
          <w:p w:rsidR="00F1424F" w:rsidRDefault="00986FFF">
            <w:pPr>
              <w:jc w:val="center"/>
            </w:pPr>
            <w:r>
              <w:rPr>
                <w:rFonts w:ascii="宋体" w:hAnsi="宋体" w:hint="eastAsia"/>
                <w:color w:val="000000"/>
                <w:kern w:val="0"/>
                <w:szCs w:val="21"/>
              </w:rPr>
              <w:t>-</w:t>
            </w:r>
          </w:p>
        </w:tc>
        <w:tc>
          <w:tcPr>
            <w:tcW w:w="1134" w:type="dxa"/>
            <w:vAlign w:val="center"/>
          </w:tcPr>
          <w:p w:rsidR="00F1424F" w:rsidRDefault="00986FFF">
            <w:pPr>
              <w:jc w:val="center"/>
            </w:pPr>
            <w:r>
              <w:rPr>
                <w:rFonts w:ascii="宋体" w:hAnsi="宋体" w:hint="eastAsia"/>
                <w:color w:val="000000"/>
                <w:kern w:val="0"/>
                <w:szCs w:val="21"/>
              </w:rPr>
              <w:t>1,000,000,000.00</w:t>
            </w:r>
          </w:p>
        </w:tc>
        <w:tc>
          <w:tcPr>
            <w:tcW w:w="1419" w:type="dxa"/>
            <w:vAlign w:val="center"/>
          </w:tcPr>
          <w:p w:rsidR="00F1424F" w:rsidRDefault="00986FFF">
            <w:pPr>
              <w:jc w:val="center"/>
            </w:pPr>
            <w:r>
              <w:rPr>
                <w:rFonts w:ascii="宋体" w:hAnsi="宋体" w:hint="eastAsia"/>
                <w:color w:val="000000"/>
                <w:kern w:val="0"/>
                <w:szCs w:val="21"/>
              </w:rPr>
              <w:t>475,411,538.77</w:t>
            </w:r>
          </w:p>
        </w:tc>
        <w:tc>
          <w:tcPr>
            <w:tcW w:w="1130" w:type="dxa"/>
            <w:vAlign w:val="center"/>
          </w:tcPr>
          <w:p w:rsidR="00F1424F" w:rsidRDefault="00986FFF">
            <w:pPr>
              <w:jc w:val="center"/>
            </w:pPr>
            <w:r>
              <w:rPr>
                <w:rFonts w:ascii="宋体" w:hAnsi="宋体" w:hint="eastAsia"/>
                <w:color w:val="000000"/>
                <w:kern w:val="0"/>
                <w:szCs w:val="21"/>
              </w:rPr>
              <w:t>6.34%</w:t>
            </w:r>
          </w:p>
        </w:tc>
      </w:tr>
      <w:tr w:rsidR="00F1424F">
        <w:tc>
          <w:tcPr>
            <w:tcW w:w="992" w:type="dxa"/>
            <w:vMerge/>
          </w:tcPr>
          <w:p w:rsidR="00F1424F" w:rsidRDefault="00F1424F"/>
        </w:tc>
        <w:tc>
          <w:tcPr>
            <w:tcW w:w="991" w:type="dxa"/>
            <w:vAlign w:val="center"/>
          </w:tcPr>
          <w:p w:rsidR="00F1424F" w:rsidRDefault="00986FFF">
            <w:pPr>
              <w:jc w:val="center"/>
            </w:pPr>
            <w:r>
              <w:rPr>
                <w:rFonts w:ascii="宋体" w:hAnsi="宋体" w:hint="eastAsia"/>
                <w:color w:val="000000"/>
                <w:kern w:val="0"/>
                <w:szCs w:val="21"/>
              </w:rPr>
              <w:t>2</w:t>
            </w:r>
          </w:p>
        </w:tc>
        <w:tc>
          <w:tcPr>
            <w:tcW w:w="1843" w:type="dxa"/>
            <w:vAlign w:val="center"/>
          </w:tcPr>
          <w:p w:rsidR="00F1424F" w:rsidRDefault="00986FFF">
            <w:pPr>
              <w:jc w:val="center"/>
            </w:pPr>
            <w:r>
              <w:rPr>
                <w:rFonts w:ascii="宋体" w:hAnsi="宋体" w:hint="eastAsia"/>
                <w:color w:val="000000"/>
                <w:kern w:val="0"/>
                <w:szCs w:val="21"/>
              </w:rPr>
              <w:t>2019/10/1-2019/12/31</w:t>
            </w:r>
          </w:p>
        </w:tc>
        <w:tc>
          <w:tcPr>
            <w:tcW w:w="851" w:type="dxa"/>
            <w:vAlign w:val="center"/>
          </w:tcPr>
          <w:p w:rsidR="00F1424F" w:rsidRDefault="00986FFF">
            <w:pPr>
              <w:jc w:val="center"/>
            </w:pPr>
            <w:r>
              <w:rPr>
                <w:rFonts w:ascii="宋体" w:hAnsi="宋体" w:hint="eastAsia"/>
                <w:color w:val="000000"/>
                <w:kern w:val="0"/>
                <w:szCs w:val="21"/>
              </w:rPr>
              <w:t>1,491,930,326.25</w:t>
            </w:r>
          </w:p>
        </w:tc>
        <w:tc>
          <w:tcPr>
            <w:tcW w:w="850" w:type="dxa"/>
            <w:vAlign w:val="center"/>
          </w:tcPr>
          <w:p w:rsidR="00F1424F" w:rsidRDefault="00986FFF">
            <w:pPr>
              <w:jc w:val="center"/>
            </w:pPr>
            <w:r>
              <w:rPr>
                <w:rFonts w:ascii="宋体" w:hAnsi="宋体" w:hint="eastAsia"/>
                <w:color w:val="000000"/>
                <w:kern w:val="0"/>
                <w:szCs w:val="21"/>
              </w:rPr>
              <w:t>-</w:t>
            </w:r>
          </w:p>
        </w:tc>
        <w:tc>
          <w:tcPr>
            <w:tcW w:w="1134" w:type="dxa"/>
            <w:vAlign w:val="center"/>
          </w:tcPr>
          <w:p w:rsidR="00F1424F" w:rsidRDefault="00986FFF">
            <w:pPr>
              <w:jc w:val="center"/>
            </w:pPr>
            <w:r>
              <w:rPr>
                <w:rFonts w:ascii="宋体" w:hAnsi="宋体" w:hint="eastAsia"/>
                <w:color w:val="000000"/>
                <w:kern w:val="0"/>
                <w:szCs w:val="21"/>
              </w:rPr>
              <w:t>-</w:t>
            </w:r>
          </w:p>
        </w:tc>
        <w:tc>
          <w:tcPr>
            <w:tcW w:w="1419" w:type="dxa"/>
            <w:vAlign w:val="center"/>
          </w:tcPr>
          <w:p w:rsidR="00F1424F" w:rsidRDefault="00986FFF">
            <w:pPr>
              <w:jc w:val="center"/>
            </w:pPr>
            <w:r>
              <w:rPr>
                <w:rFonts w:ascii="宋体" w:hAnsi="宋体" w:hint="eastAsia"/>
                <w:color w:val="000000"/>
                <w:kern w:val="0"/>
                <w:szCs w:val="21"/>
              </w:rPr>
              <w:t>1,491,930,326.25</w:t>
            </w:r>
          </w:p>
        </w:tc>
        <w:tc>
          <w:tcPr>
            <w:tcW w:w="1130" w:type="dxa"/>
            <w:vAlign w:val="center"/>
          </w:tcPr>
          <w:p w:rsidR="00F1424F" w:rsidRDefault="00986FFF">
            <w:pPr>
              <w:jc w:val="center"/>
            </w:pPr>
            <w:r>
              <w:rPr>
                <w:rFonts w:ascii="宋体" w:hAnsi="宋体" w:hint="eastAsia"/>
                <w:color w:val="000000"/>
                <w:kern w:val="0"/>
                <w:szCs w:val="21"/>
              </w:rPr>
              <w:t>19.90%</w:t>
            </w:r>
          </w:p>
        </w:tc>
      </w:tr>
      <w:tr w:rsidR="00F1424F">
        <w:tc>
          <w:tcPr>
            <w:tcW w:w="992" w:type="dxa"/>
            <w:vMerge/>
          </w:tcPr>
          <w:p w:rsidR="00F1424F" w:rsidRDefault="00F1424F"/>
        </w:tc>
        <w:tc>
          <w:tcPr>
            <w:tcW w:w="991" w:type="dxa"/>
            <w:vAlign w:val="center"/>
          </w:tcPr>
          <w:p w:rsidR="00F1424F" w:rsidRDefault="00986FFF">
            <w:pPr>
              <w:jc w:val="center"/>
            </w:pPr>
            <w:r>
              <w:rPr>
                <w:rFonts w:ascii="宋体" w:hAnsi="宋体" w:hint="eastAsia"/>
                <w:color w:val="000000"/>
                <w:kern w:val="0"/>
                <w:szCs w:val="21"/>
              </w:rPr>
              <w:t>3</w:t>
            </w:r>
          </w:p>
        </w:tc>
        <w:tc>
          <w:tcPr>
            <w:tcW w:w="1843" w:type="dxa"/>
            <w:vAlign w:val="center"/>
          </w:tcPr>
          <w:p w:rsidR="00F1424F" w:rsidRDefault="00986FFF">
            <w:pPr>
              <w:jc w:val="center"/>
            </w:pPr>
            <w:r>
              <w:rPr>
                <w:rFonts w:ascii="宋体" w:hAnsi="宋体" w:hint="eastAsia"/>
                <w:color w:val="000000"/>
                <w:kern w:val="0"/>
                <w:szCs w:val="21"/>
              </w:rPr>
              <w:t>2019/10/1-2019/12/31</w:t>
            </w:r>
          </w:p>
        </w:tc>
        <w:tc>
          <w:tcPr>
            <w:tcW w:w="851" w:type="dxa"/>
            <w:vAlign w:val="center"/>
          </w:tcPr>
          <w:p w:rsidR="00F1424F" w:rsidRDefault="00986FFF">
            <w:pPr>
              <w:jc w:val="center"/>
            </w:pPr>
            <w:r>
              <w:rPr>
                <w:rFonts w:ascii="宋体" w:hAnsi="宋体" w:hint="eastAsia"/>
                <w:color w:val="000000"/>
                <w:kern w:val="0"/>
                <w:szCs w:val="21"/>
              </w:rPr>
              <w:t>1,350,989,000.00</w:t>
            </w:r>
          </w:p>
        </w:tc>
        <w:tc>
          <w:tcPr>
            <w:tcW w:w="850" w:type="dxa"/>
            <w:vAlign w:val="center"/>
          </w:tcPr>
          <w:p w:rsidR="00F1424F" w:rsidRDefault="00986FFF">
            <w:pPr>
              <w:jc w:val="center"/>
            </w:pPr>
            <w:r>
              <w:rPr>
                <w:rFonts w:ascii="宋体" w:hAnsi="宋体" w:hint="eastAsia"/>
                <w:color w:val="000000"/>
                <w:kern w:val="0"/>
                <w:szCs w:val="21"/>
              </w:rPr>
              <w:t>-</w:t>
            </w:r>
          </w:p>
        </w:tc>
        <w:tc>
          <w:tcPr>
            <w:tcW w:w="1134" w:type="dxa"/>
            <w:vAlign w:val="center"/>
          </w:tcPr>
          <w:p w:rsidR="00F1424F" w:rsidRDefault="00986FFF">
            <w:pPr>
              <w:jc w:val="center"/>
            </w:pPr>
            <w:r>
              <w:rPr>
                <w:rFonts w:ascii="宋体" w:hAnsi="宋体" w:hint="eastAsia"/>
                <w:color w:val="000000"/>
                <w:kern w:val="0"/>
                <w:szCs w:val="21"/>
              </w:rPr>
              <w:t>-</w:t>
            </w:r>
          </w:p>
        </w:tc>
        <w:tc>
          <w:tcPr>
            <w:tcW w:w="1419" w:type="dxa"/>
            <w:vAlign w:val="center"/>
          </w:tcPr>
          <w:p w:rsidR="00F1424F" w:rsidRDefault="00986FFF">
            <w:pPr>
              <w:jc w:val="center"/>
            </w:pPr>
            <w:r>
              <w:rPr>
                <w:rFonts w:ascii="宋体" w:hAnsi="宋体" w:hint="eastAsia"/>
                <w:color w:val="000000"/>
                <w:kern w:val="0"/>
                <w:szCs w:val="21"/>
              </w:rPr>
              <w:t>1,350,989,000.00</w:t>
            </w:r>
          </w:p>
        </w:tc>
        <w:tc>
          <w:tcPr>
            <w:tcW w:w="1130" w:type="dxa"/>
            <w:vAlign w:val="center"/>
          </w:tcPr>
          <w:p w:rsidR="00F1424F" w:rsidRDefault="00986FFF">
            <w:pPr>
              <w:jc w:val="center"/>
            </w:pPr>
            <w:r>
              <w:rPr>
                <w:rFonts w:ascii="宋体" w:hAnsi="宋体" w:hint="eastAsia"/>
                <w:color w:val="000000"/>
                <w:kern w:val="0"/>
                <w:szCs w:val="21"/>
              </w:rPr>
              <w:t>18.02%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Pr>
                <w:rFonts w:ascii="宋体" w:hAnsi="宋体" w:hint="eastAsia"/>
                <w:kern w:val="0"/>
                <w:szCs w:val="21"/>
              </w:rPr>
              <w:lastRenderedPageBreak/>
              <w:t>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lastRenderedPageBreak/>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、中国证监会准予交银施罗德中债</w:t>
      </w:r>
      <w:r>
        <w:rPr>
          <w:rFonts w:eastAsiaTheme="minorEastAsia"/>
          <w:color w:val="000000"/>
          <w:sz w:val="24"/>
        </w:rPr>
        <w:t>1-3</w:t>
      </w:r>
      <w:r>
        <w:rPr>
          <w:rFonts w:eastAsiaTheme="minorEastAsia"/>
          <w:color w:val="000000"/>
          <w:sz w:val="24"/>
        </w:rPr>
        <w:t>年农发行债券指数证券投资基金募集注册的文件；</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年农发行债券指数证券投资基金基金合同》；</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年农发行债券指数证券投资基金招募说明书》；</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年农发行债券指数证券投资基金托管协议》；</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、关于申请募集注册交银施罗德中债</w:t>
      </w:r>
      <w:r>
        <w:rPr>
          <w:rFonts w:eastAsiaTheme="minorEastAsia"/>
          <w:color w:val="000000"/>
          <w:sz w:val="24"/>
        </w:rPr>
        <w:t>1-3</w:t>
      </w:r>
      <w:r>
        <w:rPr>
          <w:rFonts w:eastAsiaTheme="minorEastAsia"/>
          <w:color w:val="000000"/>
          <w:sz w:val="24"/>
        </w:rPr>
        <w:t>年农发行债券指数证券投资基金的法律意见书；</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8</w:t>
      </w:r>
      <w:r>
        <w:rPr>
          <w:rFonts w:eastAsiaTheme="minorEastAsia"/>
          <w:color w:val="000000"/>
          <w:sz w:val="24"/>
        </w:rPr>
        <w:t>、报告期内交银施罗德中债</w:t>
      </w:r>
      <w:r>
        <w:rPr>
          <w:rFonts w:eastAsiaTheme="minorEastAsia"/>
          <w:color w:val="000000"/>
          <w:sz w:val="24"/>
        </w:rPr>
        <w:t>1-3</w:t>
      </w:r>
      <w:r>
        <w:rPr>
          <w:rFonts w:eastAsiaTheme="minorEastAsia"/>
          <w:color w:val="000000"/>
          <w:sz w:val="24"/>
        </w:rPr>
        <w:t>年农发行债券指数证券投资基金在指定报刊上各项公告的原稿。</w:t>
      </w:r>
    </w:p>
    <w:p w:rsidR="00FB3C94" w:rsidRPr="007F52FA" w:rsidRDefault="00FB3C94" w:rsidP="007C14DF">
      <w:pPr>
        <w:spacing w:before="29" w:line="288" w:lineRule="auto"/>
        <w:ind w:firstLineChars="200" w:firstLine="480"/>
        <w:rPr>
          <w:rFonts w:eastAsiaTheme="minorEastAsia"/>
          <w:color w:val="000000"/>
          <w:sz w:val="24"/>
        </w:rPr>
      </w:pP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1424F" w:rsidRDefault="00986FF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B5" w:rsidRDefault="00325EB5">
      <w:r>
        <w:separator/>
      </w:r>
    </w:p>
  </w:endnote>
  <w:endnote w:type="continuationSeparator" w:id="0">
    <w:p w:rsidR="00325EB5" w:rsidRDefault="0032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14538">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14538">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B5" w:rsidRDefault="00325EB5">
      <w:r>
        <w:separator/>
      </w:r>
    </w:p>
  </w:footnote>
  <w:footnote w:type="continuationSeparator" w:id="0">
    <w:p w:rsidR="00325EB5" w:rsidRDefault="0032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05"/>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25EB5"/>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86FFF"/>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538"/>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24F"/>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2CEC-788D-455B-B30C-87F5D951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253</TotalTime>
  <Pages>13</Pages>
  <Words>1102</Words>
  <Characters>6284</Characters>
  <Application>Microsoft Office Word</Application>
  <DocSecurity>0</DocSecurity>
  <Lines>52</Lines>
  <Paragraphs>14</Paragraphs>
  <ScaleCrop>false</ScaleCrop>
  <Company>TRT. Ltd. Co.</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406</cp:revision>
  <cp:lastPrinted>2007-07-19T00:46:00Z</cp:lastPrinted>
  <dcterms:created xsi:type="dcterms:W3CDTF">2014-01-17T06:19:00Z</dcterms:created>
  <dcterms:modified xsi:type="dcterms:W3CDTF">2020-01-16T03:05:00Z</dcterms:modified>
</cp:coreProperties>
</file>