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交银施罗德先锋混合型证券投资基金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2009年4月10日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448,201,016.72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75%×中证700指数+25%×中证综合债券指数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34,476,797.57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28,813,758.73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0.0500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648,938,245.64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1.4479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3.67%</w:t>
            </w:r>
          </w:p>
        </w:tc>
        <w:tc>
          <w:tcPr>
            <w:vAlign w:val="center"/>
          </w:tcPr>
          <w:p>
            <w:pPr>
              <w:jc w:val="center"/>
            </w:pPr>
            <w:r>
              <w:rPr>
                <w:color w:val="000000"/>
                <w:sz w:val="24"/>
                <w:szCs w:val="24"/>
              </w:rPr>
              <w:t>1.17%</w:t>
            </w:r>
          </w:p>
        </w:tc>
        <w:tc>
          <w:tcPr>
            <w:vAlign w:val="center"/>
          </w:tcPr>
          <w:p>
            <w:pPr>
              <w:jc w:val="center"/>
            </w:pPr>
            <w:r>
              <w:rPr>
                <w:color w:val="000000"/>
                <w:sz w:val="24"/>
                <w:szCs w:val="24"/>
              </w:rPr>
              <w:t>6.75%</w:t>
            </w:r>
          </w:p>
        </w:tc>
        <w:tc>
          <w:tcPr>
            <w:vAlign w:val="center"/>
          </w:tcPr>
          <w:p>
            <w:pPr>
              <w:jc w:val="center"/>
            </w:pPr>
            <w:r>
              <w:rPr>
                <w:color w:val="000000"/>
                <w:sz w:val="24"/>
                <w:szCs w:val="24"/>
              </w:rPr>
              <w:t>0.66%</w:t>
            </w:r>
          </w:p>
        </w:tc>
        <w:tc>
          <w:tcPr>
            <w:vAlign w:val="center"/>
          </w:tcPr>
          <w:p>
            <w:pPr>
              <w:jc w:val="center"/>
            </w:pPr>
            <w:r>
              <w:rPr>
                <w:color w:val="000000"/>
                <w:sz w:val="24"/>
                <w:szCs w:val="24"/>
              </w:rPr>
              <w:t>-3.08%</w:t>
            </w:r>
          </w:p>
        </w:tc>
        <w:tc>
          <w:tcPr>
            <w:vAlign w:val="center"/>
          </w:tcPr>
          <w:p>
            <w:pPr>
              <w:jc w:val="center"/>
            </w:pPr>
            <w:r>
              <w:rPr>
                <w:color w:val="000000"/>
                <w:sz w:val="24"/>
                <w:szCs w:val="24"/>
              </w:rPr>
              <w:t>0.51%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700指数+25%×中信全债指数”变更为“75%×中证700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交银施罗德先锋混合型证券投资基金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2009年4月10日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交银先锋混合、交银科技创新灵活配置混合的基金经理</w:t>
            </w:r>
          </w:p>
        </w:tc>
        <w:tc>
          <w:tcPr>
            <w:vAlign w:val="center"/>
          </w:tcPr>
          <w:p>
            <w:pPr>
              <w:jc w:val="center"/>
            </w:pPr>
            <w:r>
              <w:rPr>
                <w:color w:val="000000"/>
                <w:sz w:val="24"/>
                <w:szCs w:val="24"/>
              </w:rPr>
              <w:t>2015-05-18</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宏观经济进一步减速，但是由于猪肉价格高企带动CPI逐步向上，使得央行希望通过降准降息逆向调节经济的货币政策时点延后，同时市场对滞涨的担心有所提升。中美贸易达成第一阶段协议，短期市场风险偏好提升。2019年成长股涨幅巨大，我们认为未来市场会更加均衡，因此我们在四季度适当调整了组合使之更加均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展望2020年一季度，本基金预计市场面临整体风险不大，存在结构性机会。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597,139,921.40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597,139,921.40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45,069,000.00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45,069,000.00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13,240,347.51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1,677,712.90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657,126,981.81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251,492,277.40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228,758,381.51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49,377,160.13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32,514,098.32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158,153.04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23,614,051.00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11,225,800.00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597,139,921.40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92.02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4,649,850</w:t>
            </w:r>
          </w:p>
        </w:tc>
        <w:tc>
          <w:tcPr>
            <w:vAlign w:val="center"/>
          </w:tcPr>
          <w:p>
            <w:pPr>
              <w:jc w:val="right"/>
            </w:pPr>
            <w:r>
              <w:rPr>
                <w:color w:val="000000"/>
                <w:sz w:val="24"/>
                <w:szCs w:val="24"/>
              </w:rPr>
              <w:t>60,169,059.00</w:t>
            </w:r>
          </w:p>
        </w:tc>
        <w:tc>
          <w:tcPr>
            <w:vAlign w:val="center"/>
          </w:tcPr>
          <w:p>
            <w:pPr>
              <w:jc w:val="right"/>
            </w:pPr>
            <w:r>
              <w:rPr>
                <w:color w:val="000000"/>
                <w:sz w:val="24"/>
                <w:szCs w:val="24"/>
              </w:rPr>
              <w:t>9.27</w:t>
            </w:r>
          </w:p>
        </w:tc>
      </w:tr>
      <w:tr>
        <w:tc>
          <w:tcPr>
            <w:vAlign w:val="center"/>
          </w:tcPr>
          <w:p>
            <w:pPr>
              <w:jc w:val="center"/>
            </w:pPr>
            <w:r>
              <w:rPr>
                <w:color w:val="000000"/>
                <w:sz w:val="24"/>
                <w:szCs w:val="24"/>
              </w:rPr>
              <w:t>2</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1,201,802</w:t>
            </w:r>
          </w:p>
        </w:tc>
        <w:tc>
          <w:tcPr>
            <w:vAlign w:val="center"/>
          </w:tcPr>
          <w:p>
            <w:pPr>
              <w:jc w:val="right"/>
            </w:pPr>
            <w:r>
              <w:rPr>
                <w:color w:val="000000"/>
                <w:sz w:val="24"/>
                <w:szCs w:val="24"/>
              </w:rPr>
              <w:t>57,782,640.16</w:t>
            </w:r>
          </w:p>
        </w:tc>
        <w:tc>
          <w:tcPr>
            <w:vAlign w:val="center"/>
          </w:tcPr>
          <w:p>
            <w:pPr>
              <w:jc w:val="right"/>
            </w:pPr>
            <w:r>
              <w:rPr>
                <w:color w:val="000000"/>
                <w:sz w:val="24"/>
                <w:szCs w:val="24"/>
              </w:rPr>
              <w:t>8.90</w:t>
            </w:r>
          </w:p>
        </w:tc>
      </w:tr>
      <w:tr>
        <w:tc>
          <w:tcPr>
            <w:vAlign w:val="center"/>
          </w:tcPr>
          <w:p>
            <w:pPr>
              <w:jc w:val="center"/>
            </w:pPr>
            <w:r>
              <w:rPr>
                <w:color w:val="000000"/>
                <w:sz w:val="24"/>
                <w:szCs w:val="24"/>
              </w:rPr>
              <w:t>3</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1,914,786</w:t>
            </w:r>
          </w:p>
        </w:tc>
        <w:tc>
          <w:tcPr>
            <w:vAlign w:val="center"/>
          </w:tcPr>
          <w:p>
            <w:pPr>
              <w:jc w:val="right"/>
            </w:pPr>
            <w:r>
              <w:rPr>
                <w:color w:val="000000"/>
                <w:sz w:val="24"/>
                <w:szCs w:val="24"/>
              </w:rPr>
              <w:t>41,933,813.40</w:t>
            </w:r>
          </w:p>
        </w:tc>
        <w:tc>
          <w:tcPr>
            <w:vAlign w:val="center"/>
          </w:tcPr>
          <w:p>
            <w:pPr>
              <w:jc w:val="right"/>
            </w:pPr>
            <w:r>
              <w:rPr>
                <w:color w:val="000000"/>
                <w:sz w:val="24"/>
                <w:szCs w:val="24"/>
              </w:rPr>
              <w:t>6.46</w:t>
            </w:r>
          </w:p>
        </w:tc>
      </w:tr>
      <w:tr>
        <w:tc>
          <w:tcPr>
            <w:vAlign w:val="center"/>
          </w:tcPr>
          <w:p>
            <w:pPr>
              <w:jc w:val="center"/>
            </w:pPr>
            <w:r>
              <w:rPr>
                <w:color w:val="000000"/>
                <w:sz w:val="24"/>
                <w:szCs w:val="24"/>
              </w:rPr>
              <w:t>4</w:t>
            </w:r>
          </w:p>
        </w:tc>
        <w:tc>
          <w:tcPr>
            <w:vAlign w:val="center"/>
          </w:tcPr>
          <w:p>
            <w:pPr>
              <w:jc w:val="center"/>
            </w:pPr>
            <w:r>
              <w:rPr>
                <w:color w:val="000000"/>
                <w:sz w:val="24"/>
                <w:szCs w:val="24"/>
              </w:rPr>
              <w:t>002001</w:t>
            </w:r>
          </w:p>
        </w:tc>
        <w:tc>
          <w:tcPr>
            <w:vAlign w:val="center"/>
          </w:tcPr>
          <w:p>
            <w:pPr>
              <w:jc w:val="center"/>
            </w:pPr>
            <w:r>
              <w:rPr>
                <w:color w:val="000000"/>
                <w:sz w:val="24"/>
                <w:szCs w:val="24"/>
              </w:rPr>
              <w:t>新和成</w:t>
            </w:r>
          </w:p>
        </w:tc>
        <w:tc>
          <w:tcPr>
            <w:vAlign w:val="center"/>
          </w:tcPr>
          <w:p>
            <w:pPr>
              <w:jc w:val="right"/>
            </w:pPr>
            <w:r>
              <w:rPr>
                <w:color w:val="000000"/>
                <w:sz w:val="24"/>
                <w:szCs w:val="24"/>
              </w:rPr>
              <w:t>1,443,597</w:t>
            </w:r>
          </w:p>
        </w:tc>
        <w:tc>
          <w:tcPr>
            <w:vAlign w:val="center"/>
          </w:tcPr>
          <w:p>
            <w:pPr>
              <w:jc w:val="right"/>
            </w:pPr>
            <w:r>
              <w:rPr>
                <w:color w:val="000000"/>
                <w:sz w:val="24"/>
                <w:szCs w:val="24"/>
              </w:rPr>
              <w:t>33,578,066.22</w:t>
            </w:r>
          </w:p>
        </w:tc>
        <w:tc>
          <w:tcPr>
            <w:vAlign w:val="center"/>
          </w:tcPr>
          <w:p>
            <w:pPr>
              <w:jc w:val="right"/>
            </w:pPr>
            <w:r>
              <w:rPr>
                <w:color w:val="000000"/>
                <w:sz w:val="24"/>
                <w:szCs w:val="24"/>
              </w:rPr>
              <w:t>5.17</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2,009,524</w:t>
            </w:r>
          </w:p>
        </w:tc>
        <w:tc>
          <w:tcPr>
            <w:vAlign w:val="center"/>
          </w:tcPr>
          <w:p>
            <w:pPr>
              <w:jc w:val="right"/>
            </w:pPr>
            <w:r>
              <w:rPr>
                <w:color w:val="000000"/>
                <w:sz w:val="24"/>
                <w:szCs w:val="24"/>
              </w:rPr>
              <w:t>32,514,098.32</w:t>
            </w:r>
          </w:p>
        </w:tc>
        <w:tc>
          <w:tcPr>
            <w:vAlign w:val="center"/>
          </w:tcPr>
          <w:p>
            <w:pPr>
              <w:jc w:val="right"/>
            </w:pPr>
            <w:r>
              <w:rPr>
                <w:color w:val="000000"/>
                <w:sz w:val="24"/>
                <w:szCs w:val="24"/>
              </w:rPr>
              <w:t>5.01</w:t>
            </w:r>
          </w:p>
        </w:tc>
      </w:tr>
      <w:tr>
        <w:tc>
          <w:tcPr>
            <w:vAlign w:val="center"/>
          </w:tcPr>
          <w:p>
            <w:pPr>
              <w:jc w:val="center"/>
            </w:pPr>
            <w:r>
              <w:rPr>
                <w:color w:val="000000"/>
                <w:sz w:val="24"/>
                <w:szCs w:val="24"/>
              </w:rPr>
              <w:t>6</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2,052,746</w:t>
            </w:r>
          </w:p>
        </w:tc>
        <w:tc>
          <w:tcPr>
            <w:vAlign w:val="center"/>
          </w:tcPr>
          <w:p>
            <w:pPr>
              <w:jc w:val="right"/>
            </w:pPr>
            <w:r>
              <w:rPr>
                <w:color w:val="000000"/>
                <w:sz w:val="24"/>
                <w:szCs w:val="24"/>
              </w:rPr>
              <w:t>30,750,135.08</w:t>
            </w:r>
          </w:p>
        </w:tc>
        <w:tc>
          <w:tcPr>
            <w:vAlign w:val="center"/>
          </w:tcPr>
          <w:p>
            <w:pPr>
              <w:jc w:val="right"/>
            </w:pPr>
            <w:r>
              <w:rPr>
                <w:color w:val="000000"/>
                <w:sz w:val="24"/>
                <w:szCs w:val="24"/>
              </w:rPr>
              <w:t>4.74</w:t>
            </w:r>
          </w:p>
        </w:tc>
      </w:tr>
      <w:tr>
        <w:tc>
          <w:tcPr>
            <w:vAlign w:val="center"/>
          </w:tcPr>
          <w:p>
            <w:pPr>
              <w:jc w:val="center"/>
            </w:pPr>
            <w:r>
              <w:rPr>
                <w:color w:val="000000"/>
                <w:sz w:val="24"/>
                <w:szCs w:val="24"/>
              </w:rPr>
              <w:t>7</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2,127,378</w:t>
            </w:r>
          </w:p>
        </w:tc>
        <w:tc>
          <w:tcPr>
            <w:vAlign w:val="center"/>
          </w:tcPr>
          <w:p>
            <w:pPr>
              <w:jc w:val="right"/>
            </w:pPr>
            <w:r>
              <w:rPr>
                <w:color w:val="000000"/>
                <w:sz w:val="24"/>
                <w:szCs w:val="24"/>
              </w:rPr>
              <w:t>28,400,496.30</w:t>
            </w:r>
          </w:p>
        </w:tc>
        <w:tc>
          <w:tcPr>
            <w:vAlign w:val="center"/>
          </w:tcPr>
          <w:p>
            <w:pPr>
              <w:jc w:val="right"/>
            </w:pPr>
            <w:r>
              <w:rPr>
                <w:color w:val="000000"/>
                <w:sz w:val="24"/>
                <w:szCs w:val="24"/>
              </w:rPr>
              <w:t>4.38</w:t>
            </w:r>
          </w:p>
        </w:tc>
      </w:tr>
      <w:tr>
        <w:tc>
          <w:tcPr>
            <w:vAlign w:val="center"/>
          </w:tcPr>
          <w:p>
            <w:pPr>
              <w:jc w:val="center"/>
            </w:pPr>
            <w:r>
              <w:rPr>
                <w:color w:val="000000"/>
                <w:sz w:val="24"/>
                <w:szCs w:val="24"/>
              </w:rPr>
              <w:t>8</w:t>
            </w:r>
          </w:p>
        </w:tc>
        <w:tc>
          <w:tcPr>
            <w:vAlign w:val="center"/>
          </w:tcPr>
          <w:p>
            <w:pPr>
              <w:jc w:val="center"/>
            </w:pPr>
            <w:r>
              <w:rPr>
                <w:color w:val="000000"/>
                <w:sz w:val="24"/>
                <w:szCs w:val="24"/>
              </w:rPr>
              <w:t>002236</w:t>
            </w:r>
          </w:p>
        </w:tc>
        <w:tc>
          <w:tcPr>
            <w:vAlign w:val="center"/>
          </w:tcPr>
          <w:p>
            <w:pPr>
              <w:jc w:val="center"/>
            </w:pPr>
            <w:r>
              <w:rPr>
                <w:color w:val="000000"/>
                <w:sz w:val="24"/>
                <w:szCs w:val="24"/>
              </w:rPr>
              <w:t>大华股份</w:t>
            </w:r>
          </w:p>
        </w:tc>
        <w:tc>
          <w:tcPr>
            <w:vAlign w:val="center"/>
          </w:tcPr>
          <w:p>
            <w:pPr>
              <w:jc w:val="right"/>
            </w:pPr>
            <w:r>
              <w:rPr>
                <w:color w:val="000000"/>
                <w:sz w:val="24"/>
                <w:szCs w:val="24"/>
              </w:rPr>
              <w:t>1,338,400</w:t>
            </w:r>
          </w:p>
        </w:tc>
        <w:tc>
          <w:tcPr>
            <w:vAlign w:val="center"/>
          </w:tcPr>
          <w:p>
            <w:pPr>
              <w:jc w:val="right"/>
            </w:pPr>
            <w:r>
              <w:rPr>
                <w:color w:val="000000"/>
                <w:sz w:val="24"/>
                <w:szCs w:val="24"/>
              </w:rPr>
              <w:t>26,607,392.00</w:t>
            </w:r>
          </w:p>
        </w:tc>
        <w:tc>
          <w:tcPr>
            <w:vAlign w:val="center"/>
          </w:tcPr>
          <w:p>
            <w:pPr>
              <w:jc w:val="right"/>
            </w:pPr>
            <w:r>
              <w:rPr>
                <w:color w:val="000000"/>
                <w:sz w:val="24"/>
                <w:szCs w:val="24"/>
              </w:rPr>
              <w:t>4.10</w:t>
            </w:r>
          </w:p>
        </w:tc>
      </w:tr>
      <w:tr>
        <w:tc>
          <w:tcPr>
            <w:vAlign w:val="center"/>
          </w:tcPr>
          <w:p>
            <w:pPr>
              <w:jc w:val="center"/>
            </w:pPr>
            <w:r>
              <w:rPr>
                <w:color w:val="000000"/>
                <w:sz w:val="24"/>
                <w:szCs w:val="24"/>
              </w:rPr>
              <w:t>9</w:t>
            </w:r>
          </w:p>
        </w:tc>
        <w:tc>
          <w:tcPr>
            <w:vAlign w:val="center"/>
          </w:tcPr>
          <w:p>
            <w:pPr>
              <w:jc w:val="center"/>
            </w:pPr>
            <w:r>
              <w:rPr>
                <w:color w:val="000000"/>
                <w:sz w:val="24"/>
                <w:szCs w:val="24"/>
              </w:rPr>
              <w:t>300454</w:t>
            </w:r>
          </w:p>
        </w:tc>
        <w:tc>
          <w:tcPr>
            <w:vAlign w:val="center"/>
          </w:tcPr>
          <w:p>
            <w:pPr>
              <w:jc w:val="center"/>
            </w:pPr>
            <w:r>
              <w:rPr>
                <w:color w:val="000000"/>
                <w:sz w:val="24"/>
                <w:szCs w:val="24"/>
              </w:rPr>
              <w:t>深信服</w:t>
            </w:r>
          </w:p>
        </w:tc>
        <w:tc>
          <w:tcPr>
            <w:vAlign w:val="center"/>
          </w:tcPr>
          <w:p>
            <w:pPr>
              <w:jc w:val="right"/>
            </w:pPr>
            <w:r>
              <w:rPr>
                <w:color w:val="000000"/>
                <w:sz w:val="24"/>
                <w:szCs w:val="24"/>
              </w:rPr>
              <w:t>230,236</w:t>
            </w:r>
          </w:p>
        </w:tc>
        <w:tc>
          <w:tcPr>
            <w:vAlign w:val="center"/>
          </w:tcPr>
          <w:p>
            <w:pPr>
              <w:jc w:val="right"/>
            </w:pPr>
            <w:r>
              <w:rPr>
                <w:color w:val="000000"/>
                <w:sz w:val="24"/>
                <w:szCs w:val="24"/>
              </w:rPr>
              <w:t>26,336,696.04</w:t>
            </w:r>
          </w:p>
        </w:tc>
        <w:tc>
          <w:tcPr>
            <w:vAlign w:val="center"/>
          </w:tcPr>
          <w:p>
            <w:pPr>
              <w:jc w:val="right"/>
            </w:pPr>
            <w:r>
              <w:rPr>
                <w:color w:val="000000"/>
                <w:sz w:val="24"/>
                <w:szCs w:val="24"/>
              </w:rPr>
              <w:t>4.06</w:t>
            </w:r>
          </w:p>
        </w:tc>
      </w:tr>
      <w:tr>
        <w:tc>
          <w:tcPr>
            <w:vAlign w:val="center"/>
          </w:tcPr>
          <w:p>
            <w:pPr>
              <w:jc w:val="center"/>
            </w:pPr>
            <w:r>
              <w:rPr>
                <w:color w:val="000000"/>
                <w:sz w:val="24"/>
                <w:szCs w:val="24"/>
              </w:rPr>
              <w:t>10</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551,145</w:t>
            </w:r>
          </w:p>
        </w:tc>
        <w:tc>
          <w:tcPr>
            <w:vAlign w:val="center"/>
          </w:tcPr>
          <w:p>
            <w:pPr>
              <w:jc w:val="right"/>
            </w:pPr>
            <w:r>
              <w:rPr>
                <w:color w:val="000000"/>
                <w:sz w:val="24"/>
                <w:szCs w:val="24"/>
              </w:rPr>
              <w:t>26,295,127.95</w:t>
            </w:r>
          </w:p>
        </w:tc>
        <w:tc>
          <w:tcPr>
            <w:vAlign w:val="center"/>
          </w:tcPr>
          <w:p>
            <w:pPr>
              <w:jc w:val="right"/>
            </w:pPr>
            <w:r>
              <w:rPr>
                <w:color w:val="000000"/>
                <w:sz w:val="24"/>
                <w:szCs w:val="24"/>
              </w:rPr>
              <w:t>4.05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5,003,000.00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0.77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40,066,000.00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6.17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40,066,000.00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6.17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45,069,000.00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190304</w:t>
            </w:r>
          </w:p>
        </w:tc>
        <w:tc>
          <w:tcPr>
            <w:vAlign w:val="center"/>
          </w:tcPr>
          <w:p>
            <w:pPr>
              <w:jc w:val="center"/>
            </w:pPr>
            <w:r>
              <w:rPr>
                <w:color w:val="000000"/>
                <w:sz w:val="24"/>
                <w:szCs w:val="24"/>
              </w:rPr>
              <w:t>19进出04</w:t>
            </w:r>
          </w:p>
        </w:tc>
        <w:tc>
          <w:tcPr>
            <w:vAlign w:val="center"/>
          </w:tcPr>
          <w:p>
            <w:pPr>
              <w:jc w:val="right"/>
            </w:pPr>
            <w:r>
              <w:rPr>
                <w:color w:val="000000"/>
                <w:sz w:val="24"/>
                <w:szCs w:val="24"/>
              </w:rPr>
              <w:t>200,000</w:t>
            </w:r>
          </w:p>
        </w:tc>
        <w:tc>
          <w:tcPr>
            <w:vAlign w:val="center"/>
          </w:tcPr>
          <w:p>
            <w:pPr>
              <w:jc w:val="right"/>
            </w:pPr>
            <w:r>
              <w:rPr>
                <w:color w:val="000000"/>
                <w:sz w:val="24"/>
                <w:szCs w:val="24"/>
              </w:rPr>
              <w:t>20,034,000.00</w:t>
            </w:r>
          </w:p>
        </w:tc>
        <w:tc>
          <w:tcPr>
            <w:vAlign w:val="center"/>
          </w:tcPr>
          <w:p>
            <w:pPr>
              <w:jc w:val="right"/>
            </w:pPr>
            <w:r>
              <w:rPr>
                <w:color w:val="000000"/>
                <w:sz w:val="24"/>
                <w:szCs w:val="24"/>
              </w:rPr>
              <w:t>3.09</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20,032,000.00</w:t>
            </w:r>
          </w:p>
        </w:tc>
        <w:tc>
          <w:tcPr>
            <w:vAlign w:val="center"/>
          </w:tcPr>
          <w:p>
            <w:pPr>
              <w:jc w:val="right"/>
            </w:pPr>
            <w:r>
              <w:rPr>
                <w:color w:val="000000"/>
                <w:sz w:val="24"/>
                <w:szCs w:val="24"/>
              </w:rPr>
              <w:t>3.09</w:t>
            </w:r>
          </w:p>
        </w:tc>
      </w:tr>
      <w:tr>
        <w:tc>
          <w:tcPr>
            <w:vAlign w:val="center"/>
          </w:tcPr>
          <w:p>
            <w:pPr>
              <w:jc w:val="center"/>
            </w:pPr>
            <w:r>
              <w:rPr>
                <w:color w:val="000000"/>
                <w:sz w:val="24"/>
                <w:szCs w:val="24"/>
              </w:rPr>
              <w:t>3</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50,000</w:t>
            </w:r>
          </w:p>
        </w:tc>
        <w:tc>
          <w:tcPr>
            <w:vAlign w:val="center"/>
          </w:tcPr>
          <w:p>
            <w:pPr>
              <w:jc w:val="right"/>
            </w:pPr>
            <w:r>
              <w:rPr>
                <w:color w:val="000000"/>
                <w:sz w:val="24"/>
                <w:szCs w:val="24"/>
              </w:rPr>
              <w:t>5,003,000.00</w:t>
            </w:r>
          </w:p>
        </w:tc>
        <w:tc>
          <w:tcPr>
            <w:vAlign w:val="center"/>
          </w:tcPr>
          <w:p>
            <w:pPr>
              <w:jc w:val="right"/>
            </w:pPr>
            <w:r>
              <w:rPr>
                <w:color w:val="000000"/>
                <w:sz w:val="24"/>
                <w:szCs w:val="24"/>
              </w:rPr>
              <w:t>0.77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320,766.34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827,822.47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529,124.09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1,677,712.90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633,244,299.80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26,186,142.17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211,229,425.25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448,201,016.72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1、中国证监会核准交银施罗德先锋股票证券投资基金募集的文件；</w:t>
      </w:r>
    </w:p>
    <w:p>
      <w:pPr>
        <w:spacing w:before="29" w:line="288" w:lineRule="auto"/>
        <w:ind w:firstLine="480" w:firstLineChars="200"/>
        <w:rPr>
          <w:color w:val="000000"/>
          <w:sz w:val="24"/>
          <w:szCs w:val="24"/>
        </w:rPr>
      </w:pPr>
      <w:r>
        <w:rPr>
          <w:color w:val="000000"/>
          <w:sz w:val="24"/>
          <w:szCs w:val="24"/>
        </w:rPr>
        <w:t>2、《交银施罗德先锋混合型证券投资基金基金合同》；</w:t>
      </w:r>
    </w:p>
    <w:p>
      <w:pPr>
        <w:spacing w:before="29" w:line="288" w:lineRule="auto"/>
        <w:ind w:firstLine="480" w:firstLineChars="200"/>
        <w:rPr>
          <w:color w:val="000000"/>
          <w:sz w:val="24"/>
          <w:szCs w:val="24"/>
        </w:rPr>
      </w:pPr>
      <w:r>
        <w:rPr>
          <w:color w:val="000000"/>
          <w:sz w:val="24"/>
          <w:szCs w:val="24"/>
        </w:rPr>
        <w:t>3、《交银施罗德先锋混合型证券投资基金招募说明书》；</w:t>
      </w:r>
    </w:p>
    <w:p>
      <w:pPr>
        <w:spacing w:before="29" w:line="288" w:lineRule="auto"/>
        <w:ind w:firstLine="480" w:firstLineChars="200"/>
        <w:rPr>
          <w:color w:val="000000"/>
          <w:sz w:val="24"/>
          <w:szCs w:val="24"/>
        </w:rPr>
      </w:pPr>
      <w:r>
        <w:rPr>
          <w:color w:val="000000"/>
          <w:sz w:val="24"/>
          <w:szCs w:val="24"/>
        </w:rPr>
        <w:t>4、《交银施罗德先锋混合型证券投资基金托管协议》；</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7、关于申请募集交银施罗德先锋股票证券投资基金之法律意见书；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8、报告期内交银施罗德先锋混合型证券投资基金在指定报刊上各项公告的原稿。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交银施罗德先锋混合型证券投资基金2019年第4季度报告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