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1A6B17" w:rsidRDefault="002D12F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A6B17" w:rsidRDefault="002D12F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A6B17" w:rsidRDefault="002D12F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A6B17" w:rsidRDefault="002D12F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A6B17" w:rsidRDefault="002D12F2">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36,329,693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D12F2" w:rsidRPr="0036023B" w:rsidTr="002D12F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2D12F2" w:rsidRPr="0036023B" w:rsidTr="002D12F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4,909,013.64</w:t>
            </w:r>
          </w:p>
        </w:tc>
      </w:tr>
      <w:tr w:rsidR="002D12F2" w:rsidRPr="0036023B" w:rsidTr="002D12F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7,804,106.89</w:t>
            </w:r>
          </w:p>
        </w:tc>
      </w:tr>
      <w:tr w:rsidR="002D12F2" w:rsidRPr="0036023B" w:rsidTr="002D12F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0.2121</w:t>
            </w:r>
          </w:p>
        </w:tc>
      </w:tr>
      <w:tr w:rsidR="002D12F2" w:rsidRPr="0036023B" w:rsidTr="002D12F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75,463,103.55</w:t>
            </w:r>
          </w:p>
        </w:tc>
      </w:tr>
      <w:tr w:rsidR="002D12F2" w:rsidRPr="0036023B" w:rsidTr="002D12F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2.077</w:t>
            </w:r>
          </w:p>
        </w:tc>
      </w:tr>
    </w:tbl>
    <w:p w:rsidR="001A6B17" w:rsidRDefault="002D12F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1A6B17">
        <w:trPr>
          <w:jc w:val="center"/>
        </w:trPr>
        <w:tc>
          <w:tcPr>
            <w:tcW w:w="1469" w:type="dxa"/>
            <w:vAlign w:val="center"/>
          </w:tcPr>
          <w:p w:rsidR="001A6B17" w:rsidRDefault="002D12F2">
            <w:pPr>
              <w:jc w:val="left"/>
            </w:pPr>
            <w:r>
              <w:rPr>
                <w:color w:val="000000"/>
                <w:sz w:val="24"/>
              </w:rPr>
              <w:t>过去三个月</w:t>
            </w:r>
          </w:p>
        </w:tc>
        <w:tc>
          <w:tcPr>
            <w:tcW w:w="1150" w:type="dxa"/>
            <w:vAlign w:val="center"/>
          </w:tcPr>
          <w:p w:rsidR="001A6B17" w:rsidRDefault="002D12F2">
            <w:pPr>
              <w:jc w:val="center"/>
            </w:pPr>
            <w:r>
              <w:rPr>
                <w:color w:val="000000"/>
                <w:sz w:val="24"/>
              </w:rPr>
              <w:t>11.31%</w:t>
            </w:r>
          </w:p>
        </w:tc>
        <w:tc>
          <w:tcPr>
            <w:tcW w:w="1223" w:type="dxa"/>
            <w:vAlign w:val="center"/>
          </w:tcPr>
          <w:p w:rsidR="001A6B17" w:rsidRDefault="002D12F2">
            <w:pPr>
              <w:jc w:val="center"/>
            </w:pPr>
            <w:r>
              <w:rPr>
                <w:color w:val="000000"/>
                <w:sz w:val="24"/>
              </w:rPr>
              <w:t>0.88%</w:t>
            </w:r>
          </w:p>
        </w:tc>
        <w:tc>
          <w:tcPr>
            <w:tcW w:w="1244" w:type="dxa"/>
            <w:vAlign w:val="center"/>
          </w:tcPr>
          <w:p w:rsidR="001A6B17" w:rsidRDefault="002D12F2">
            <w:pPr>
              <w:jc w:val="center"/>
            </w:pPr>
            <w:r>
              <w:rPr>
                <w:color w:val="000000"/>
                <w:sz w:val="24"/>
              </w:rPr>
              <w:t>11.66%</w:t>
            </w:r>
          </w:p>
        </w:tc>
        <w:tc>
          <w:tcPr>
            <w:tcW w:w="1251" w:type="dxa"/>
            <w:vAlign w:val="center"/>
          </w:tcPr>
          <w:p w:rsidR="001A6B17" w:rsidRDefault="002D12F2">
            <w:pPr>
              <w:jc w:val="center"/>
            </w:pPr>
            <w:r>
              <w:rPr>
                <w:color w:val="000000"/>
                <w:sz w:val="24"/>
              </w:rPr>
              <w:t>0.89%</w:t>
            </w:r>
          </w:p>
        </w:tc>
        <w:tc>
          <w:tcPr>
            <w:tcW w:w="1263" w:type="dxa"/>
            <w:vAlign w:val="center"/>
          </w:tcPr>
          <w:p w:rsidR="001A6B17" w:rsidRDefault="002D12F2">
            <w:pPr>
              <w:jc w:val="center"/>
            </w:pPr>
            <w:r>
              <w:rPr>
                <w:color w:val="000000"/>
                <w:sz w:val="24"/>
              </w:rPr>
              <w:t>-0.35%</w:t>
            </w:r>
          </w:p>
        </w:tc>
        <w:tc>
          <w:tcPr>
            <w:tcW w:w="1268" w:type="dxa"/>
            <w:vAlign w:val="center"/>
          </w:tcPr>
          <w:p w:rsidR="001A6B17" w:rsidRDefault="002D12F2">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1A6B17">
        <w:trPr>
          <w:jc w:val="center"/>
        </w:trPr>
        <w:tc>
          <w:tcPr>
            <w:tcW w:w="846" w:type="dxa"/>
            <w:vAlign w:val="center"/>
          </w:tcPr>
          <w:p w:rsidR="001A6B17" w:rsidRDefault="002D12F2">
            <w:pPr>
              <w:jc w:val="center"/>
            </w:pPr>
            <w:r>
              <w:rPr>
                <w:color w:val="000000"/>
                <w:sz w:val="24"/>
              </w:rPr>
              <w:t>蔡铮</w:t>
            </w:r>
          </w:p>
        </w:tc>
        <w:tc>
          <w:tcPr>
            <w:tcW w:w="845" w:type="dxa"/>
            <w:vAlign w:val="center"/>
          </w:tcPr>
          <w:p w:rsidR="001A6B17" w:rsidRDefault="002D12F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549" w:type="dxa"/>
            <w:vAlign w:val="center"/>
          </w:tcPr>
          <w:p w:rsidR="001A6B17" w:rsidRDefault="002D12F2">
            <w:pPr>
              <w:jc w:val="center"/>
            </w:pPr>
            <w:r>
              <w:rPr>
                <w:color w:val="000000"/>
                <w:sz w:val="24"/>
              </w:rPr>
              <w:lastRenderedPageBreak/>
              <w:t>2012-12-27</w:t>
            </w:r>
          </w:p>
        </w:tc>
        <w:tc>
          <w:tcPr>
            <w:tcW w:w="1548" w:type="dxa"/>
            <w:vAlign w:val="center"/>
          </w:tcPr>
          <w:p w:rsidR="001A6B17" w:rsidRDefault="002D12F2">
            <w:pPr>
              <w:jc w:val="center"/>
            </w:pPr>
            <w:r>
              <w:rPr>
                <w:color w:val="000000"/>
                <w:sz w:val="24"/>
              </w:rPr>
              <w:t>-</w:t>
            </w:r>
          </w:p>
        </w:tc>
        <w:tc>
          <w:tcPr>
            <w:tcW w:w="1407" w:type="dxa"/>
            <w:vAlign w:val="center"/>
          </w:tcPr>
          <w:p w:rsidR="001A6B17" w:rsidRDefault="002D12F2">
            <w:pPr>
              <w:jc w:val="center"/>
            </w:pPr>
            <w:r>
              <w:rPr>
                <w:color w:val="000000"/>
                <w:sz w:val="24"/>
              </w:rPr>
              <w:t>10</w:t>
            </w:r>
            <w:r>
              <w:rPr>
                <w:color w:val="000000"/>
                <w:sz w:val="24"/>
              </w:rPr>
              <w:t>年</w:t>
            </w:r>
          </w:p>
        </w:tc>
        <w:tc>
          <w:tcPr>
            <w:tcW w:w="2673" w:type="dxa"/>
            <w:vAlign w:val="center"/>
          </w:tcPr>
          <w:p w:rsidR="001A6B17" w:rsidRDefault="002D12F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1A6B17" w:rsidRDefault="002D12F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A6B17" w:rsidRDefault="002D12F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1A6B17" w:rsidRDefault="002D12F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1A6B17" w:rsidRDefault="002D12F2">
      <w:pPr>
        <w:spacing w:before="29" w:line="288" w:lineRule="auto"/>
        <w:ind w:firstLineChars="200" w:firstLine="480"/>
        <w:rPr>
          <w:color w:val="000000"/>
          <w:sz w:val="24"/>
        </w:rPr>
      </w:pPr>
      <w:r>
        <w:rPr>
          <w:color w:val="000000"/>
          <w:sz w:val="24"/>
        </w:rPr>
        <w:t>2019</w:t>
      </w:r>
      <w:r>
        <w:rPr>
          <w:color w:val="000000"/>
          <w:sz w:val="24"/>
        </w:rPr>
        <w:t>年四季度国内经济走势稳中偏弱，消费增速有所改善，地产、制造业小幅下行，整体投资相对稳定。受猪肉价格及中美贸易摩擦缓和影响，</w:t>
      </w:r>
      <w:r>
        <w:rPr>
          <w:color w:val="000000"/>
          <w:sz w:val="24"/>
        </w:rPr>
        <w:t>CPI</w:t>
      </w:r>
      <w:r>
        <w:rPr>
          <w:color w:val="000000"/>
          <w:sz w:val="24"/>
        </w:rPr>
        <w:t>延续走高，出口增速反弹。在此经济背景下，四季度</w:t>
      </w:r>
      <w:r>
        <w:rPr>
          <w:color w:val="000000"/>
          <w:sz w:val="24"/>
        </w:rPr>
        <w:t>A</w:t>
      </w:r>
      <w:r>
        <w:rPr>
          <w:color w:val="000000"/>
          <w:sz w:val="24"/>
        </w:rPr>
        <w:t>股市场延续震荡上行态势，市场风险偏好有所上升，科技类品种受到较强关注。作为跟踪基准指数的指数基金，四季度基金总体呈现震荡上行走势。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年一季度，我们认为通胀压力较大，货币政策或将维持</w:t>
      </w:r>
      <w:r w:rsidRPr="0036023B">
        <w:rPr>
          <w:color w:val="000000"/>
          <w:sz w:val="24"/>
        </w:rPr>
        <w:t>“</w:t>
      </w:r>
      <w:r w:rsidRPr="0036023B">
        <w:rPr>
          <w:color w:val="000000"/>
          <w:sz w:val="24"/>
        </w:rPr>
        <w:t>中性偏结构性宽松</w:t>
      </w:r>
      <w:r w:rsidRPr="0036023B">
        <w:rPr>
          <w:color w:val="000000"/>
          <w:sz w:val="24"/>
        </w:rPr>
        <w:t>”</w:t>
      </w:r>
      <w:r w:rsidRPr="0036023B">
        <w:rPr>
          <w:color w:val="000000"/>
          <w:sz w:val="24"/>
        </w:rPr>
        <w:t>。经济下行压力下，稳增长政策或陆续推进实施。中美贸易摩擦达成第一阶段协议，市场情绪回归理性。总体而言，从中长期来看我们对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74,783,555.02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74,783,555.02</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98.78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919,132.57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1.21</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1,398.27</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75,704,085.86</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284,144.00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0.38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456,401.56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0.60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50,214,438.13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66.54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882,297.01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716,440.56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1,507,404.00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479,894.00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492,034.00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8,349,587.80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10,761,130.76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14.26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230,143.20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409,640.00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74,783,555.02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99.10</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1A6B17">
        <w:trPr>
          <w:jc w:val="center"/>
        </w:trPr>
        <w:tc>
          <w:tcPr>
            <w:tcW w:w="850" w:type="dxa"/>
            <w:vAlign w:val="center"/>
          </w:tcPr>
          <w:p w:rsidR="001A6B17" w:rsidRDefault="002D12F2">
            <w:pPr>
              <w:jc w:val="center"/>
            </w:pPr>
            <w:r>
              <w:rPr>
                <w:color w:val="000000"/>
                <w:sz w:val="24"/>
              </w:rPr>
              <w:t>1</w:t>
            </w:r>
          </w:p>
        </w:tc>
        <w:tc>
          <w:tcPr>
            <w:tcW w:w="1327" w:type="dxa"/>
            <w:vAlign w:val="center"/>
          </w:tcPr>
          <w:p w:rsidR="001A6B17" w:rsidRDefault="002D12F2">
            <w:pPr>
              <w:jc w:val="center"/>
            </w:pPr>
            <w:r>
              <w:rPr>
                <w:color w:val="000000"/>
                <w:sz w:val="24"/>
              </w:rPr>
              <w:t>000651</w:t>
            </w:r>
          </w:p>
        </w:tc>
        <w:tc>
          <w:tcPr>
            <w:tcW w:w="1769" w:type="dxa"/>
            <w:vAlign w:val="center"/>
          </w:tcPr>
          <w:p w:rsidR="001A6B17" w:rsidRDefault="002D12F2">
            <w:pPr>
              <w:jc w:val="center"/>
            </w:pPr>
            <w:r>
              <w:rPr>
                <w:color w:val="000000"/>
                <w:sz w:val="24"/>
              </w:rPr>
              <w:t>格力电器</w:t>
            </w:r>
          </w:p>
        </w:tc>
        <w:tc>
          <w:tcPr>
            <w:tcW w:w="1327" w:type="dxa"/>
            <w:vAlign w:val="center"/>
          </w:tcPr>
          <w:p w:rsidR="001A6B17" w:rsidRDefault="002D12F2">
            <w:pPr>
              <w:jc w:val="right"/>
            </w:pPr>
            <w:r>
              <w:rPr>
                <w:color w:val="000000"/>
                <w:sz w:val="24"/>
              </w:rPr>
              <w:t>143,674</w:t>
            </w:r>
          </w:p>
        </w:tc>
        <w:tc>
          <w:tcPr>
            <w:tcW w:w="1915" w:type="dxa"/>
            <w:vAlign w:val="center"/>
          </w:tcPr>
          <w:p w:rsidR="001A6B17" w:rsidRDefault="002D12F2">
            <w:pPr>
              <w:jc w:val="right"/>
            </w:pPr>
            <w:r>
              <w:rPr>
                <w:color w:val="000000"/>
                <w:sz w:val="24"/>
              </w:rPr>
              <w:t>9,422,140.92</w:t>
            </w:r>
          </w:p>
        </w:tc>
        <w:tc>
          <w:tcPr>
            <w:tcW w:w="1680" w:type="dxa"/>
            <w:vAlign w:val="center"/>
          </w:tcPr>
          <w:p w:rsidR="001A6B17" w:rsidRDefault="002D12F2">
            <w:pPr>
              <w:jc w:val="right"/>
            </w:pPr>
            <w:r>
              <w:rPr>
                <w:color w:val="000000"/>
                <w:sz w:val="24"/>
              </w:rPr>
              <w:t>12.49</w:t>
            </w:r>
          </w:p>
        </w:tc>
      </w:tr>
      <w:tr w:rsidR="001A6B17">
        <w:trPr>
          <w:jc w:val="center"/>
        </w:trPr>
        <w:tc>
          <w:tcPr>
            <w:tcW w:w="850" w:type="dxa"/>
            <w:vAlign w:val="center"/>
          </w:tcPr>
          <w:p w:rsidR="001A6B17" w:rsidRDefault="002D12F2">
            <w:pPr>
              <w:jc w:val="center"/>
            </w:pPr>
            <w:r>
              <w:rPr>
                <w:color w:val="000000"/>
                <w:sz w:val="24"/>
              </w:rPr>
              <w:t>2</w:t>
            </w:r>
          </w:p>
        </w:tc>
        <w:tc>
          <w:tcPr>
            <w:tcW w:w="1327" w:type="dxa"/>
            <w:vAlign w:val="center"/>
          </w:tcPr>
          <w:p w:rsidR="001A6B17" w:rsidRDefault="002D12F2">
            <w:pPr>
              <w:jc w:val="center"/>
            </w:pPr>
            <w:r>
              <w:rPr>
                <w:color w:val="000000"/>
                <w:sz w:val="24"/>
              </w:rPr>
              <w:t>000333</w:t>
            </w:r>
          </w:p>
        </w:tc>
        <w:tc>
          <w:tcPr>
            <w:tcW w:w="1769" w:type="dxa"/>
            <w:vAlign w:val="center"/>
          </w:tcPr>
          <w:p w:rsidR="001A6B17" w:rsidRDefault="002D12F2">
            <w:pPr>
              <w:jc w:val="center"/>
            </w:pPr>
            <w:r>
              <w:rPr>
                <w:color w:val="000000"/>
                <w:sz w:val="24"/>
              </w:rPr>
              <w:t>美的集团</w:t>
            </w:r>
          </w:p>
        </w:tc>
        <w:tc>
          <w:tcPr>
            <w:tcW w:w="1327" w:type="dxa"/>
            <w:vAlign w:val="center"/>
          </w:tcPr>
          <w:p w:rsidR="001A6B17" w:rsidRDefault="002D12F2">
            <w:pPr>
              <w:jc w:val="right"/>
            </w:pPr>
            <w:r>
              <w:rPr>
                <w:color w:val="000000"/>
                <w:sz w:val="24"/>
              </w:rPr>
              <w:t>151,998</w:t>
            </w:r>
          </w:p>
        </w:tc>
        <w:tc>
          <w:tcPr>
            <w:tcW w:w="1915" w:type="dxa"/>
            <w:vAlign w:val="center"/>
          </w:tcPr>
          <w:p w:rsidR="001A6B17" w:rsidRDefault="002D12F2">
            <w:pPr>
              <w:jc w:val="right"/>
            </w:pPr>
            <w:r>
              <w:rPr>
                <w:color w:val="000000"/>
                <w:sz w:val="24"/>
              </w:rPr>
              <w:t>8,853,883.50</w:t>
            </w:r>
          </w:p>
        </w:tc>
        <w:tc>
          <w:tcPr>
            <w:tcW w:w="1680" w:type="dxa"/>
            <w:vAlign w:val="center"/>
          </w:tcPr>
          <w:p w:rsidR="001A6B17" w:rsidRDefault="002D12F2">
            <w:pPr>
              <w:jc w:val="right"/>
            </w:pPr>
            <w:r>
              <w:rPr>
                <w:color w:val="000000"/>
                <w:sz w:val="24"/>
              </w:rPr>
              <w:t>11.73</w:t>
            </w:r>
          </w:p>
        </w:tc>
      </w:tr>
      <w:tr w:rsidR="001A6B17">
        <w:trPr>
          <w:jc w:val="center"/>
        </w:trPr>
        <w:tc>
          <w:tcPr>
            <w:tcW w:w="850" w:type="dxa"/>
            <w:vAlign w:val="center"/>
          </w:tcPr>
          <w:p w:rsidR="001A6B17" w:rsidRDefault="002D12F2">
            <w:pPr>
              <w:jc w:val="center"/>
            </w:pPr>
            <w:r>
              <w:rPr>
                <w:color w:val="000000"/>
                <w:sz w:val="24"/>
              </w:rPr>
              <w:t>3</w:t>
            </w:r>
          </w:p>
        </w:tc>
        <w:tc>
          <w:tcPr>
            <w:tcW w:w="1327" w:type="dxa"/>
            <w:vAlign w:val="center"/>
          </w:tcPr>
          <w:p w:rsidR="001A6B17" w:rsidRDefault="002D12F2">
            <w:pPr>
              <w:jc w:val="center"/>
            </w:pPr>
            <w:r>
              <w:rPr>
                <w:color w:val="000000"/>
                <w:sz w:val="24"/>
              </w:rPr>
              <w:t>000002</w:t>
            </w:r>
          </w:p>
        </w:tc>
        <w:tc>
          <w:tcPr>
            <w:tcW w:w="1769" w:type="dxa"/>
            <w:vAlign w:val="center"/>
          </w:tcPr>
          <w:p w:rsidR="001A6B17" w:rsidRDefault="002D12F2">
            <w:pPr>
              <w:jc w:val="center"/>
            </w:pPr>
            <w:r>
              <w:rPr>
                <w:color w:val="000000"/>
                <w:sz w:val="24"/>
              </w:rPr>
              <w:t>万科</w:t>
            </w:r>
            <w:r>
              <w:rPr>
                <w:color w:val="000000"/>
                <w:sz w:val="24"/>
              </w:rPr>
              <w:t>A</w:t>
            </w:r>
          </w:p>
        </w:tc>
        <w:tc>
          <w:tcPr>
            <w:tcW w:w="1327" w:type="dxa"/>
            <w:vAlign w:val="center"/>
          </w:tcPr>
          <w:p w:rsidR="001A6B17" w:rsidRDefault="002D12F2">
            <w:pPr>
              <w:jc w:val="right"/>
            </w:pPr>
            <w:r>
              <w:rPr>
                <w:color w:val="000000"/>
                <w:sz w:val="24"/>
              </w:rPr>
              <w:t>177,100</w:t>
            </w:r>
          </w:p>
        </w:tc>
        <w:tc>
          <w:tcPr>
            <w:tcW w:w="1915" w:type="dxa"/>
            <w:vAlign w:val="center"/>
          </w:tcPr>
          <w:p w:rsidR="001A6B17" w:rsidRDefault="002D12F2">
            <w:pPr>
              <w:jc w:val="right"/>
            </w:pPr>
            <w:r>
              <w:rPr>
                <w:color w:val="000000"/>
                <w:sz w:val="24"/>
              </w:rPr>
              <w:t>5,699,078.00</w:t>
            </w:r>
          </w:p>
        </w:tc>
        <w:tc>
          <w:tcPr>
            <w:tcW w:w="1680" w:type="dxa"/>
            <w:vAlign w:val="center"/>
          </w:tcPr>
          <w:p w:rsidR="001A6B17" w:rsidRDefault="002D12F2">
            <w:pPr>
              <w:jc w:val="right"/>
            </w:pPr>
            <w:r>
              <w:rPr>
                <w:color w:val="000000"/>
                <w:sz w:val="24"/>
              </w:rPr>
              <w:t>7.55</w:t>
            </w:r>
          </w:p>
        </w:tc>
      </w:tr>
      <w:tr w:rsidR="001A6B17">
        <w:trPr>
          <w:jc w:val="center"/>
        </w:trPr>
        <w:tc>
          <w:tcPr>
            <w:tcW w:w="850" w:type="dxa"/>
            <w:vAlign w:val="center"/>
          </w:tcPr>
          <w:p w:rsidR="001A6B17" w:rsidRDefault="002D12F2">
            <w:pPr>
              <w:jc w:val="center"/>
            </w:pPr>
            <w:r>
              <w:rPr>
                <w:color w:val="000000"/>
                <w:sz w:val="24"/>
              </w:rPr>
              <w:t>4</w:t>
            </w:r>
          </w:p>
        </w:tc>
        <w:tc>
          <w:tcPr>
            <w:tcW w:w="1327" w:type="dxa"/>
            <w:vAlign w:val="center"/>
          </w:tcPr>
          <w:p w:rsidR="001A6B17" w:rsidRDefault="002D12F2">
            <w:pPr>
              <w:jc w:val="center"/>
            </w:pPr>
            <w:r>
              <w:rPr>
                <w:color w:val="000000"/>
                <w:sz w:val="24"/>
              </w:rPr>
              <w:t>000001</w:t>
            </w:r>
          </w:p>
        </w:tc>
        <w:tc>
          <w:tcPr>
            <w:tcW w:w="1769" w:type="dxa"/>
            <w:vAlign w:val="center"/>
          </w:tcPr>
          <w:p w:rsidR="001A6B17" w:rsidRDefault="002D12F2">
            <w:pPr>
              <w:jc w:val="center"/>
            </w:pPr>
            <w:r>
              <w:rPr>
                <w:color w:val="000000"/>
                <w:sz w:val="24"/>
              </w:rPr>
              <w:t>平安银行</w:t>
            </w:r>
          </w:p>
        </w:tc>
        <w:tc>
          <w:tcPr>
            <w:tcW w:w="1327" w:type="dxa"/>
            <w:vAlign w:val="center"/>
          </w:tcPr>
          <w:p w:rsidR="001A6B17" w:rsidRDefault="002D12F2">
            <w:pPr>
              <w:jc w:val="right"/>
            </w:pPr>
            <w:r>
              <w:rPr>
                <w:color w:val="000000"/>
                <w:sz w:val="24"/>
              </w:rPr>
              <w:t>284,794</w:t>
            </w:r>
          </w:p>
        </w:tc>
        <w:tc>
          <w:tcPr>
            <w:tcW w:w="1915" w:type="dxa"/>
            <w:vAlign w:val="center"/>
          </w:tcPr>
          <w:p w:rsidR="001A6B17" w:rsidRDefault="002D12F2">
            <w:pPr>
              <w:jc w:val="right"/>
            </w:pPr>
            <w:r>
              <w:rPr>
                <w:color w:val="000000"/>
                <w:sz w:val="24"/>
              </w:rPr>
              <w:t>4,684,861.30</w:t>
            </w:r>
          </w:p>
        </w:tc>
        <w:tc>
          <w:tcPr>
            <w:tcW w:w="1680" w:type="dxa"/>
            <w:vAlign w:val="center"/>
          </w:tcPr>
          <w:p w:rsidR="001A6B17" w:rsidRDefault="002D12F2">
            <w:pPr>
              <w:jc w:val="right"/>
            </w:pPr>
            <w:r>
              <w:rPr>
                <w:color w:val="000000"/>
                <w:sz w:val="24"/>
              </w:rPr>
              <w:t>6.21</w:t>
            </w:r>
          </w:p>
        </w:tc>
      </w:tr>
      <w:tr w:rsidR="001A6B17">
        <w:trPr>
          <w:jc w:val="center"/>
        </w:trPr>
        <w:tc>
          <w:tcPr>
            <w:tcW w:w="850" w:type="dxa"/>
            <w:vAlign w:val="center"/>
          </w:tcPr>
          <w:p w:rsidR="001A6B17" w:rsidRDefault="002D12F2">
            <w:pPr>
              <w:jc w:val="center"/>
            </w:pPr>
            <w:r>
              <w:rPr>
                <w:color w:val="000000"/>
                <w:sz w:val="24"/>
              </w:rPr>
              <w:t>5</w:t>
            </w:r>
          </w:p>
        </w:tc>
        <w:tc>
          <w:tcPr>
            <w:tcW w:w="1327" w:type="dxa"/>
            <w:vAlign w:val="center"/>
          </w:tcPr>
          <w:p w:rsidR="001A6B17" w:rsidRDefault="002D12F2">
            <w:pPr>
              <w:jc w:val="center"/>
            </w:pPr>
            <w:r>
              <w:rPr>
                <w:color w:val="000000"/>
                <w:sz w:val="24"/>
              </w:rPr>
              <w:t>000725</w:t>
            </w:r>
          </w:p>
        </w:tc>
        <w:tc>
          <w:tcPr>
            <w:tcW w:w="1769" w:type="dxa"/>
            <w:vAlign w:val="center"/>
          </w:tcPr>
          <w:p w:rsidR="001A6B17" w:rsidRDefault="002D12F2">
            <w:pPr>
              <w:jc w:val="center"/>
            </w:pPr>
            <w:r>
              <w:rPr>
                <w:color w:val="000000"/>
                <w:sz w:val="24"/>
              </w:rPr>
              <w:t>京东方</w:t>
            </w:r>
            <w:r>
              <w:rPr>
                <w:color w:val="000000"/>
                <w:sz w:val="24"/>
              </w:rPr>
              <w:t>A</w:t>
            </w:r>
          </w:p>
        </w:tc>
        <w:tc>
          <w:tcPr>
            <w:tcW w:w="1327" w:type="dxa"/>
            <w:vAlign w:val="center"/>
          </w:tcPr>
          <w:p w:rsidR="001A6B17" w:rsidRDefault="002D12F2">
            <w:pPr>
              <w:jc w:val="right"/>
            </w:pPr>
            <w:r>
              <w:rPr>
                <w:color w:val="000000"/>
                <w:sz w:val="24"/>
              </w:rPr>
              <w:t>779,685</w:t>
            </w:r>
          </w:p>
        </w:tc>
        <w:tc>
          <w:tcPr>
            <w:tcW w:w="1915" w:type="dxa"/>
            <w:vAlign w:val="center"/>
          </w:tcPr>
          <w:p w:rsidR="001A6B17" w:rsidRDefault="002D12F2">
            <w:pPr>
              <w:jc w:val="right"/>
            </w:pPr>
            <w:r>
              <w:rPr>
                <w:color w:val="000000"/>
                <w:sz w:val="24"/>
              </w:rPr>
              <w:t>3,539,769.90</w:t>
            </w:r>
          </w:p>
        </w:tc>
        <w:tc>
          <w:tcPr>
            <w:tcW w:w="1680" w:type="dxa"/>
            <w:vAlign w:val="center"/>
          </w:tcPr>
          <w:p w:rsidR="001A6B17" w:rsidRDefault="002D12F2">
            <w:pPr>
              <w:jc w:val="right"/>
            </w:pPr>
            <w:r>
              <w:rPr>
                <w:color w:val="000000"/>
                <w:sz w:val="24"/>
              </w:rPr>
              <w:t>4.69</w:t>
            </w:r>
          </w:p>
        </w:tc>
      </w:tr>
      <w:tr w:rsidR="001A6B17">
        <w:trPr>
          <w:jc w:val="center"/>
        </w:trPr>
        <w:tc>
          <w:tcPr>
            <w:tcW w:w="850" w:type="dxa"/>
            <w:vAlign w:val="center"/>
          </w:tcPr>
          <w:p w:rsidR="001A6B17" w:rsidRDefault="002D12F2">
            <w:pPr>
              <w:jc w:val="center"/>
            </w:pPr>
            <w:r>
              <w:rPr>
                <w:color w:val="000000"/>
                <w:sz w:val="24"/>
              </w:rPr>
              <w:t>6</w:t>
            </w:r>
          </w:p>
        </w:tc>
        <w:tc>
          <w:tcPr>
            <w:tcW w:w="1327" w:type="dxa"/>
            <w:vAlign w:val="center"/>
          </w:tcPr>
          <w:p w:rsidR="001A6B17" w:rsidRDefault="002D12F2">
            <w:pPr>
              <w:jc w:val="center"/>
            </w:pPr>
            <w:r>
              <w:rPr>
                <w:color w:val="000000"/>
                <w:sz w:val="24"/>
              </w:rPr>
              <w:t>000338</w:t>
            </w:r>
          </w:p>
        </w:tc>
        <w:tc>
          <w:tcPr>
            <w:tcW w:w="1769" w:type="dxa"/>
            <w:vAlign w:val="center"/>
          </w:tcPr>
          <w:p w:rsidR="001A6B17" w:rsidRDefault="002D12F2">
            <w:pPr>
              <w:jc w:val="center"/>
            </w:pPr>
            <w:r>
              <w:rPr>
                <w:color w:val="000000"/>
                <w:sz w:val="24"/>
              </w:rPr>
              <w:t>潍柴动力</w:t>
            </w:r>
          </w:p>
        </w:tc>
        <w:tc>
          <w:tcPr>
            <w:tcW w:w="1327" w:type="dxa"/>
            <w:vAlign w:val="center"/>
          </w:tcPr>
          <w:p w:rsidR="001A6B17" w:rsidRDefault="002D12F2">
            <w:pPr>
              <w:jc w:val="right"/>
            </w:pPr>
            <w:r>
              <w:rPr>
                <w:color w:val="000000"/>
                <w:sz w:val="24"/>
              </w:rPr>
              <w:t>138,056</w:t>
            </w:r>
          </w:p>
        </w:tc>
        <w:tc>
          <w:tcPr>
            <w:tcW w:w="1915" w:type="dxa"/>
            <w:vAlign w:val="center"/>
          </w:tcPr>
          <w:p w:rsidR="001A6B17" w:rsidRDefault="002D12F2">
            <w:pPr>
              <w:jc w:val="right"/>
            </w:pPr>
            <w:r>
              <w:rPr>
                <w:color w:val="000000"/>
                <w:sz w:val="24"/>
              </w:rPr>
              <w:t>2,192,329.28</w:t>
            </w:r>
          </w:p>
        </w:tc>
        <w:tc>
          <w:tcPr>
            <w:tcW w:w="1680" w:type="dxa"/>
            <w:vAlign w:val="center"/>
          </w:tcPr>
          <w:p w:rsidR="001A6B17" w:rsidRDefault="002D12F2">
            <w:pPr>
              <w:jc w:val="right"/>
            </w:pPr>
            <w:r>
              <w:rPr>
                <w:color w:val="000000"/>
                <w:sz w:val="24"/>
              </w:rPr>
              <w:t>2.91</w:t>
            </w:r>
          </w:p>
        </w:tc>
      </w:tr>
      <w:tr w:rsidR="001A6B17">
        <w:trPr>
          <w:jc w:val="center"/>
        </w:trPr>
        <w:tc>
          <w:tcPr>
            <w:tcW w:w="850" w:type="dxa"/>
            <w:vAlign w:val="center"/>
          </w:tcPr>
          <w:p w:rsidR="001A6B17" w:rsidRDefault="002D12F2">
            <w:pPr>
              <w:jc w:val="center"/>
            </w:pPr>
            <w:r>
              <w:rPr>
                <w:color w:val="000000"/>
                <w:sz w:val="24"/>
              </w:rPr>
              <w:t>7</w:t>
            </w:r>
          </w:p>
        </w:tc>
        <w:tc>
          <w:tcPr>
            <w:tcW w:w="1327" w:type="dxa"/>
            <w:vAlign w:val="center"/>
          </w:tcPr>
          <w:p w:rsidR="001A6B17" w:rsidRDefault="002D12F2">
            <w:pPr>
              <w:jc w:val="center"/>
            </w:pPr>
            <w:r>
              <w:rPr>
                <w:color w:val="000000"/>
                <w:sz w:val="24"/>
              </w:rPr>
              <w:t>000568</w:t>
            </w:r>
          </w:p>
        </w:tc>
        <w:tc>
          <w:tcPr>
            <w:tcW w:w="1769" w:type="dxa"/>
            <w:vAlign w:val="center"/>
          </w:tcPr>
          <w:p w:rsidR="001A6B17" w:rsidRDefault="002D12F2">
            <w:pPr>
              <w:jc w:val="center"/>
            </w:pPr>
            <w:r>
              <w:rPr>
                <w:color w:val="000000"/>
                <w:sz w:val="24"/>
              </w:rPr>
              <w:t>泸州老窖</w:t>
            </w:r>
          </w:p>
        </w:tc>
        <w:tc>
          <w:tcPr>
            <w:tcW w:w="1327" w:type="dxa"/>
            <w:vAlign w:val="center"/>
          </w:tcPr>
          <w:p w:rsidR="001A6B17" w:rsidRDefault="002D12F2">
            <w:pPr>
              <w:jc w:val="right"/>
            </w:pPr>
            <w:r>
              <w:rPr>
                <w:color w:val="000000"/>
                <w:sz w:val="24"/>
              </w:rPr>
              <w:t>23,623</w:t>
            </w:r>
          </w:p>
        </w:tc>
        <w:tc>
          <w:tcPr>
            <w:tcW w:w="1915" w:type="dxa"/>
            <w:vAlign w:val="center"/>
          </w:tcPr>
          <w:p w:rsidR="001A6B17" w:rsidRDefault="002D12F2">
            <w:pPr>
              <w:jc w:val="right"/>
            </w:pPr>
            <w:r>
              <w:rPr>
                <w:color w:val="000000"/>
                <w:sz w:val="24"/>
              </w:rPr>
              <w:t>2,047,641.64</w:t>
            </w:r>
          </w:p>
        </w:tc>
        <w:tc>
          <w:tcPr>
            <w:tcW w:w="1680" w:type="dxa"/>
            <w:vAlign w:val="center"/>
          </w:tcPr>
          <w:p w:rsidR="001A6B17" w:rsidRDefault="002D12F2">
            <w:pPr>
              <w:jc w:val="right"/>
            </w:pPr>
            <w:r>
              <w:rPr>
                <w:color w:val="000000"/>
                <w:sz w:val="24"/>
              </w:rPr>
              <w:t>2.71</w:t>
            </w:r>
          </w:p>
        </w:tc>
      </w:tr>
      <w:tr w:rsidR="001A6B17">
        <w:trPr>
          <w:jc w:val="center"/>
        </w:trPr>
        <w:tc>
          <w:tcPr>
            <w:tcW w:w="850" w:type="dxa"/>
            <w:vAlign w:val="center"/>
          </w:tcPr>
          <w:p w:rsidR="001A6B17" w:rsidRDefault="002D12F2">
            <w:pPr>
              <w:jc w:val="center"/>
            </w:pPr>
            <w:r>
              <w:rPr>
                <w:color w:val="000000"/>
                <w:sz w:val="24"/>
              </w:rPr>
              <w:t>8</w:t>
            </w:r>
          </w:p>
        </w:tc>
        <w:tc>
          <w:tcPr>
            <w:tcW w:w="1327" w:type="dxa"/>
            <w:vAlign w:val="center"/>
          </w:tcPr>
          <w:p w:rsidR="001A6B17" w:rsidRDefault="002D12F2">
            <w:pPr>
              <w:jc w:val="center"/>
            </w:pPr>
            <w:r>
              <w:rPr>
                <w:color w:val="000000"/>
                <w:sz w:val="24"/>
              </w:rPr>
              <w:t>002304</w:t>
            </w:r>
          </w:p>
        </w:tc>
        <w:tc>
          <w:tcPr>
            <w:tcW w:w="1769" w:type="dxa"/>
            <w:vAlign w:val="center"/>
          </w:tcPr>
          <w:p w:rsidR="001A6B17" w:rsidRDefault="002D12F2">
            <w:pPr>
              <w:jc w:val="center"/>
            </w:pPr>
            <w:r>
              <w:rPr>
                <w:color w:val="000000"/>
                <w:sz w:val="24"/>
              </w:rPr>
              <w:t>洋河股份</w:t>
            </w:r>
          </w:p>
        </w:tc>
        <w:tc>
          <w:tcPr>
            <w:tcW w:w="1327" w:type="dxa"/>
            <w:vAlign w:val="center"/>
          </w:tcPr>
          <w:p w:rsidR="001A6B17" w:rsidRDefault="002D12F2">
            <w:pPr>
              <w:jc w:val="right"/>
            </w:pPr>
            <w:r>
              <w:rPr>
                <w:color w:val="000000"/>
                <w:sz w:val="24"/>
              </w:rPr>
              <w:t>16,998</w:t>
            </w:r>
          </w:p>
        </w:tc>
        <w:tc>
          <w:tcPr>
            <w:tcW w:w="1915" w:type="dxa"/>
            <w:vAlign w:val="center"/>
          </w:tcPr>
          <w:p w:rsidR="001A6B17" w:rsidRDefault="002D12F2">
            <w:pPr>
              <w:jc w:val="right"/>
            </w:pPr>
            <w:r>
              <w:rPr>
                <w:color w:val="000000"/>
                <w:sz w:val="24"/>
              </w:rPr>
              <w:t>1,878,279.00</w:t>
            </w:r>
          </w:p>
        </w:tc>
        <w:tc>
          <w:tcPr>
            <w:tcW w:w="1680" w:type="dxa"/>
            <w:vAlign w:val="center"/>
          </w:tcPr>
          <w:p w:rsidR="001A6B17" w:rsidRDefault="002D12F2">
            <w:pPr>
              <w:jc w:val="right"/>
            </w:pPr>
            <w:r>
              <w:rPr>
                <w:color w:val="000000"/>
                <w:sz w:val="24"/>
              </w:rPr>
              <w:t>2.49</w:t>
            </w:r>
          </w:p>
        </w:tc>
      </w:tr>
      <w:tr w:rsidR="001A6B17">
        <w:trPr>
          <w:jc w:val="center"/>
        </w:trPr>
        <w:tc>
          <w:tcPr>
            <w:tcW w:w="850" w:type="dxa"/>
            <w:vAlign w:val="center"/>
          </w:tcPr>
          <w:p w:rsidR="001A6B17" w:rsidRDefault="002D12F2">
            <w:pPr>
              <w:jc w:val="center"/>
            </w:pPr>
            <w:r>
              <w:rPr>
                <w:color w:val="000000"/>
                <w:sz w:val="24"/>
              </w:rPr>
              <w:t>9</w:t>
            </w:r>
          </w:p>
        </w:tc>
        <w:tc>
          <w:tcPr>
            <w:tcW w:w="1327" w:type="dxa"/>
            <w:vAlign w:val="center"/>
          </w:tcPr>
          <w:p w:rsidR="001A6B17" w:rsidRDefault="002D12F2">
            <w:pPr>
              <w:jc w:val="center"/>
            </w:pPr>
            <w:r>
              <w:rPr>
                <w:color w:val="000000"/>
                <w:sz w:val="24"/>
              </w:rPr>
              <w:t>001979</w:t>
            </w:r>
          </w:p>
        </w:tc>
        <w:tc>
          <w:tcPr>
            <w:tcW w:w="1769" w:type="dxa"/>
            <w:vAlign w:val="center"/>
          </w:tcPr>
          <w:p w:rsidR="001A6B17" w:rsidRDefault="002D12F2">
            <w:pPr>
              <w:jc w:val="center"/>
            </w:pPr>
            <w:r>
              <w:rPr>
                <w:color w:val="000000"/>
                <w:sz w:val="24"/>
              </w:rPr>
              <w:t>招商蛇口</w:t>
            </w:r>
          </w:p>
        </w:tc>
        <w:tc>
          <w:tcPr>
            <w:tcW w:w="1327" w:type="dxa"/>
            <w:vAlign w:val="center"/>
          </w:tcPr>
          <w:p w:rsidR="001A6B17" w:rsidRDefault="002D12F2">
            <w:pPr>
              <w:jc w:val="right"/>
            </w:pPr>
            <w:r>
              <w:rPr>
                <w:color w:val="000000"/>
                <w:sz w:val="24"/>
              </w:rPr>
              <w:t>93,086</w:t>
            </w:r>
          </w:p>
        </w:tc>
        <w:tc>
          <w:tcPr>
            <w:tcW w:w="1915" w:type="dxa"/>
            <w:vAlign w:val="center"/>
          </w:tcPr>
          <w:p w:rsidR="001A6B17" w:rsidRDefault="002D12F2">
            <w:pPr>
              <w:jc w:val="right"/>
            </w:pPr>
            <w:r>
              <w:rPr>
                <w:color w:val="000000"/>
                <w:sz w:val="24"/>
              </w:rPr>
              <w:t>1,849,618.82</w:t>
            </w:r>
          </w:p>
        </w:tc>
        <w:tc>
          <w:tcPr>
            <w:tcW w:w="1680" w:type="dxa"/>
            <w:vAlign w:val="center"/>
          </w:tcPr>
          <w:p w:rsidR="001A6B17" w:rsidRDefault="002D12F2">
            <w:pPr>
              <w:jc w:val="right"/>
            </w:pPr>
            <w:r>
              <w:rPr>
                <w:color w:val="000000"/>
                <w:sz w:val="24"/>
              </w:rPr>
              <w:t>2.45</w:t>
            </w:r>
          </w:p>
        </w:tc>
      </w:tr>
      <w:tr w:rsidR="001A6B17">
        <w:trPr>
          <w:jc w:val="center"/>
        </w:trPr>
        <w:tc>
          <w:tcPr>
            <w:tcW w:w="850" w:type="dxa"/>
            <w:vAlign w:val="center"/>
          </w:tcPr>
          <w:p w:rsidR="001A6B17" w:rsidRDefault="002D12F2">
            <w:pPr>
              <w:jc w:val="center"/>
            </w:pPr>
            <w:r>
              <w:rPr>
                <w:color w:val="000000"/>
                <w:sz w:val="24"/>
              </w:rPr>
              <w:t>10</w:t>
            </w:r>
          </w:p>
        </w:tc>
        <w:tc>
          <w:tcPr>
            <w:tcW w:w="1327" w:type="dxa"/>
            <w:vAlign w:val="center"/>
          </w:tcPr>
          <w:p w:rsidR="001A6B17" w:rsidRDefault="002D12F2">
            <w:pPr>
              <w:jc w:val="center"/>
            </w:pPr>
            <w:r>
              <w:rPr>
                <w:color w:val="000000"/>
                <w:sz w:val="24"/>
              </w:rPr>
              <w:t>000100</w:t>
            </w:r>
          </w:p>
        </w:tc>
        <w:tc>
          <w:tcPr>
            <w:tcW w:w="1769" w:type="dxa"/>
            <w:vAlign w:val="center"/>
          </w:tcPr>
          <w:p w:rsidR="001A6B17" w:rsidRDefault="002D12F2">
            <w:pPr>
              <w:jc w:val="center"/>
            </w:pPr>
            <w:r>
              <w:rPr>
                <w:color w:val="000000"/>
                <w:sz w:val="24"/>
              </w:rPr>
              <w:t>TCL</w:t>
            </w:r>
            <w:r>
              <w:rPr>
                <w:color w:val="000000"/>
                <w:sz w:val="24"/>
              </w:rPr>
              <w:t>集团</w:t>
            </w:r>
          </w:p>
        </w:tc>
        <w:tc>
          <w:tcPr>
            <w:tcW w:w="1327" w:type="dxa"/>
            <w:vAlign w:val="center"/>
          </w:tcPr>
          <w:p w:rsidR="001A6B17" w:rsidRDefault="002D12F2">
            <w:pPr>
              <w:jc w:val="right"/>
            </w:pPr>
            <w:r>
              <w:rPr>
                <w:color w:val="000000"/>
                <w:sz w:val="24"/>
              </w:rPr>
              <w:t>373,900</w:t>
            </w:r>
          </w:p>
        </w:tc>
        <w:tc>
          <w:tcPr>
            <w:tcW w:w="1915" w:type="dxa"/>
            <w:vAlign w:val="center"/>
          </w:tcPr>
          <w:p w:rsidR="001A6B17" w:rsidRDefault="002D12F2">
            <w:pPr>
              <w:jc w:val="right"/>
            </w:pPr>
            <w:r>
              <w:rPr>
                <w:color w:val="000000"/>
                <w:sz w:val="24"/>
              </w:rPr>
              <w:t>1,671,333.00</w:t>
            </w:r>
          </w:p>
        </w:tc>
        <w:tc>
          <w:tcPr>
            <w:tcW w:w="1680" w:type="dxa"/>
            <w:vAlign w:val="center"/>
          </w:tcPr>
          <w:p w:rsidR="001A6B17" w:rsidRDefault="002D12F2">
            <w:pPr>
              <w:jc w:val="right"/>
            </w:pPr>
            <w:r>
              <w:rPr>
                <w:color w:val="000000"/>
                <w:sz w:val="24"/>
              </w:rPr>
              <w:t>2.21</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2D12F2" w:rsidRPr="002D12F2" w:rsidRDefault="002D12F2" w:rsidP="002D12F2">
      <w:pPr>
        <w:autoSpaceDE w:val="0"/>
        <w:autoSpaceDN w:val="0"/>
        <w:adjustRightInd w:val="0"/>
        <w:spacing w:before="29" w:line="288" w:lineRule="auto"/>
        <w:jc w:val="left"/>
        <w:rPr>
          <w:rFonts w:hint="eastAsia"/>
          <w:color w:val="000000"/>
          <w:sz w:val="24"/>
        </w:rPr>
      </w:pPr>
      <w:r w:rsidRPr="002D12F2">
        <w:rPr>
          <w:rFonts w:hint="eastAsia"/>
          <w:color w:val="000000"/>
          <w:sz w:val="24"/>
        </w:rPr>
        <w:t>本基金本报告期末未持有积极投资的股票。</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bookmarkStart w:id="0" w:name="_GoBack"/>
      <w:bookmarkEnd w:id="0"/>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1,192.80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205.47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1,398.27</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38,329,693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A6B17">
        <w:tc>
          <w:tcPr>
            <w:tcW w:w="992" w:type="dxa"/>
            <w:vMerge w:val="restart"/>
          </w:tcPr>
          <w:p w:rsidR="001A6B17" w:rsidRDefault="001A6B17"/>
          <w:p w:rsidR="001A6B17" w:rsidRDefault="002D12F2">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1" w:type="dxa"/>
            <w:vAlign w:val="center"/>
          </w:tcPr>
          <w:p w:rsidR="001A6B17" w:rsidRDefault="002D12F2">
            <w:pPr>
              <w:jc w:val="center"/>
            </w:pPr>
            <w:r>
              <w:rPr>
                <w:rFonts w:ascii="宋体" w:hAnsi="宋体" w:hint="eastAsia"/>
                <w:bCs/>
                <w:color w:val="000000"/>
                <w:kern w:val="0"/>
                <w:szCs w:val="21"/>
              </w:rPr>
              <w:t>1</w:t>
            </w:r>
          </w:p>
        </w:tc>
        <w:tc>
          <w:tcPr>
            <w:tcW w:w="1843" w:type="dxa"/>
            <w:vAlign w:val="center"/>
          </w:tcPr>
          <w:p w:rsidR="001A6B17" w:rsidRDefault="002D12F2">
            <w:pPr>
              <w:jc w:val="center"/>
            </w:pPr>
            <w:r>
              <w:rPr>
                <w:rFonts w:ascii="宋体" w:hAnsi="宋体" w:hint="eastAsia"/>
                <w:bCs/>
                <w:color w:val="000000"/>
                <w:kern w:val="0"/>
                <w:szCs w:val="21"/>
              </w:rPr>
              <w:t>2019/10/1-2019/12/31</w:t>
            </w:r>
          </w:p>
        </w:tc>
        <w:tc>
          <w:tcPr>
            <w:tcW w:w="851" w:type="dxa"/>
            <w:vAlign w:val="center"/>
          </w:tcPr>
          <w:p w:rsidR="001A6B17" w:rsidRDefault="002D12F2">
            <w:pPr>
              <w:jc w:val="center"/>
            </w:pPr>
            <w:r>
              <w:rPr>
                <w:rFonts w:ascii="宋体" w:hAnsi="宋体" w:hint="eastAsia"/>
                <w:bCs/>
                <w:color w:val="000000"/>
                <w:kern w:val="0"/>
                <w:szCs w:val="21"/>
              </w:rPr>
              <w:t>35,802,500.00</w:t>
            </w:r>
          </w:p>
        </w:tc>
        <w:tc>
          <w:tcPr>
            <w:tcW w:w="850" w:type="dxa"/>
            <w:vAlign w:val="center"/>
          </w:tcPr>
          <w:p w:rsidR="001A6B17" w:rsidRDefault="002D12F2">
            <w:pPr>
              <w:jc w:val="center"/>
            </w:pPr>
            <w:r>
              <w:rPr>
                <w:rFonts w:ascii="宋体" w:hAnsi="宋体" w:hint="eastAsia"/>
                <w:bCs/>
                <w:color w:val="000000"/>
                <w:kern w:val="0"/>
                <w:szCs w:val="21"/>
              </w:rPr>
              <w:t>1,000,000.00</w:t>
            </w:r>
          </w:p>
        </w:tc>
        <w:tc>
          <w:tcPr>
            <w:tcW w:w="1134" w:type="dxa"/>
            <w:vAlign w:val="center"/>
          </w:tcPr>
          <w:p w:rsidR="001A6B17" w:rsidRDefault="002D12F2">
            <w:pPr>
              <w:jc w:val="center"/>
            </w:pPr>
            <w:r>
              <w:rPr>
                <w:rFonts w:ascii="宋体" w:hAnsi="宋体" w:hint="eastAsia"/>
                <w:bCs/>
                <w:color w:val="000000"/>
                <w:kern w:val="0"/>
                <w:szCs w:val="21"/>
              </w:rPr>
              <w:t>3,000,000.00</w:t>
            </w:r>
          </w:p>
        </w:tc>
        <w:tc>
          <w:tcPr>
            <w:tcW w:w="1419" w:type="dxa"/>
            <w:vAlign w:val="center"/>
          </w:tcPr>
          <w:p w:rsidR="001A6B17" w:rsidRDefault="002D12F2">
            <w:pPr>
              <w:jc w:val="center"/>
            </w:pPr>
            <w:r>
              <w:rPr>
                <w:rFonts w:ascii="宋体" w:hAnsi="宋体" w:hint="eastAsia"/>
                <w:bCs/>
                <w:color w:val="000000"/>
                <w:kern w:val="0"/>
                <w:szCs w:val="21"/>
              </w:rPr>
              <w:t>33,802,500.00</w:t>
            </w:r>
          </w:p>
        </w:tc>
        <w:tc>
          <w:tcPr>
            <w:tcW w:w="1130" w:type="dxa"/>
            <w:vAlign w:val="center"/>
          </w:tcPr>
          <w:p w:rsidR="001A6B17" w:rsidRDefault="002D12F2">
            <w:pPr>
              <w:jc w:val="center"/>
            </w:pPr>
            <w:r>
              <w:rPr>
                <w:rFonts w:ascii="宋体" w:hAnsi="宋体" w:hint="eastAsia"/>
                <w:bCs/>
                <w:color w:val="000000"/>
                <w:kern w:val="0"/>
                <w:szCs w:val="21"/>
              </w:rPr>
              <w:t>93.04%</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1A6B17" w:rsidRDefault="002D12F2">
      <w:pPr>
        <w:spacing w:line="360" w:lineRule="auto"/>
        <w:ind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2、根据深圳证券交易所调整深市ETF交易结算模式的有关通知及规定，本基金管理人经与基金托管人中国农业银行股份有限公司协商一致，并报中国证券监督管理委员会备案，对本基金基金合同中的清算交收规则作相应修改，自2019年10月19日起生效。详情请查阅本基金管理人于2019年10月19日发布的《交银施罗德基金管理有限公司关于深证300价值交易型开放式指数证券投资基金修改基金合同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1A6B17" w:rsidRDefault="002D12F2">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1A6B17" w:rsidRDefault="002D12F2">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1A6B17" w:rsidRDefault="002D12F2">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1A6B17" w:rsidRDefault="002D12F2">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1A6B17" w:rsidRDefault="002D12F2">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1A6B17" w:rsidRDefault="002D12F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A6B17" w:rsidRDefault="002D12F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1A6B17" w:rsidRDefault="002D12F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2D12F2">
      <w:rPr>
        <w:noProof/>
        <w:kern w:val="0"/>
        <w:szCs w:val="21"/>
      </w:rPr>
      <w:t>9</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2D12F2">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FA" w:rsidRDefault="007C45FA">
      <w:r>
        <w:separator/>
      </w:r>
    </w:p>
  </w:footnote>
  <w:footnote w:type="continuationSeparator" w:id="0">
    <w:p w:rsidR="007C45FA" w:rsidRDefault="007C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B17"/>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12F2"/>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13</Pages>
  <Words>1109</Words>
  <Characters>6324</Characters>
  <Application>Microsoft Office Word</Application>
  <DocSecurity>0</DocSecurity>
  <Lines>52</Lines>
  <Paragraphs>14</Paragraphs>
  <ScaleCrop>false</ScaleCrop>
  <Company>TRT. Ltd. Co.</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biz-panqiang</cp:lastModifiedBy>
  <cp:revision>411</cp:revision>
  <cp:lastPrinted>2007-07-19T00:46:00Z</cp:lastPrinted>
  <dcterms:created xsi:type="dcterms:W3CDTF">2012-11-21T04:46:00Z</dcterms:created>
  <dcterms:modified xsi:type="dcterms:W3CDTF">2020-01-14T07:08:00Z</dcterms:modified>
</cp:coreProperties>
</file>