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交银施罗德致远量化智投策略定期开放混合型证券投资基金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2019年第4季度报告</w:t>
      </w:r>
    </w:p>
    <w:p w:rsidP="00C15CAC" w:rsidR="004061AC" w:rsidRDefault="00655CD8" w:rsidRPr="0081286B">
      <w:pPr>
        <w:spacing w:before="29" w:line="288" w:lineRule="auto"/>
        <w:jc w:val="center"/>
        <w:rPr>
          <w:b/>
          <w:sz w:val="36"/>
          <w:szCs w:val="36"/>
        </w:rPr>
      </w:pPr>
      <w:r w:rsidRPr="0081286B">
        <w:rPr>
          <w:b/>
          <w:sz w:val="36"/>
          <w:szCs w:val="36"/>
        </w:rPr>
        <w:t>2019年12月31日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中信银行股份有限公司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基金托管人中信银行股份有限公司根据本基金合同规定，于2020年1月20日复核了本报告中的财务指标、净值表现和投资组合报告等内容，保证复核内容不存在虚假记载、误导性陈述或者重大遗漏。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交银致远智投混合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005724</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005724</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2018年5月18日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79,899,354.91</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股票量化策略的核心在于通过长期投资以摊薄买入成本，待收益达标时止盈减仓。本基金量化智投策略主要利用量化投资模型，以大数据分析为基础，结合对市场风格和市场环境的持续研究，动态调整每期投资金额，采取定期不定额的投资模式，以此增强投资效率，可帮助投资人优化投资组合成本。</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75%×上证国债指数收益率+25%×沪深300指数收益率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本基金是一只混合型基金，其预期风险和预期收益高于债券型基金和货币市场基金，低于股票型基金。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(2019年10月1日-2019年12月31日)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798,800.71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1,241,529.08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0.0155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83,068,468.94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1.0397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1.52%</w:t>
            </w:r>
          </w:p>
        </w:tc>
        <w:tc>
          <w:tcPr>
            <w:vAlign w:val="center"/>
          </w:tcPr>
          <w:p>
            <w:pPr>
              <w:jc w:val="center"/>
            </w:pPr>
            <w:r>
              <w:rPr>
                <w:color w:val="000000"/>
                <w:sz w:val="24"/>
                <w:szCs w:val="24"/>
              </w:rPr>
              <w:t>0.18%</w:t>
            </w:r>
          </w:p>
        </w:tc>
        <w:tc>
          <w:tcPr>
            <w:vAlign w:val="center"/>
          </w:tcPr>
          <w:p>
            <w:pPr>
              <w:jc w:val="center"/>
            </w:pPr>
            <w:r>
              <w:rPr>
                <w:color w:val="000000"/>
                <w:sz w:val="24"/>
                <w:szCs w:val="24"/>
              </w:rPr>
              <w:t>2.59%</w:t>
            </w:r>
          </w:p>
        </w:tc>
        <w:tc>
          <w:tcPr>
            <w:vAlign w:val="center"/>
          </w:tcPr>
          <w:p>
            <w:pPr>
              <w:jc w:val="center"/>
            </w:pPr>
            <w:r>
              <w:rPr>
                <w:color w:val="000000"/>
                <w:sz w:val="24"/>
                <w:szCs w:val="24"/>
              </w:rPr>
              <w:t>0.19%</w:t>
            </w:r>
          </w:p>
        </w:tc>
        <w:tc>
          <w:tcPr>
            <w:vAlign w:val="center"/>
          </w:tcPr>
          <w:p>
            <w:pPr>
              <w:jc w:val="center"/>
            </w:pPr>
            <w:r>
              <w:rPr>
                <w:color w:val="000000"/>
                <w:sz w:val="24"/>
                <w:szCs w:val="24"/>
              </w:rPr>
              <w:t>-1.07%</w:t>
            </w:r>
          </w:p>
        </w:tc>
        <w:tc>
          <w:tcPr>
            <w:vAlign w:val="center"/>
          </w:tcPr>
          <w:p>
            <w:pPr>
              <w:jc w:val="center"/>
            </w:pPr>
            <w:r>
              <w:rPr>
                <w:color w:val="000000"/>
                <w:sz w:val="24"/>
                <w:szCs w:val="24"/>
              </w:rPr>
              <w:t>-0.01%</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交银施罗德致远量化智投策略定期开放混合型证券投资基金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2018年5月18日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蔡铮</w:t>
            </w:r>
          </w:p>
        </w:tc>
        <w:tc>
          <w:tcPr>
            <w:vAlign w:val="center"/>
          </w:tcPr>
          <w:p>
            <w:pPr>
              <w:jc w:val="center"/>
            </w:pPr>
            <w:r>
              <w:rPr>
                <w:color w:val="000000"/>
                <w:sz w:val="24"/>
                <w:szCs w:val="24"/>
              </w:rPr>
              <w:t>交银上证180公司治理ETF及其联接、交银深证300价值ETF及其联接、交银国证新能源指数分级、交银中证海外中国互联网指数（QDII-LOF)、交银中证互联网金融指数分级、交银中证环境治理指数（LOF）、交银致远智投混合、交银创业板50指数的基金经理，公司量化投资副总监兼多元资产管理副总监</w:t>
            </w:r>
          </w:p>
        </w:tc>
        <w:tc>
          <w:tcPr>
            <w:vAlign w:val="center"/>
          </w:tcPr>
          <w:p>
            <w:pPr>
              <w:jc w:val="center"/>
            </w:pPr>
            <w:r>
              <w:rPr>
                <w:color w:val="000000"/>
                <w:sz w:val="24"/>
                <w:szCs w:val="24"/>
              </w:rPr>
              <w:t>2018-05-18</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蔡铮先生，中国国籍，复旦大学电子工程硕士。历任瑞士银行香港分行分析员。2009年加入交银施罗德基金管理有限公司，历任投资研究部数量分析师、基金经理助理、量化投资部助理总经理、量化投资部副总经理。2012年12月27日至2015年6月30日担任交银施罗德沪深300行业分层等权重指数证券投资基金基金经理，2015年4月22日至2017年3月24日担任交银施罗德环球精选价值证券投资基金基金经理，2015年4月22日至2017年3月24日担任交银施罗德全球自然资源证券投资基金基金经理，2015年8月13日至2016年7月18日担任交银施罗德中证环境治理指数分级证券投资基金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四季度国内经济走势稳中偏弱，消费增速有所改善，地产、制造业小幅下行，整体投资相对稳定。受猪肉价格及中美贸易摩擦缓和影响，CPI延续走高，出口增速反弹。在此经济背景下，四季度A股市场延续震荡上行态势，市场风险偏好有所上升，科技类品种受到较强关注。债券市场受通胀影响震荡上行。在上述市场环境下，本基金采取定期不定额的模式进行投资，固定收益部分配置了较高信用等级的固定收益资产作为收益增强，净值表现总体呈现震荡上行走势。</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一季度，我们认为通胀压力较大，货币政策或将维持“中性偏结构性宽松”。经济下行压力下，稳增长政策或陆续推进实施。中美贸易摩擦达成第一阶段协议，市场情绪回归理性。总体而言，从中长期来看我们对A股市场仍维持谨慎乐观的看法。</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17,159,193.20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20.59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17,159,193.20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20.59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48,888,000.00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58.65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48,888,000.00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58.65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16,412,765.40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19.69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890,851.15</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83,350,809.75</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90,720.00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0.11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276,468.00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0.33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6,605,919.00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7.95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339,660.00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0.41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679,480.00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0.82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434,002.00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0.52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135,595.00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0.16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90,516.00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0.11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7,287,187.00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8.77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723,765.00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0.87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75,465.00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87,612.00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0.11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241,316.00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0.29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91,488.20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0.11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17,159,193.20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20.66</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601318</w:t>
            </w:r>
          </w:p>
        </w:tc>
        <w:tc>
          <w:tcPr>
            <w:vAlign w:val="center"/>
          </w:tcPr>
          <w:p>
            <w:pPr>
              <w:jc w:val="center"/>
            </w:pPr>
            <w:r>
              <w:rPr>
                <w:color w:val="000000"/>
                <w:sz w:val="24"/>
                <w:szCs w:val="24"/>
              </w:rPr>
              <w:t>中国平安</w:t>
            </w:r>
          </w:p>
        </w:tc>
        <w:tc>
          <w:tcPr>
            <w:vAlign w:val="center"/>
          </w:tcPr>
          <w:p>
            <w:pPr>
              <w:jc w:val="right"/>
            </w:pPr>
            <w:r>
              <w:rPr>
                <w:color w:val="000000"/>
                <w:sz w:val="24"/>
                <w:szCs w:val="24"/>
              </w:rPr>
              <w:t>16,900</w:t>
            </w:r>
          </w:p>
        </w:tc>
        <w:tc>
          <w:tcPr>
            <w:vAlign w:val="center"/>
          </w:tcPr>
          <w:p>
            <w:pPr>
              <w:jc w:val="right"/>
            </w:pPr>
            <w:r>
              <w:rPr>
                <w:color w:val="000000"/>
                <w:sz w:val="24"/>
                <w:szCs w:val="24"/>
              </w:rPr>
              <w:t>1,444,274.00</w:t>
            </w:r>
          </w:p>
        </w:tc>
        <w:tc>
          <w:tcPr>
            <w:vAlign w:val="center"/>
          </w:tcPr>
          <w:p>
            <w:pPr>
              <w:jc w:val="right"/>
            </w:pPr>
            <w:r>
              <w:rPr>
                <w:color w:val="000000"/>
                <w:sz w:val="24"/>
                <w:szCs w:val="24"/>
              </w:rPr>
              <w:t>1.74</w:t>
            </w:r>
          </w:p>
        </w:tc>
      </w:tr>
      <w:tr>
        <w:tc>
          <w:tcPr>
            <w:vAlign w:val="center"/>
          </w:tcPr>
          <w:p>
            <w:pPr>
              <w:jc w:val="center"/>
            </w:pPr>
            <w:r>
              <w:rPr>
                <w:color w:val="000000"/>
                <w:sz w:val="24"/>
                <w:szCs w:val="24"/>
              </w:rPr>
              <w:t>2</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800</w:t>
            </w:r>
          </w:p>
        </w:tc>
        <w:tc>
          <w:tcPr>
            <w:vAlign w:val="center"/>
          </w:tcPr>
          <w:p>
            <w:pPr>
              <w:jc w:val="right"/>
            </w:pPr>
            <w:r>
              <w:rPr>
                <w:color w:val="000000"/>
                <w:sz w:val="24"/>
                <w:szCs w:val="24"/>
              </w:rPr>
              <w:t>946,400.00</w:t>
            </w:r>
          </w:p>
        </w:tc>
        <w:tc>
          <w:tcPr>
            <w:vAlign w:val="center"/>
          </w:tcPr>
          <w:p>
            <w:pPr>
              <w:jc w:val="right"/>
            </w:pPr>
            <w:r>
              <w:rPr>
                <w:color w:val="000000"/>
                <w:sz w:val="24"/>
                <w:szCs w:val="24"/>
              </w:rPr>
              <w:t>1.14</w:t>
            </w:r>
          </w:p>
        </w:tc>
      </w:tr>
      <w:tr>
        <w:tc>
          <w:tcPr>
            <w:vAlign w:val="center"/>
          </w:tcPr>
          <w:p>
            <w:pPr>
              <w:jc w:val="center"/>
            </w:pPr>
            <w:r>
              <w:rPr>
                <w:color w:val="000000"/>
                <w:sz w:val="24"/>
                <w:szCs w:val="24"/>
              </w:rPr>
              <w:t>3</w:t>
            </w:r>
          </w:p>
        </w:tc>
        <w:tc>
          <w:tcPr>
            <w:vAlign w:val="center"/>
          </w:tcPr>
          <w:p>
            <w:pPr>
              <w:jc w:val="center"/>
            </w:pPr>
            <w:r>
              <w:rPr>
                <w:color w:val="000000"/>
                <w:sz w:val="24"/>
                <w:szCs w:val="24"/>
              </w:rPr>
              <w:t>000333</w:t>
            </w:r>
          </w:p>
        </w:tc>
        <w:tc>
          <w:tcPr>
            <w:vAlign w:val="center"/>
          </w:tcPr>
          <w:p>
            <w:pPr>
              <w:jc w:val="center"/>
            </w:pPr>
            <w:r>
              <w:rPr>
                <w:color w:val="000000"/>
                <w:sz w:val="24"/>
                <w:szCs w:val="24"/>
              </w:rPr>
              <w:t>美的集团</w:t>
            </w:r>
          </w:p>
        </w:tc>
        <w:tc>
          <w:tcPr>
            <w:vAlign w:val="center"/>
          </w:tcPr>
          <w:p>
            <w:pPr>
              <w:jc w:val="right"/>
            </w:pPr>
            <w:r>
              <w:rPr>
                <w:color w:val="000000"/>
                <w:sz w:val="24"/>
                <w:szCs w:val="24"/>
              </w:rPr>
              <w:t>11,700</w:t>
            </w:r>
          </w:p>
        </w:tc>
        <w:tc>
          <w:tcPr>
            <w:vAlign w:val="center"/>
          </w:tcPr>
          <w:p>
            <w:pPr>
              <w:jc w:val="right"/>
            </w:pPr>
            <w:r>
              <w:rPr>
                <w:color w:val="000000"/>
                <w:sz w:val="24"/>
                <w:szCs w:val="24"/>
              </w:rPr>
              <w:t>681,525.00</w:t>
            </w:r>
          </w:p>
        </w:tc>
        <w:tc>
          <w:tcPr>
            <w:vAlign w:val="center"/>
          </w:tcPr>
          <w:p>
            <w:pPr>
              <w:jc w:val="right"/>
            </w:pPr>
            <w:r>
              <w:rPr>
                <w:color w:val="000000"/>
                <w:sz w:val="24"/>
                <w:szCs w:val="24"/>
              </w:rPr>
              <w:t>0.82</w:t>
            </w:r>
          </w:p>
        </w:tc>
      </w:tr>
      <w:tr>
        <w:tc>
          <w:tcPr>
            <w:vAlign w:val="center"/>
          </w:tcPr>
          <w:p>
            <w:pPr>
              <w:jc w:val="center"/>
            </w:pPr>
            <w:r>
              <w:rPr>
                <w:color w:val="000000"/>
                <w:sz w:val="24"/>
                <w:szCs w:val="24"/>
              </w:rPr>
              <w:t>4</w:t>
            </w:r>
          </w:p>
        </w:tc>
        <w:tc>
          <w:tcPr>
            <w:vAlign w:val="center"/>
          </w:tcPr>
          <w:p>
            <w:pPr>
              <w:jc w:val="center"/>
            </w:pPr>
            <w:r>
              <w:rPr>
                <w:color w:val="000000"/>
                <w:sz w:val="24"/>
                <w:szCs w:val="24"/>
              </w:rPr>
              <w:t>600276</w:t>
            </w:r>
          </w:p>
        </w:tc>
        <w:tc>
          <w:tcPr>
            <w:vAlign w:val="center"/>
          </w:tcPr>
          <w:p>
            <w:pPr>
              <w:jc w:val="center"/>
            </w:pPr>
            <w:r>
              <w:rPr>
                <w:color w:val="000000"/>
                <w:sz w:val="24"/>
                <w:szCs w:val="24"/>
              </w:rPr>
              <w:t>恒瑞医药</w:t>
            </w:r>
          </w:p>
        </w:tc>
        <w:tc>
          <w:tcPr>
            <w:vAlign w:val="center"/>
          </w:tcPr>
          <w:p>
            <w:pPr>
              <w:jc w:val="right"/>
            </w:pPr>
            <w:r>
              <w:rPr>
                <w:color w:val="000000"/>
                <w:sz w:val="24"/>
                <w:szCs w:val="24"/>
              </w:rPr>
              <w:t>7,400</w:t>
            </w:r>
          </w:p>
        </w:tc>
        <w:tc>
          <w:tcPr>
            <w:vAlign w:val="center"/>
          </w:tcPr>
          <w:p>
            <w:pPr>
              <w:jc w:val="right"/>
            </w:pPr>
            <w:r>
              <w:rPr>
                <w:color w:val="000000"/>
                <w:sz w:val="24"/>
                <w:szCs w:val="24"/>
              </w:rPr>
              <w:t>647,648.00</w:t>
            </w:r>
          </w:p>
        </w:tc>
        <w:tc>
          <w:tcPr>
            <w:vAlign w:val="center"/>
          </w:tcPr>
          <w:p>
            <w:pPr>
              <w:jc w:val="right"/>
            </w:pPr>
            <w:r>
              <w:rPr>
                <w:color w:val="000000"/>
                <w:sz w:val="24"/>
                <w:szCs w:val="24"/>
              </w:rPr>
              <w:t>0.78</w:t>
            </w:r>
          </w:p>
        </w:tc>
      </w:tr>
      <w:tr>
        <w:tc>
          <w:tcPr>
            <w:vAlign w:val="center"/>
          </w:tcPr>
          <w:p>
            <w:pPr>
              <w:jc w:val="center"/>
            </w:pPr>
            <w:r>
              <w:rPr>
                <w:color w:val="000000"/>
                <w:sz w:val="24"/>
                <w:szCs w:val="24"/>
              </w:rPr>
              <w:t>5</w:t>
            </w:r>
          </w:p>
        </w:tc>
        <w:tc>
          <w:tcPr>
            <w:vAlign w:val="center"/>
          </w:tcPr>
          <w:p>
            <w:pPr>
              <w:jc w:val="center"/>
            </w:pPr>
            <w:r>
              <w:rPr>
                <w:color w:val="000000"/>
                <w:sz w:val="24"/>
                <w:szCs w:val="24"/>
              </w:rPr>
              <w:t>000858</w:t>
            </w:r>
          </w:p>
        </w:tc>
        <w:tc>
          <w:tcPr>
            <w:vAlign w:val="center"/>
          </w:tcPr>
          <w:p>
            <w:pPr>
              <w:jc w:val="center"/>
            </w:pPr>
            <w:r>
              <w:rPr>
                <w:color w:val="000000"/>
                <w:sz w:val="24"/>
                <w:szCs w:val="24"/>
              </w:rPr>
              <w:t>五粮液</w:t>
            </w:r>
          </w:p>
        </w:tc>
        <w:tc>
          <w:tcPr>
            <w:vAlign w:val="center"/>
          </w:tcPr>
          <w:p>
            <w:pPr>
              <w:jc w:val="right"/>
            </w:pPr>
            <w:r>
              <w:rPr>
                <w:color w:val="000000"/>
                <w:sz w:val="24"/>
                <w:szCs w:val="24"/>
              </w:rPr>
              <w:t>4,600</w:t>
            </w:r>
          </w:p>
        </w:tc>
        <w:tc>
          <w:tcPr>
            <w:vAlign w:val="center"/>
          </w:tcPr>
          <w:p>
            <w:pPr>
              <w:jc w:val="right"/>
            </w:pPr>
            <w:r>
              <w:rPr>
                <w:color w:val="000000"/>
                <w:sz w:val="24"/>
                <w:szCs w:val="24"/>
              </w:rPr>
              <w:t>611,846.00</w:t>
            </w:r>
          </w:p>
        </w:tc>
        <w:tc>
          <w:tcPr>
            <w:vAlign w:val="center"/>
          </w:tcPr>
          <w:p>
            <w:pPr>
              <w:jc w:val="right"/>
            </w:pPr>
            <w:r>
              <w:rPr>
                <w:color w:val="000000"/>
                <w:sz w:val="24"/>
                <w:szCs w:val="24"/>
              </w:rPr>
              <w:t>0.74</w:t>
            </w:r>
          </w:p>
        </w:tc>
      </w:tr>
      <w:tr>
        <w:tc>
          <w:tcPr>
            <w:vAlign w:val="center"/>
          </w:tcPr>
          <w:p>
            <w:pPr>
              <w:jc w:val="center"/>
            </w:pPr>
            <w:r>
              <w:rPr>
                <w:color w:val="000000"/>
                <w:sz w:val="24"/>
                <w:szCs w:val="24"/>
              </w:rPr>
              <w:t>6</w:t>
            </w:r>
          </w:p>
        </w:tc>
        <w:tc>
          <w:tcPr>
            <w:vAlign w:val="center"/>
          </w:tcPr>
          <w:p>
            <w:pPr>
              <w:jc w:val="center"/>
            </w:pPr>
            <w:r>
              <w:rPr>
                <w:color w:val="000000"/>
                <w:sz w:val="24"/>
                <w:szCs w:val="24"/>
              </w:rPr>
              <w:t>601166</w:t>
            </w:r>
          </w:p>
        </w:tc>
        <w:tc>
          <w:tcPr>
            <w:vAlign w:val="center"/>
          </w:tcPr>
          <w:p>
            <w:pPr>
              <w:jc w:val="center"/>
            </w:pPr>
            <w:r>
              <w:rPr>
                <w:color w:val="000000"/>
                <w:sz w:val="24"/>
                <w:szCs w:val="24"/>
              </w:rPr>
              <w:t>兴业银行</w:t>
            </w:r>
          </w:p>
        </w:tc>
        <w:tc>
          <w:tcPr>
            <w:vAlign w:val="center"/>
          </w:tcPr>
          <w:p>
            <w:pPr>
              <w:jc w:val="right"/>
            </w:pPr>
            <w:r>
              <w:rPr>
                <w:color w:val="000000"/>
                <w:sz w:val="24"/>
                <w:szCs w:val="24"/>
              </w:rPr>
              <w:t>26,500</w:t>
            </w:r>
          </w:p>
        </w:tc>
        <w:tc>
          <w:tcPr>
            <w:vAlign w:val="center"/>
          </w:tcPr>
          <w:p>
            <w:pPr>
              <w:jc w:val="right"/>
            </w:pPr>
            <w:r>
              <w:rPr>
                <w:color w:val="000000"/>
                <w:sz w:val="24"/>
                <w:szCs w:val="24"/>
              </w:rPr>
              <w:t>524,700.00</w:t>
            </w:r>
          </w:p>
        </w:tc>
        <w:tc>
          <w:tcPr>
            <w:vAlign w:val="center"/>
          </w:tcPr>
          <w:p>
            <w:pPr>
              <w:jc w:val="right"/>
            </w:pPr>
            <w:r>
              <w:rPr>
                <w:color w:val="000000"/>
                <w:sz w:val="24"/>
                <w:szCs w:val="24"/>
              </w:rPr>
              <w:t>0.63</w:t>
            </w:r>
          </w:p>
        </w:tc>
      </w:tr>
      <w:tr>
        <w:tc>
          <w:tcPr>
            <w:vAlign w:val="center"/>
          </w:tcPr>
          <w:p>
            <w:pPr>
              <w:jc w:val="center"/>
            </w:pPr>
            <w:r>
              <w:rPr>
                <w:color w:val="000000"/>
                <w:sz w:val="24"/>
                <w:szCs w:val="24"/>
              </w:rPr>
              <w:t>7</w:t>
            </w:r>
          </w:p>
        </w:tc>
        <w:tc>
          <w:tcPr>
            <w:vAlign w:val="center"/>
          </w:tcPr>
          <w:p>
            <w:pPr>
              <w:jc w:val="center"/>
            </w:pPr>
            <w:r>
              <w:rPr>
                <w:color w:val="000000"/>
                <w:sz w:val="24"/>
                <w:szCs w:val="24"/>
              </w:rPr>
              <w:t>002475</w:t>
            </w:r>
          </w:p>
        </w:tc>
        <w:tc>
          <w:tcPr>
            <w:vAlign w:val="center"/>
          </w:tcPr>
          <w:p>
            <w:pPr>
              <w:jc w:val="center"/>
            </w:pPr>
            <w:r>
              <w:rPr>
                <w:color w:val="000000"/>
                <w:sz w:val="24"/>
                <w:szCs w:val="24"/>
              </w:rPr>
              <w:t>立讯精密</w:t>
            </w:r>
          </w:p>
        </w:tc>
        <w:tc>
          <w:tcPr>
            <w:vAlign w:val="center"/>
          </w:tcPr>
          <w:p>
            <w:pPr>
              <w:jc w:val="right"/>
            </w:pPr>
            <w:r>
              <w:rPr>
                <w:color w:val="000000"/>
                <w:sz w:val="24"/>
                <w:szCs w:val="24"/>
              </w:rPr>
              <w:t>13,500</w:t>
            </w:r>
          </w:p>
        </w:tc>
        <w:tc>
          <w:tcPr>
            <w:vAlign w:val="center"/>
          </w:tcPr>
          <w:p>
            <w:pPr>
              <w:jc w:val="right"/>
            </w:pPr>
            <w:r>
              <w:rPr>
                <w:color w:val="000000"/>
                <w:sz w:val="24"/>
                <w:szCs w:val="24"/>
              </w:rPr>
              <w:t>492,750.00</w:t>
            </w:r>
          </w:p>
        </w:tc>
        <w:tc>
          <w:tcPr>
            <w:vAlign w:val="center"/>
          </w:tcPr>
          <w:p>
            <w:pPr>
              <w:jc w:val="right"/>
            </w:pPr>
            <w:r>
              <w:rPr>
                <w:color w:val="000000"/>
                <w:sz w:val="24"/>
                <w:szCs w:val="24"/>
              </w:rPr>
              <w:t>0.59</w:t>
            </w:r>
          </w:p>
        </w:tc>
      </w:tr>
      <w:tr>
        <w:tc>
          <w:tcPr>
            <w:vAlign w:val="center"/>
          </w:tcPr>
          <w:p>
            <w:pPr>
              <w:jc w:val="center"/>
            </w:pPr>
            <w:r>
              <w:rPr>
                <w:color w:val="000000"/>
                <w:sz w:val="24"/>
                <w:szCs w:val="24"/>
              </w:rPr>
              <w:t>8</w:t>
            </w:r>
          </w:p>
        </w:tc>
        <w:tc>
          <w:tcPr>
            <w:vAlign w:val="center"/>
          </w:tcPr>
          <w:p>
            <w:pPr>
              <w:jc w:val="center"/>
            </w:pPr>
            <w:r>
              <w:rPr>
                <w:color w:val="000000"/>
                <w:sz w:val="24"/>
                <w:szCs w:val="24"/>
              </w:rPr>
              <w:t>600030</w:t>
            </w:r>
          </w:p>
        </w:tc>
        <w:tc>
          <w:tcPr>
            <w:vAlign w:val="center"/>
          </w:tcPr>
          <w:p>
            <w:pPr>
              <w:jc w:val="center"/>
            </w:pPr>
            <w:r>
              <w:rPr>
                <w:color w:val="000000"/>
                <w:sz w:val="24"/>
                <w:szCs w:val="24"/>
              </w:rPr>
              <w:t>中信证券</w:t>
            </w:r>
          </w:p>
        </w:tc>
        <w:tc>
          <w:tcPr>
            <w:vAlign w:val="center"/>
          </w:tcPr>
          <w:p>
            <w:pPr>
              <w:jc w:val="right"/>
            </w:pPr>
            <w:r>
              <w:rPr>
                <w:color w:val="000000"/>
                <w:sz w:val="24"/>
                <w:szCs w:val="24"/>
              </w:rPr>
              <w:t>17,600</w:t>
            </w:r>
          </w:p>
        </w:tc>
        <w:tc>
          <w:tcPr>
            <w:vAlign w:val="center"/>
          </w:tcPr>
          <w:p>
            <w:pPr>
              <w:jc w:val="right"/>
            </w:pPr>
            <w:r>
              <w:rPr>
                <w:color w:val="000000"/>
                <w:sz w:val="24"/>
                <w:szCs w:val="24"/>
              </w:rPr>
              <w:t>445,280.00</w:t>
            </w:r>
          </w:p>
        </w:tc>
        <w:tc>
          <w:tcPr>
            <w:vAlign w:val="center"/>
          </w:tcPr>
          <w:p>
            <w:pPr>
              <w:jc w:val="right"/>
            </w:pPr>
            <w:r>
              <w:rPr>
                <w:color w:val="000000"/>
                <w:sz w:val="24"/>
                <w:szCs w:val="24"/>
              </w:rPr>
              <w:t>0.54</w:t>
            </w:r>
          </w:p>
        </w:tc>
      </w:tr>
      <w:tr>
        <w:tc>
          <w:tcPr>
            <w:vAlign w:val="center"/>
          </w:tcPr>
          <w:p>
            <w:pPr>
              <w:jc w:val="center"/>
            </w:pPr>
            <w:r>
              <w:rPr>
                <w:color w:val="000000"/>
                <w:sz w:val="24"/>
                <w:szCs w:val="24"/>
              </w:rPr>
              <w:t>9</w:t>
            </w:r>
          </w:p>
        </w:tc>
        <w:tc>
          <w:tcPr>
            <w:vAlign w:val="center"/>
          </w:tcPr>
          <w:p>
            <w:pPr>
              <w:jc w:val="center"/>
            </w:pPr>
            <w:r>
              <w:rPr>
                <w:color w:val="000000"/>
                <w:sz w:val="24"/>
                <w:szCs w:val="24"/>
              </w:rPr>
              <w:t>601628</w:t>
            </w:r>
          </w:p>
        </w:tc>
        <w:tc>
          <w:tcPr>
            <w:vAlign w:val="center"/>
          </w:tcPr>
          <w:p>
            <w:pPr>
              <w:jc w:val="center"/>
            </w:pPr>
            <w:r>
              <w:rPr>
                <w:color w:val="000000"/>
                <w:sz w:val="24"/>
                <w:szCs w:val="24"/>
              </w:rPr>
              <w:t>中国人寿</w:t>
            </w:r>
          </w:p>
        </w:tc>
        <w:tc>
          <w:tcPr>
            <w:vAlign w:val="center"/>
          </w:tcPr>
          <w:p>
            <w:pPr>
              <w:jc w:val="right"/>
            </w:pPr>
            <w:r>
              <w:rPr>
                <w:color w:val="000000"/>
                <w:sz w:val="24"/>
                <w:szCs w:val="24"/>
              </w:rPr>
              <w:t>11,000</w:t>
            </w:r>
          </w:p>
        </w:tc>
        <w:tc>
          <w:tcPr>
            <w:vAlign w:val="center"/>
          </w:tcPr>
          <w:p>
            <w:pPr>
              <w:jc w:val="right"/>
            </w:pPr>
            <w:r>
              <w:rPr>
                <w:color w:val="000000"/>
                <w:sz w:val="24"/>
                <w:szCs w:val="24"/>
              </w:rPr>
              <w:t>383,570.00</w:t>
            </w:r>
          </w:p>
        </w:tc>
        <w:tc>
          <w:tcPr>
            <w:vAlign w:val="center"/>
          </w:tcPr>
          <w:p>
            <w:pPr>
              <w:jc w:val="right"/>
            </w:pPr>
            <w:r>
              <w:rPr>
                <w:color w:val="000000"/>
                <w:sz w:val="24"/>
                <w:szCs w:val="24"/>
              </w:rPr>
              <w:t>0.46</w:t>
            </w:r>
          </w:p>
        </w:tc>
      </w:tr>
      <w:tr>
        <w:tc>
          <w:tcPr>
            <w:vAlign w:val="center"/>
          </w:tcPr>
          <w:p>
            <w:pPr>
              <w:jc w:val="center"/>
            </w:pPr>
            <w:r>
              <w:rPr>
                <w:color w:val="000000"/>
                <w:sz w:val="24"/>
                <w:szCs w:val="24"/>
              </w:rPr>
              <w:t>10</w:t>
            </w:r>
          </w:p>
        </w:tc>
        <w:tc>
          <w:tcPr>
            <w:vAlign w:val="center"/>
          </w:tcPr>
          <w:p>
            <w:pPr>
              <w:jc w:val="center"/>
            </w:pPr>
            <w:r>
              <w:rPr>
                <w:color w:val="000000"/>
                <w:sz w:val="24"/>
                <w:szCs w:val="24"/>
              </w:rPr>
              <w:t>601169</w:t>
            </w:r>
          </w:p>
        </w:tc>
        <w:tc>
          <w:tcPr>
            <w:vAlign w:val="center"/>
          </w:tcPr>
          <w:p>
            <w:pPr>
              <w:jc w:val="center"/>
            </w:pPr>
            <w:r>
              <w:rPr>
                <w:color w:val="000000"/>
                <w:sz w:val="24"/>
                <w:szCs w:val="24"/>
              </w:rPr>
              <w:t>北京银行</w:t>
            </w:r>
          </w:p>
        </w:tc>
        <w:tc>
          <w:tcPr>
            <w:vAlign w:val="center"/>
          </w:tcPr>
          <w:p>
            <w:pPr>
              <w:jc w:val="right"/>
            </w:pPr>
            <w:r>
              <w:rPr>
                <w:color w:val="000000"/>
                <w:sz w:val="24"/>
                <w:szCs w:val="24"/>
              </w:rPr>
              <w:t>65,100</w:t>
            </w:r>
          </w:p>
        </w:tc>
        <w:tc>
          <w:tcPr>
            <w:vAlign w:val="center"/>
          </w:tcPr>
          <w:p>
            <w:pPr>
              <w:jc w:val="right"/>
            </w:pPr>
            <w:r>
              <w:rPr>
                <w:color w:val="000000"/>
                <w:sz w:val="24"/>
                <w:szCs w:val="24"/>
              </w:rPr>
              <w:t>369,768.00</w:t>
            </w:r>
          </w:p>
        </w:tc>
        <w:tc>
          <w:tcPr>
            <w:vAlign w:val="center"/>
          </w:tcPr>
          <w:p>
            <w:pPr>
              <w:jc w:val="right"/>
            </w:pPr>
            <w:r>
              <w:rPr>
                <w:color w:val="000000"/>
                <w:sz w:val="24"/>
                <w:szCs w:val="24"/>
              </w:rPr>
              <w:t>0.45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48,888,000.00</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58.85</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48,888,000.00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58.85</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111905063</w:t>
            </w:r>
          </w:p>
        </w:tc>
        <w:tc>
          <w:tcPr>
            <w:vAlign w:val="center"/>
          </w:tcPr>
          <w:p>
            <w:pPr>
              <w:jc w:val="center"/>
            </w:pPr>
            <w:r>
              <w:rPr>
                <w:color w:val="000000"/>
                <w:sz w:val="24"/>
                <w:szCs w:val="24"/>
              </w:rPr>
              <w:t>19建设银行CD063</w:t>
            </w:r>
          </w:p>
        </w:tc>
        <w:tc>
          <w:tcPr>
            <w:vAlign w:val="center"/>
          </w:tcPr>
          <w:p>
            <w:pPr>
              <w:jc w:val="right"/>
            </w:pPr>
            <w:r>
              <w:rPr>
                <w:color w:val="000000"/>
                <w:sz w:val="24"/>
                <w:szCs w:val="24"/>
              </w:rPr>
              <w:t>100,000</w:t>
            </w:r>
          </w:p>
        </w:tc>
        <w:tc>
          <w:tcPr>
            <w:vAlign w:val="center"/>
          </w:tcPr>
          <w:p>
            <w:pPr>
              <w:jc w:val="right"/>
            </w:pPr>
            <w:r>
              <w:rPr>
                <w:color w:val="000000"/>
                <w:sz w:val="24"/>
                <w:szCs w:val="24"/>
              </w:rPr>
              <w:t>9,780,000.00</w:t>
            </w:r>
          </w:p>
        </w:tc>
        <w:tc>
          <w:tcPr>
            <w:vAlign w:val="center"/>
          </w:tcPr>
          <w:p>
            <w:pPr>
              <w:jc w:val="right"/>
            </w:pPr>
            <w:r>
              <w:rPr>
                <w:color w:val="000000"/>
                <w:sz w:val="24"/>
                <w:szCs w:val="24"/>
              </w:rPr>
              <w:t>11.77</w:t>
            </w:r>
          </w:p>
        </w:tc>
      </w:tr>
      <w:tr>
        <w:tc>
          <w:tcPr>
            <w:vAlign w:val="center"/>
          </w:tcPr>
          <w:p>
            <w:pPr>
              <w:jc w:val="center"/>
            </w:pPr>
            <w:r>
              <w:rPr>
                <w:color w:val="000000"/>
                <w:sz w:val="24"/>
                <w:szCs w:val="24"/>
              </w:rPr>
              <w:t>2</w:t>
            </w:r>
          </w:p>
        </w:tc>
        <w:tc>
          <w:tcPr>
            <w:vAlign w:val="center"/>
          </w:tcPr>
          <w:p>
            <w:pPr>
              <w:jc w:val="center"/>
            </w:pPr>
            <w:r>
              <w:rPr>
                <w:color w:val="000000"/>
                <w:sz w:val="24"/>
                <w:szCs w:val="24"/>
              </w:rPr>
              <w:t>111918186</w:t>
            </w:r>
          </w:p>
        </w:tc>
        <w:tc>
          <w:tcPr>
            <w:vAlign w:val="center"/>
          </w:tcPr>
          <w:p>
            <w:pPr>
              <w:jc w:val="center"/>
            </w:pPr>
            <w:r>
              <w:rPr>
                <w:color w:val="000000"/>
                <w:sz w:val="24"/>
                <w:szCs w:val="24"/>
              </w:rPr>
              <w:t>19华夏银行CD186</w:t>
            </w:r>
          </w:p>
        </w:tc>
        <w:tc>
          <w:tcPr>
            <w:vAlign w:val="center"/>
          </w:tcPr>
          <w:p>
            <w:pPr>
              <w:jc w:val="right"/>
            </w:pPr>
            <w:r>
              <w:rPr>
                <w:color w:val="000000"/>
                <w:sz w:val="24"/>
                <w:szCs w:val="24"/>
              </w:rPr>
              <w:t>100,000</w:t>
            </w:r>
          </w:p>
        </w:tc>
        <w:tc>
          <w:tcPr>
            <w:vAlign w:val="center"/>
          </w:tcPr>
          <w:p>
            <w:pPr>
              <w:jc w:val="right"/>
            </w:pPr>
            <w:r>
              <w:rPr>
                <w:color w:val="000000"/>
                <w:sz w:val="24"/>
                <w:szCs w:val="24"/>
              </w:rPr>
              <w:t>9,777,000.00</w:t>
            </w:r>
          </w:p>
        </w:tc>
        <w:tc>
          <w:tcPr>
            <w:vAlign w:val="center"/>
          </w:tcPr>
          <w:p>
            <w:pPr>
              <w:jc w:val="right"/>
            </w:pPr>
            <w:r>
              <w:rPr>
                <w:color w:val="000000"/>
                <w:sz w:val="24"/>
                <w:szCs w:val="24"/>
              </w:rPr>
              <w:t>11.77</w:t>
            </w:r>
          </w:p>
        </w:tc>
      </w:tr>
      <w:tr>
        <w:tc>
          <w:tcPr>
            <w:vAlign w:val="center"/>
          </w:tcPr>
          <w:p>
            <w:pPr>
              <w:jc w:val="center"/>
            </w:pPr>
            <w:r>
              <w:rPr>
                <w:color w:val="000000"/>
                <w:sz w:val="24"/>
                <w:szCs w:val="24"/>
              </w:rPr>
              <w:t>3</w:t>
            </w:r>
          </w:p>
        </w:tc>
        <w:tc>
          <w:tcPr>
            <w:vAlign w:val="center"/>
          </w:tcPr>
          <w:p>
            <w:pPr>
              <w:jc w:val="center"/>
            </w:pPr>
            <w:r>
              <w:rPr>
                <w:color w:val="000000"/>
                <w:sz w:val="24"/>
                <w:szCs w:val="24"/>
              </w:rPr>
              <w:t>111915226</w:t>
            </w:r>
          </w:p>
        </w:tc>
        <w:tc>
          <w:tcPr>
            <w:vAlign w:val="center"/>
          </w:tcPr>
          <w:p>
            <w:pPr>
              <w:jc w:val="center"/>
            </w:pPr>
            <w:r>
              <w:rPr>
                <w:color w:val="000000"/>
                <w:sz w:val="24"/>
                <w:szCs w:val="24"/>
              </w:rPr>
              <w:t>19民生银行CD226</w:t>
            </w:r>
          </w:p>
        </w:tc>
        <w:tc>
          <w:tcPr>
            <w:vAlign w:val="center"/>
          </w:tcPr>
          <w:p>
            <w:pPr>
              <w:jc w:val="right"/>
            </w:pPr>
            <w:r>
              <w:rPr>
                <w:color w:val="000000"/>
                <w:sz w:val="24"/>
                <w:szCs w:val="24"/>
              </w:rPr>
              <w:t>100,000</w:t>
            </w:r>
          </w:p>
        </w:tc>
        <w:tc>
          <w:tcPr>
            <w:vAlign w:val="center"/>
          </w:tcPr>
          <w:p>
            <w:pPr>
              <w:jc w:val="right"/>
            </w:pPr>
            <w:r>
              <w:rPr>
                <w:color w:val="000000"/>
                <w:sz w:val="24"/>
                <w:szCs w:val="24"/>
              </w:rPr>
              <w:t>9,777,000.00</w:t>
            </w:r>
          </w:p>
        </w:tc>
        <w:tc>
          <w:tcPr>
            <w:vAlign w:val="center"/>
          </w:tcPr>
          <w:p>
            <w:pPr>
              <w:jc w:val="right"/>
            </w:pPr>
            <w:r>
              <w:rPr>
                <w:color w:val="000000"/>
                <w:sz w:val="24"/>
                <w:szCs w:val="24"/>
              </w:rPr>
              <w:t>11.77</w:t>
            </w:r>
          </w:p>
        </w:tc>
      </w:tr>
      <w:tr>
        <w:tc>
          <w:tcPr>
            <w:vAlign w:val="center"/>
          </w:tcPr>
          <w:p>
            <w:pPr>
              <w:jc w:val="center"/>
            </w:pPr>
            <w:r>
              <w:rPr>
                <w:color w:val="000000"/>
                <w:sz w:val="24"/>
                <w:szCs w:val="24"/>
              </w:rPr>
              <w:t>4</w:t>
            </w:r>
          </w:p>
        </w:tc>
        <w:tc>
          <w:tcPr>
            <w:vAlign w:val="center"/>
          </w:tcPr>
          <w:p>
            <w:pPr>
              <w:jc w:val="center"/>
            </w:pPr>
            <w:r>
              <w:rPr>
                <w:color w:val="000000"/>
                <w:sz w:val="24"/>
                <w:szCs w:val="24"/>
              </w:rPr>
              <w:t>111909177</w:t>
            </w:r>
          </w:p>
        </w:tc>
        <w:tc>
          <w:tcPr>
            <w:vAlign w:val="center"/>
          </w:tcPr>
          <w:p>
            <w:pPr>
              <w:jc w:val="center"/>
            </w:pPr>
            <w:r>
              <w:rPr>
                <w:color w:val="000000"/>
                <w:sz w:val="24"/>
                <w:szCs w:val="24"/>
              </w:rPr>
              <w:t>19浦发银行CD177</w:t>
            </w:r>
          </w:p>
        </w:tc>
        <w:tc>
          <w:tcPr>
            <w:vAlign w:val="center"/>
          </w:tcPr>
          <w:p>
            <w:pPr>
              <w:jc w:val="right"/>
            </w:pPr>
            <w:r>
              <w:rPr>
                <w:color w:val="000000"/>
                <w:sz w:val="24"/>
                <w:szCs w:val="24"/>
              </w:rPr>
              <w:t>100,000</w:t>
            </w:r>
          </w:p>
        </w:tc>
        <w:tc>
          <w:tcPr>
            <w:vAlign w:val="center"/>
          </w:tcPr>
          <w:p>
            <w:pPr>
              <w:jc w:val="right"/>
            </w:pPr>
            <w:r>
              <w:rPr>
                <w:color w:val="000000"/>
                <w:sz w:val="24"/>
                <w:szCs w:val="24"/>
              </w:rPr>
              <w:t>9,777,000.00</w:t>
            </w:r>
          </w:p>
        </w:tc>
        <w:tc>
          <w:tcPr>
            <w:vAlign w:val="center"/>
          </w:tcPr>
          <w:p>
            <w:pPr>
              <w:jc w:val="right"/>
            </w:pPr>
            <w:r>
              <w:rPr>
                <w:color w:val="000000"/>
                <w:sz w:val="24"/>
                <w:szCs w:val="24"/>
              </w:rPr>
              <w:t>11.77</w:t>
            </w:r>
          </w:p>
        </w:tc>
      </w:tr>
      <w:tr>
        <w:tc>
          <w:tcPr>
            <w:vAlign w:val="center"/>
          </w:tcPr>
          <w:p>
            <w:pPr>
              <w:jc w:val="center"/>
            </w:pPr>
            <w:r>
              <w:rPr>
                <w:color w:val="000000"/>
                <w:sz w:val="24"/>
                <w:szCs w:val="24"/>
              </w:rPr>
              <w:t>5</w:t>
            </w:r>
          </w:p>
        </w:tc>
        <w:tc>
          <w:tcPr>
            <w:vAlign w:val="center"/>
          </w:tcPr>
          <w:p>
            <w:pPr>
              <w:jc w:val="center"/>
            </w:pPr>
            <w:r>
              <w:rPr>
                <w:color w:val="000000"/>
                <w:sz w:val="24"/>
                <w:szCs w:val="24"/>
              </w:rPr>
              <w:t>111910240</w:t>
            </w:r>
          </w:p>
        </w:tc>
        <w:tc>
          <w:tcPr>
            <w:vAlign w:val="center"/>
          </w:tcPr>
          <w:p>
            <w:pPr>
              <w:jc w:val="center"/>
            </w:pPr>
            <w:r>
              <w:rPr>
                <w:color w:val="000000"/>
                <w:sz w:val="24"/>
                <w:szCs w:val="24"/>
              </w:rPr>
              <w:t>19兴业银行CD240</w:t>
            </w:r>
          </w:p>
        </w:tc>
        <w:tc>
          <w:tcPr>
            <w:vAlign w:val="center"/>
          </w:tcPr>
          <w:p>
            <w:pPr>
              <w:jc w:val="right"/>
            </w:pPr>
            <w:r>
              <w:rPr>
                <w:color w:val="000000"/>
                <w:sz w:val="24"/>
                <w:szCs w:val="24"/>
              </w:rPr>
              <w:t>100,000</w:t>
            </w:r>
          </w:p>
        </w:tc>
        <w:tc>
          <w:tcPr>
            <w:vAlign w:val="center"/>
          </w:tcPr>
          <w:p>
            <w:pPr>
              <w:jc w:val="right"/>
            </w:pPr>
            <w:r>
              <w:rPr>
                <w:color w:val="000000"/>
                <w:sz w:val="24"/>
                <w:szCs w:val="24"/>
              </w:rPr>
              <w:t>9,777,000.00</w:t>
            </w:r>
          </w:p>
        </w:tc>
        <w:tc>
          <w:tcPr>
            <w:vAlign w:val="center"/>
          </w:tcPr>
          <w:p>
            <w:pPr>
              <w:jc w:val="right"/>
            </w:pPr>
            <w:r>
              <w:rPr>
                <w:color w:val="000000"/>
                <w:sz w:val="24"/>
                <w:szCs w:val="24"/>
              </w:rPr>
              <w:t>11.77</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15,154.42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875,696.73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890,851.15</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79,899,354.91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79,899,354.91</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1、中国证监会准予交银施罗德致远量化智投策略定期开放混合型证券投资基金募集注册的文件；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2、《交银施罗德致远量化智投策略定期开放混合型证券投资基金基金合同》；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3、《交银施罗德致远量化智投策略定期开放混合型证券投资基金招募说明书》；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4、《交银施罗德致远量化智投策略定期开放混合型证券投资基金托管协议》；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5、关于申请募集注册交银施罗德致远量化智投策略定期开放混合型证券投资基金的法律意见书；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8、报告期内交银施罗德致远量化智投策略定期开放混合型证券投资基金在指定报刊上各项公告的原稿。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交银施罗德致远量化智投策略定期开放混合型证券投资基金2019年第4季度报告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