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2008年3月31日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668,113,283.79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w:r>
            <w:bookmarkStart w:id="0" w:name="_GoBack"/>
            <w:bookmarkEnd w:id="0"/>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519680</w:t>
            </w:r>
            <w:r w:rsidRPr="007F52FA">
              <w:rPr>
                <w:color w:themeColor="text1" w:val="000000"/>
                <w:sz w:val="24"/>
              </w:rPr>
              <w:t>（前端）、</w:t>
            </w:r>
            <w:r w:rsidRPr="007F52FA">
              <w:rPr>
                <w:color w:themeColor="text1" w:val="000000"/>
                <w:sz w:val="24"/>
              </w:rPr>
              <w:t>519681</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519682</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364,687,993.44</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303,425,290.35</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交银增利债券A/B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交银增利债券C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3,948,580.23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2,562,493.43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5,028,362.21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3,815,347.43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0.0139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0.0131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378,956,264.90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314,412,856.74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1.0391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1.0362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交银增利债券A/B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1.38%</w:t>
            </w:r>
          </w:p>
        </w:tc>
        <w:tc>
          <w:tcPr>
            <w:vAlign w:val="center"/>
          </w:tcPr>
          <w:p>
            <w:pPr>
              <w:jc w:val="center"/>
            </w:pPr>
            <w:r>
              <w:rPr>
                <w:color w:val="000000"/>
                <w:sz w:val="24"/>
              </w:rPr>
              <w:t>0.04%</w:t>
            </w:r>
          </w:p>
        </w:tc>
        <w:tc>
          <w:tcPr>
            <w:vAlign w:val="center"/>
          </w:tcPr>
          <w:p>
            <w:pPr>
              <w:jc w:val="center"/>
            </w:pPr>
            <w:r>
              <w:rPr>
                <w:color w:val="000000"/>
                <w:sz w:val="24"/>
              </w:rPr>
              <w:t>0.32%</w:t>
            </w:r>
          </w:p>
        </w:tc>
        <w:tc>
          <w:tcPr>
            <w:vAlign w:val="center"/>
          </w:tcPr>
          <w:p>
            <w:pPr>
              <w:jc w:val="center"/>
            </w:pPr>
            <w:r>
              <w:rPr>
                <w:color w:val="000000"/>
                <w:sz w:val="24"/>
              </w:rPr>
              <w:t>0.03%</w:t>
            </w:r>
          </w:p>
        </w:tc>
        <w:tc>
          <w:tcPr>
            <w:vAlign w:val="center"/>
          </w:tcPr>
          <w:p>
            <w:pPr>
              <w:jc w:val="center"/>
            </w:pPr>
            <w:r>
              <w:rPr>
                <w:color w:val="000000"/>
                <w:sz w:val="24"/>
              </w:rPr>
              <w:t>1.06%</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交银增利债券C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1.27%</w:t>
            </w:r>
          </w:p>
        </w:tc>
        <w:tc>
          <w:tcPr>
            <w:vAlign w:val="center"/>
          </w:tcPr>
          <w:p>
            <w:pPr>
              <w:jc w:val="center"/>
            </w:pPr>
            <w:r>
              <w:rPr>
                <w:color w:val="000000"/>
                <w:sz w:val="24"/>
              </w:rPr>
              <w:t>0.04%</w:t>
            </w:r>
          </w:p>
        </w:tc>
        <w:tc>
          <w:tcPr>
            <w:vAlign w:val="center"/>
          </w:tcPr>
          <w:p>
            <w:pPr>
              <w:jc w:val="center"/>
            </w:pPr>
            <w:r>
              <w:rPr>
                <w:color w:val="000000"/>
                <w:sz w:val="24"/>
              </w:rPr>
              <w:t>0.32%</w:t>
            </w:r>
          </w:p>
        </w:tc>
        <w:tc>
          <w:tcPr>
            <w:vAlign w:val="center"/>
          </w:tcPr>
          <w:p>
            <w:pPr>
              <w:jc w:val="center"/>
            </w:pPr>
            <w:r>
              <w:rPr>
                <w:color w:val="000000"/>
                <w:sz w:val="24"/>
              </w:rPr>
              <w:t>0.03%</w:t>
            </w:r>
          </w:p>
        </w:tc>
        <w:tc>
          <w:tcPr>
            <w:vAlign w:val="center"/>
          </w:tcPr>
          <w:p>
            <w:pPr>
              <w:jc w:val="center"/>
            </w:pPr>
            <w:r>
              <w:rPr>
                <w:color w:val="000000"/>
                <w:sz w:val="24"/>
              </w:rPr>
              <w:t>0.95%</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交银施罗德增利债券证券投资基金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2008年3月31日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交银增利债券C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荣鑫保本混合型证券投资基金的基金经理。2017年6月10日至2019年3月14日担任交银施罗德荣祥保本混合型证券投资基金的基金经理。2017年6月10日至2019年3月14日担任交银施罗德定期支付月月丰债券型证券投资基金的基金经理。2017年6月10日至2019年3月14日担任交银施罗德强化回报债券型证券投资基金的基金经理。2017年6月10日至2019年3月14日担任交银施罗德增利增强债券型证券投资基金的基金经理。2017年6月10日至2019年3月14日担任交银施罗德增强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债券收益率先上后下，维持低位震荡格局。四季度伊始，债券市场利空因素集中出现，中美贸易摩擦缓和、通胀上行以及金融数据超预期共同推升债券收益率上行，债券收益率在十月底上行至年内第二高点。进入十一月后，在央行超预期下调MLF、逆回购利率的背景下，市场对于基本面利空反应钝化，虽然通胀走高，但收益率开始震荡下行。进入十二月后，资金宽松导致的机构配置压力增大成为助推债券收益率下行的重要原因。年末央行大额净投放，结合三季度中国货币政策执行报告强调“降成本”等相关表述，市场降准预期再起，短端资金利率大幅下行，机构配置热情高涨，债券收益率维持低位震荡。转债资产方面，四季度以来随着资金宽松和经济预期的修复，权益资产在年末有明显收益，转债结构性机会凸显，转债估值进一步拉升。</w:t>
      </w:r>
    </w:p>
    <w:p>
      <w:pPr>
        <w:spacing w:before="29" w:line="288" w:lineRule="auto"/>
        <w:ind w:firstLine="480" w:firstLineChars="200"/>
        <w:rPr>
          <w:color w:val="000000"/>
          <w:sz w:val="24"/>
        </w:rPr>
      </w:pPr>
      <w:r>
        <w:rPr>
          <w:color w:val="000000"/>
          <w:sz w:val="24"/>
        </w:rPr>
        <w:t>报告期内，基于对宏观经济的判断，本基金适当降低了组合久期，券种配置上以信用债为底仓，获得了较为稳定的票息收益。同时，组合小幅保持了一定的转债仓位，精选个券增厚了组合收益。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宏观经济内生动力较弱叠加政策托而不举，经济仍面临一定下行压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2020年全面建成小康社会之年，政策基调以稳为主，操作上多基于底线思维，流动性预计保持合理充裕，LPR改革后宽信用效果将逐渐显现，预计长端利率维持区间震荡格局，票息策略优于久期策略。操作策略方面，我们关注信用债的票息机会，进一步挖掘信用债投资机会，并维持中等的杠杆水平，以提升组合整体静态收益。转债资产方面，保持转债仓位配置，并精选具有性价比优势的个券，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901,385,680.00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95.79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901,385,680.00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95.79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20,384,700.51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19,251,707.25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941,022,087.76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87,996,200.00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77,874,200.00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11.23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197,785,000.00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28.53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537,572,000.00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77.53</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78,032,480.00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11.25</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901,385,680.00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130.00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380,000</w:t>
            </w:r>
          </w:p>
        </w:tc>
        <w:tc>
          <w:tcPr>
            <w:vAlign w:val="center"/>
          </w:tcPr>
          <w:p>
            <w:pPr>
              <w:jc w:val="right"/>
            </w:pPr>
            <w:r>
              <w:rPr>
                <w:color w:val="000000"/>
                <w:sz w:val="24"/>
              </w:rPr>
              <w:t>38,285,000.00</w:t>
            </w:r>
          </w:p>
        </w:tc>
        <w:tc>
          <w:tcPr>
            <w:vAlign w:val="center"/>
          </w:tcPr>
          <w:p>
            <w:pPr>
              <w:jc w:val="right"/>
            </w:pPr>
            <w:r>
              <w:rPr>
                <w:color w:val="000000"/>
                <w:sz w:val="24"/>
              </w:rPr>
              <w:t>5.52</w:t>
            </w:r>
          </w:p>
        </w:tc>
      </w:tr>
      <w:tr>
        <w:tc>
          <w:tcPr>
            <w:vAlign w:val="center"/>
          </w:tcPr>
          <w:p>
            <w:pPr>
              <w:jc w:val="center"/>
            </w:pPr>
            <w:r>
              <w:rPr>
                <w:color w:val="000000"/>
                <w:sz w:val="24"/>
              </w:rPr>
              <w:t>2</w:t>
            </w:r>
          </w:p>
        </w:tc>
        <w:tc>
          <w:tcPr>
            <w:vAlign w:val="center"/>
          </w:tcPr>
          <w:p>
            <w:pPr>
              <w:jc w:val="center"/>
            </w:pPr>
            <w:r>
              <w:rPr>
                <w:color w:val="000000"/>
                <w:sz w:val="24"/>
              </w:rPr>
              <w:t>180206</w:t>
            </w:r>
          </w:p>
        </w:tc>
        <w:tc>
          <w:tcPr>
            <w:vAlign w:val="center"/>
          </w:tcPr>
          <w:p>
            <w:pPr>
              <w:jc w:val="center"/>
            </w:pPr>
            <w:r>
              <w:rPr>
                <w:color w:val="000000"/>
                <w:sz w:val="24"/>
              </w:rPr>
              <w:t>18国开06</w:t>
            </w:r>
          </w:p>
        </w:tc>
        <w:tc>
          <w:tcPr>
            <w:vAlign w:val="center"/>
          </w:tcPr>
          <w:p>
            <w:pPr>
              <w:jc w:val="right"/>
            </w:pPr>
            <w:r>
              <w:rPr>
                <w:color w:val="000000"/>
                <w:sz w:val="24"/>
              </w:rPr>
              <w:t>300,000</w:t>
            </w:r>
          </w:p>
        </w:tc>
        <w:tc>
          <w:tcPr>
            <w:vAlign w:val="center"/>
          </w:tcPr>
          <w:p>
            <w:pPr>
              <w:jc w:val="right"/>
            </w:pPr>
            <w:r>
              <w:rPr>
                <w:color w:val="000000"/>
                <w:sz w:val="24"/>
              </w:rPr>
              <w:t>31,983,000.00</w:t>
            </w:r>
          </w:p>
        </w:tc>
        <w:tc>
          <w:tcPr>
            <w:vAlign w:val="center"/>
          </w:tcPr>
          <w:p>
            <w:pPr>
              <w:jc w:val="right"/>
            </w:pPr>
            <w:r>
              <w:rPr>
                <w:color w:val="000000"/>
                <w:sz w:val="24"/>
              </w:rPr>
              <w:t>4.61</w:t>
            </w:r>
          </w:p>
        </w:tc>
      </w:tr>
      <w:tr>
        <w:tc>
          <w:tcPr>
            <w:vAlign w:val="center"/>
          </w:tcPr>
          <w:p>
            <w:pPr>
              <w:jc w:val="center"/>
            </w:pPr>
            <w:r>
              <w:rPr>
                <w:color w:val="000000"/>
                <w:sz w:val="24"/>
              </w:rPr>
              <w:t>3</w:t>
            </w:r>
          </w:p>
        </w:tc>
        <w:tc>
          <w:tcPr>
            <w:vAlign w:val="center"/>
          </w:tcPr>
          <w:p>
            <w:pPr>
              <w:jc w:val="center"/>
            </w:pPr>
            <w:r>
              <w:rPr>
                <w:color w:val="000000"/>
                <w:sz w:val="24"/>
              </w:rPr>
              <w:t>101800775</w:t>
            </w:r>
          </w:p>
        </w:tc>
        <w:tc>
          <w:tcPr>
            <w:vAlign w:val="center"/>
          </w:tcPr>
          <w:p>
            <w:pPr>
              <w:jc w:val="center"/>
            </w:pPr>
            <w:r>
              <w:rPr>
                <w:color w:val="000000"/>
                <w:sz w:val="24"/>
              </w:rPr>
              <w:t>18苏州高新MTN002</w:t>
            </w:r>
          </w:p>
        </w:tc>
        <w:tc>
          <w:tcPr>
            <w:vAlign w:val="center"/>
          </w:tcPr>
          <w:p>
            <w:pPr>
              <w:jc w:val="right"/>
            </w:pPr>
            <w:r>
              <w:rPr>
                <w:color w:val="000000"/>
                <w:sz w:val="24"/>
              </w:rPr>
              <w:t>300,000</w:t>
            </w:r>
          </w:p>
        </w:tc>
        <w:tc>
          <w:tcPr>
            <w:vAlign w:val="center"/>
          </w:tcPr>
          <w:p>
            <w:pPr>
              <w:jc w:val="right"/>
            </w:pPr>
            <w:r>
              <w:rPr>
                <w:color w:val="000000"/>
                <w:sz w:val="24"/>
              </w:rPr>
              <w:t>31,701,000.00</w:t>
            </w:r>
          </w:p>
        </w:tc>
        <w:tc>
          <w:tcPr>
            <w:vAlign w:val="center"/>
          </w:tcPr>
          <w:p>
            <w:pPr>
              <w:jc w:val="right"/>
            </w:pPr>
            <w:r>
              <w:rPr>
                <w:color w:val="000000"/>
                <w:sz w:val="24"/>
              </w:rPr>
              <w:t>4.57</w:t>
            </w:r>
          </w:p>
        </w:tc>
      </w:tr>
      <w:tr>
        <w:tc>
          <w:tcPr>
            <w:vAlign w:val="center"/>
          </w:tcPr>
          <w:p>
            <w:pPr>
              <w:jc w:val="center"/>
            </w:pPr>
            <w:r>
              <w:rPr>
                <w:color w:val="000000"/>
                <w:sz w:val="24"/>
              </w:rPr>
              <w:t>4</w:t>
            </w:r>
          </w:p>
        </w:tc>
        <w:tc>
          <w:tcPr>
            <w:vAlign w:val="center"/>
          </w:tcPr>
          <w:p>
            <w:pPr>
              <w:jc w:val="center"/>
            </w:pPr>
            <w:r>
              <w:rPr>
                <w:color w:val="000000"/>
                <w:sz w:val="24"/>
              </w:rPr>
              <w:t>101800790</w:t>
            </w:r>
          </w:p>
        </w:tc>
        <w:tc>
          <w:tcPr>
            <w:vAlign w:val="center"/>
          </w:tcPr>
          <w:p>
            <w:pPr>
              <w:jc w:val="center"/>
            </w:pPr>
            <w:r>
              <w:rPr>
                <w:color w:val="000000"/>
                <w:sz w:val="24"/>
              </w:rPr>
              <w:t>18古井MTN002</w:t>
            </w:r>
          </w:p>
        </w:tc>
        <w:tc>
          <w:tcPr>
            <w:vAlign w:val="center"/>
          </w:tcPr>
          <w:p>
            <w:pPr>
              <w:jc w:val="right"/>
            </w:pPr>
            <w:r>
              <w:rPr>
                <w:color w:val="000000"/>
                <w:sz w:val="24"/>
              </w:rPr>
              <w:t>300,000</w:t>
            </w:r>
          </w:p>
        </w:tc>
        <w:tc>
          <w:tcPr>
            <w:vAlign w:val="center"/>
          </w:tcPr>
          <w:p>
            <w:pPr>
              <w:jc w:val="right"/>
            </w:pPr>
            <w:r>
              <w:rPr>
                <w:color w:val="000000"/>
                <w:sz w:val="24"/>
              </w:rPr>
              <w:t>31,131,000.00</w:t>
            </w:r>
          </w:p>
        </w:tc>
        <w:tc>
          <w:tcPr>
            <w:vAlign w:val="center"/>
          </w:tcPr>
          <w:p>
            <w:pPr>
              <w:jc w:val="right"/>
            </w:pPr>
            <w:r>
              <w:rPr>
                <w:color w:val="000000"/>
                <w:sz w:val="24"/>
              </w:rPr>
              <w:t>4.49</w:t>
            </w:r>
          </w:p>
        </w:tc>
      </w:tr>
      <w:tr>
        <w:tc>
          <w:tcPr>
            <w:vAlign w:val="center"/>
          </w:tcPr>
          <w:p>
            <w:pPr>
              <w:jc w:val="center"/>
            </w:pPr>
            <w:r>
              <w:rPr>
                <w:color w:val="000000"/>
                <w:sz w:val="24"/>
              </w:rPr>
              <w:t>5</w:t>
            </w:r>
          </w:p>
        </w:tc>
        <w:tc>
          <w:tcPr>
            <w:vAlign w:val="center"/>
          </w:tcPr>
          <w:p>
            <w:pPr>
              <w:jc w:val="center"/>
            </w:pPr>
            <w:r>
              <w:rPr>
                <w:color w:val="000000"/>
                <w:sz w:val="24"/>
              </w:rPr>
              <w:t>101800295</w:t>
            </w:r>
          </w:p>
        </w:tc>
        <w:tc>
          <w:tcPr>
            <w:vAlign w:val="center"/>
          </w:tcPr>
          <w:p>
            <w:pPr>
              <w:jc w:val="center"/>
            </w:pPr>
            <w:r>
              <w:rPr>
                <w:color w:val="000000"/>
                <w:sz w:val="24"/>
              </w:rPr>
              <w:t>18萧山钱江MTN002</w:t>
            </w:r>
          </w:p>
        </w:tc>
        <w:tc>
          <w:tcPr>
            <w:vAlign w:val="center"/>
          </w:tcPr>
          <w:p>
            <w:pPr>
              <w:jc w:val="right"/>
            </w:pPr>
            <w:r>
              <w:rPr>
                <w:color w:val="000000"/>
                <w:sz w:val="24"/>
              </w:rPr>
              <w:t>300,000</w:t>
            </w:r>
          </w:p>
        </w:tc>
        <w:tc>
          <w:tcPr>
            <w:vAlign w:val="center"/>
          </w:tcPr>
          <w:p>
            <w:pPr>
              <w:jc w:val="right"/>
            </w:pPr>
            <w:r>
              <w:rPr>
                <w:color w:val="000000"/>
                <w:sz w:val="24"/>
              </w:rPr>
              <w:t>31,122,000.00</w:t>
            </w:r>
          </w:p>
        </w:tc>
        <w:tc>
          <w:tcPr>
            <w:vAlign w:val="center"/>
          </w:tcPr>
          <w:p>
            <w:pPr>
              <w:jc w:val="right"/>
            </w:pPr>
            <w:r>
              <w:rPr>
                <w:color w:val="000000"/>
                <w:sz w:val="24"/>
              </w:rPr>
              <w:t>4.49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11,938.26</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17,106,386.52</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2,133,382.47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19,251,707.25</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14,257,364.20</w:t>
            </w:r>
          </w:p>
        </w:tc>
        <w:tc>
          <w:tcPr>
            <w:vAlign w:val="center"/>
          </w:tcPr>
          <w:p>
            <w:pPr>
              <w:jc w:val="right"/>
            </w:pPr>
            <w:r>
              <w:rPr>
                <w:rFonts w:eastAsiaTheme="minorEastAsia"/>
                <w:color w:val="000000"/>
                <w:sz w:val="24"/>
              </w:rPr>
              <w:t>2.06</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128035</w:t>
            </w:r>
          </w:p>
        </w:tc>
        <w:tc>
          <w:tcPr>
            <w:vAlign w:val="center"/>
          </w:tcPr>
          <w:p>
            <w:pPr>
              <w:jc w:val="center"/>
            </w:pPr>
            <w:r>
              <w:rPr>
                <w:rFonts w:eastAsiaTheme="minorEastAsia"/>
                <w:color w:val="000000"/>
                <w:sz w:val="24"/>
              </w:rPr>
              <w:t>大族转债</w:t>
            </w:r>
          </w:p>
        </w:tc>
        <w:tc>
          <w:tcPr>
            <w:vAlign w:val="center"/>
          </w:tcPr>
          <w:p>
            <w:pPr>
              <w:jc w:val="right"/>
            </w:pPr>
            <w:r>
              <w:rPr>
                <w:rFonts w:eastAsiaTheme="minorEastAsia"/>
                <w:color w:val="000000"/>
                <w:sz w:val="24"/>
              </w:rPr>
              <w:t>11,357,788.18</w:t>
            </w:r>
          </w:p>
        </w:tc>
        <w:tc>
          <w:tcPr>
            <w:vAlign w:val="center"/>
          </w:tcPr>
          <w:p>
            <w:pPr>
              <w:jc w:val="right"/>
            </w:pPr>
            <w:r>
              <w:rPr>
                <w:rFonts w:eastAsiaTheme="minorEastAsia"/>
                <w:color w:val="000000"/>
                <w:sz w:val="24"/>
              </w:rPr>
              <w:t>1.64</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113021</w:t>
            </w:r>
          </w:p>
        </w:tc>
        <w:tc>
          <w:tcPr>
            <w:vAlign w:val="center"/>
          </w:tcPr>
          <w:p>
            <w:pPr>
              <w:jc w:val="center"/>
            </w:pPr>
            <w:r>
              <w:rPr>
                <w:rFonts w:eastAsiaTheme="minorEastAsia"/>
                <w:color w:val="000000"/>
                <w:sz w:val="24"/>
              </w:rPr>
              <w:t>中信转债</w:t>
            </w:r>
          </w:p>
        </w:tc>
        <w:tc>
          <w:tcPr>
            <w:vAlign w:val="center"/>
          </w:tcPr>
          <w:p>
            <w:pPr>
              <w:jc w:val="right"/>
            </w:pPr>
            <w:r>
              <w:rPr>
                <w:rFonts w:eastAsiaTheme="minorEastAsia"/>
                <w:color w:val="000000"/>
                <w:sz w:val="24"/>
              </w:rPr>
              <w:t>9,139,449.20</w:t>
            </w:r>
          </w:p>
        </w:tc>
        <w:tc>
          <w:tcPr>
            <w:vAlign w:val="center"/>
          </w:tcPr>
          <w:p>
            <w:pPr>
              <w:jc w:val="right"/>
            </w:pPr>
            <w:r>
              <w:rPr>
                <w:rFonts w:eastAsiaTheme="minorEastAsia"/>
                <w:color w:val="000000"/>
                <w:sz w:val="24"/>
              </w:rPr>
              <w:t>1.32</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128054</w:t>
            </w:r>
          </w:p>
        </w:tc>
        <w:tc>
          <w:tcPr>
            <w:vAlign w:val="center"/>
          </w:tcPr>
          <w:p>
            <w:pPr>
              <w:jc w:val="center"/>
            </w:pPr>
            <w:r>
              <w:rPr>
                <w:rFonts w:eastAsiaTheme="minorEastAsia"/>
                <w:color w:val="000000"/>
                <w:sz w:val="24"/>
              </w:rPr>
              <w:t>中宠转债</w:t>
            </w:r>
          </w:p>
        </w:tc>
        <w:tc>
          <w:tcPr>
            <w:vAlign w:val="center"/>
          </w:tcPr>
          <w:p>
            <w:pPr>
              <w:jc w:val="right"/>
            </w:pPr>
            <w:r>
              <w:rPr>
                <w:rFonts w:eastAsiaTheme="minorEastAsia"/>
                <w:color w:val="000000"/>
                <w:sz w:val="24"/>
              </w:rPr>
              <w:t>4,674,992.40</w:t>
            </w:r>
          </w:p>
        </w:tc>
        <w:tc>
          <w:tcPr>
            <w:vAlign w:val="center"/>
          </w:tcPr>
          <w:p>
            <w:pPr>
              <w:jc w:val="right"/>
            </w:pPr>
            <w:r>
              <w:rPr>
                <w:rFonts w:eastAsiaTheme="minorEastAsia"/>
                <w:color w:val="000000"/>
                <w:sz w:val="24"/>
              </w:rPr>
              <w:t>0.67</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110053</w:t>
            </w:r>
          </w:p>
        </w:tc>
        <w:tc>
          <w:tcPr>
            <w:vAlign w:val="center"/>
          </w:tcPr>
          <w:p>
            <w:pPr>
              <w:jc w:val="center"/>
            </w:pPr>
            <w:r>
              <w:rPr>
                <w:rFonts w:eastAsiaTheme="minorEastAsia"/>
                <w:color w:val="000000"/>
                <w:sz w:val="24"/>
              </w:rPr>
              <w:t>苏银转债</w:t>
            </w:r>
          </w:p>
        </w:tc>
        <w:tc>
          <w:tcPr>
            <w:vAlign w:val="center"/>
          </w:tcPr>
          <w:p>
            <w:pPr>
              <w:jc w:val="right"/>
            </w:pPr>
            <w:r>
              <w:rPr>
                <w:rFonts w:eastAsiaTheme="minorEastAsia"/>
                <w:color w:val="000000"/>
                <w:sz w:val="24"/>
              </w:rPr>
              <w:t>4,338,734.40</w:t>
            </w:r>
          </w:p>
        </w:tc>
        <w:tc>
          <w:tcPr>
            <w:vAlign w:val="center"/>
          </w:tcPr>
          <w:p>
            <w:pPr>
              <w:jc w:val="right"/>
            </w:pPr>
            <w:r>
              <w:rPr>
                <w:rFonts w:eastAsiaTheme="minorEastAsia"/>
                <w:color w:val="000000"/>
                <w:sz w:val="24"/>
              </w:rPr>
              <w:t>0.63</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110047</w:t>
            </w:r>
          </w:p>
        </w:tc>
        <w:tc>
          <w:tcPr>
            <w:vAlign w:val="center"/>
          </w:tcPr>
          <w:p>
            <w:pPr>
              <w:jc w:val="center"/>
            </w:pPr>
            <w:r>
              <w:rPr>
                <w:rFonts w:eastAsiaTheme="minorEastAsia"/>
                <w:color w:val="000000"/>
                <w:sz w:val="24"/>
              </w:rPr>
              <w:t>山鹰转债</w:t>
            </w:r>
          </w:p>
        </w:tc>
        <w:tc>
          <w:tcPr>
            <w:vAlign w:val="center"/>
          </w:tcPr>
          <w:p>
            <w:pPr>
              <w:jc w:val="right"/>
            </w:pPr>
            <w:r>
              <w:rPr>
                <w:rFonts w:eastAsiaTheme="minorEastAsia"/>
                <w:color w:val="000000"/>
                <w:sz w:val="24"/>
              </w:rPr>
              <w:t>3,441,719.70</w:t>
            </w:r>
          </w:p>
        </w:tc>
        <w:tc>
          <w:tcPr>
            <w:vAlign w:val="center"/>
          </w:tcPr>
          <w:p>
            <w:pPr>
              <w:jc w:val="right"/>
            </w:pPr>
            <w:r>
              <w:rPr>
                <w:rFonts w:eastAsiaTheme="minorEastAsia"/>
                <w:color w:val="000000"/>
                <w:sz w:val="24"/>
              </w:rPr>
              <w:t>0.50</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113517</w:t>
            </w:r>
          </w:p>
        </w:tc>
        <w:tc>
          <w:tcPr>
            <w:vAlign w:val="center"/>
          </w:tcPr>
          <w:p>
            <w:pPr>
              <w:jc w:val="center"/>
            </w:pPr>
            <w:r>
              <w:rPr>
                <w:rFonts w:eastAsiaTheme="minorEastAsia"/>
                <w:color w:val="000000"/>
                <w:sz w:val="24"/>
              </w:rPr>
              <w:t>曙光转债</w:t>
            </w:r>
          </w:p>
        </w:tc>
        <w:tc>
          <w:tcPr>
            <w:vAlign w:val="center"/>
          </w:tcPr>
          <w:p>
            <w:pPr>
              <w:jc w:val="right"/>
            </w:pPr>
            <w:r>
              <w:rPr>
                <w:rFonts w:eastAsiaTheme="minorEastAsia"/>
                <w:color w:val="000000"/>
                <w:sz w:val="24"/>
              </w:rPr>
              <w:t>2,668,986.60</w:t>
            </w:r>
          </w:p>
        </w:tc>
        <w:tc>
          <w:tcPr>
            <w:vAlign w:val="center"/>
          </w:tcPr>
          <w:p>
            <w:pPr>
              <w:jc w:val="right"/>
            </w:pPr>
            <w:r>
              <w:rPr>
                <w:rFonts w:eastAsiaTheme="minorEastAsia"/>
                <w:color w:val="000000"/>
                <w:sz w:val="24"/>
              </w:rPr>
              <w:t>0.38</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交银增利债券A/B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交银增利债券C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407,274,650.78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193,870,133.67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25,181,800.95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199,975,533.83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67,768,458.29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90,420,377.15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364,687,993.44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303,425,290.35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1、中国证监会批准交银施罗德增利债券证券投资基金募集的文件；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2、《交银施罗德增利债券证券投资基金基金合同》；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3、《交银施罗德增利债券证券投资基金招募说明书》；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4、《交银施罗德增利债券证券投资基金托管协议》；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5、关于募集交银施罗德增利债券证券投资基金之法律意见书；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8、报告期内交银施罗德增利债券证券投资基金在指定报刊上各项公告的原稿。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3" w:rsidRDefault="000C4653">
      <w:r>
        <w:separator/>
      </w:r>
    </w:p>
  </w:endnote>
  <w:endnote w:type="continuationSeparator" w:id="0">
    <w:p w:rsidR="000C4653" w:rsidRDefault="000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5793">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5793">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0C4653" w:rsidRDefault="000C4653">
      <w:r>
        <w:separator/>
      </w:r>
    </w:p>
  </w:footnote>
  <w:footnote w:id="0" w:type="continuationSeparator">
    <w:p w:rsidR="000C4653" w:rsidRDefault="000C465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交银施罗德增利债券证券投资基金2019年第4季度报告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5424C-2D01-4B90-A923-78EEFAAC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240</TotalTime>
  <Pages>27</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2019-11-26T02:16:00Z</dcterms:modified>
  <cp:revision>402</cp:revision>
</cp:coreProperties>
</file>