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交银施罗德阿尔法核心混合型证券投资基金</w:t>
      </w:r>
    </w:p>
    <w:p w:rsidP="00C15CAC" w:rsidR="002279D3" w:rsidRDefault="002279D3" w:rsidRPr="0081286B">
      <w:pPr>
        <w:spacing w:before="29" w:line="288" w:lineRule="auto"/>
        <w:jc w:val="center"/>
        <w:rPr>
          <w:b/>
          <w:sz w:val="36"/>
          <w:szCs w:val="36"/>
        </w:rPr>
      </w:pPr>
      <w:r w:rsidRPr="0081286B">
        <w:rPr>
          <w:b/>
          <w:sz w:val="36"/>
          <w:szCs w:val="36"/>
        </w:rPr>
        <w:t>2019年第4季度报告</w:t>
      </w:r>
    </w:p>
    <w:p w:rsidP="00C15CAC" w:rsidR="004061AC" w:rsidRDefault="00655CD8" w:rsidRPr="0081286B">
      <w:pPr>
        <w:spacing w:before="29" w:line="288" w:lineRule="auto"/>
        <w:jc w:val="center"/>
        <w:rPr>
          <w:b/>
          <w:sz w:val="36"/>
          <w:szCs w:val="36"/>
        </w:rPr>
      </w:pPr>
      <w:r w:rsidRPr="0081286B">
        <w:rPr>
          <w:b/>
          <w:sz w:val="36"/>
          <w:szCs w:val="36"/>
        </w:rPr>
        <w:t>2019年12月31日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中国建设银行股份有限公司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二〇二〇年一月二十一日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基金托管人中国建设银行股份有限公司根据本基金合同规定，于2020年1月20日复核了本报告中的财务指标、净值表现和投资组合报告等内容，保证复核内容不存在虚假记载、误导性陈述或者重大遗漏。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本报告期自2019年10月1日起至12月31日止。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交银阿尔法核心混合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519712</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519712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519713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2012年8月3日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2,272,144,911.89</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本基金通过积极发挥团队选股优势，结合基本面多因子指标等组合管理手段选择具有显著阿尔法特征的个股，在控制风险并保持基金资产良好的流动性的前提下，追求长期持续稳定高于业绩比较基准的投资回报。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本基金充分发挥基金管理人的专业研究能力，以数量化工具辅助自上而下的资产配置，积极发挥研究团队的选股优势，结合基本面多因子指标自下而上精选个股，以谋求风险调整后的良好收益。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75%×沪深300指数收益率+25%×中证综合债券指数收益率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(2019年10月1日-2019年12月31日)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335,693,031.56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494,787,483.41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0.2467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5,932,681,326.02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2.611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10.12%</w:t>
            </w:r>
          </w:p>
        </w:tc>
        <w:tc>
          <w:tcPr>
            <w:vAlign w:val="center"/>
          </w:tcPr>
          <w:p>
            <w:pPr>
              <w:jc w:val="center"/>
            </w:pPr>
            <w:r>
              <w:rPr>
                <w:color w:val="000000"/>
                <w:sz w:val="24"/>
                <w:szCs w:val="24"/>
              </w:rPr>
              <w:t>0.97%</w:t>
            </w:r>
          </w:p>
        </w:tc>
        <w:tc>
          <w:tcPr>
            <w:vAlign w:val="center"/>
          </w:tcPr>
          <w:p>
            <w:pPr>
              <w:jc w:val="center"/>
            </w:pPr>
            <w:r>
              <w:rPr>
                <w:color w:val="000000"/>
                <w:sz w:val="24"/>
                <w:szCs w:val="24"/>
              </w:rPr>
              <w:t>5.85%</w:t>
            </w:r>
          </w:p>
        </w:tc>
        <w:tc>
          <w:tcPr>
            <w:vAlign w:val="center"/>
          </w:tcPr>
          <w:p>
            <w:pPr>
              <w:jc w:val="center"/>
            </w:pPr>
            <w:r>
              <w:rPr>
                <w:color w:val="000000"/>
                <w:sz w:val="24"/>
                <w:szCs w:val="24"/>
              </w:rPr>
              <w:t>0.55%</w:t>
            </w:r>
          </w:p>
        </w:tc>
        <w:tc>
          <w:tcPr>
            <w:vAlign w:val="center"/>
          </w:tcPr>
          <w:p>
            <w:pPr>
              <w:jc w:val="center"/>
            </w:pPr>
            <w:r>
              <w:rPr>
                <w:color w:val="000000"/>
                <w:sz w:val="24"/>
                <w:szCs w:val="24"/>
              </w:rPr>
              <w:t>4.27%</w:t>
            </w:r>
          </w:p>
        </w:tc>
        <w:tc>
          <w:tcPr>
            <w:vAlign w:val="center"/>
          </w:tcPr>
          <w:p>
            <w:pPr>
              <w:jc w:val="center"/>
            </w:pPr>
            <w:r>
              <w:rPr>
                <w:color w:val="000000"/>
                <w:sz w:val="24"/>
                <w:szCs w:val="24"/>
              </w:rPr>
              <w:t>0.42%</w:t>
            </w:r>
          </w:p>
        </w:tc>
      </w:tr>
    </w:tbl>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2015年10月1日起，由“75%×沪深300指数收益率+25%×中信标普全债指数收益率”变更为“75%×沪深300指数收益率+25%×中证综合债券指数收益率”，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交银施罗德阿尔法核心混合型证券投资基金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2012年8月3日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2019年12月31日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何帅</w:t>
            </w:r>
          </w:p>
        </w:tc>
        <w:tc>
          <w:tcPr>
            <w:vAlign w:val="center"/>
          </w:tcPr>
          <w:p>
            <w:pPr>
              <w:jc w:val="center"/>
            </w:pPr>
            <w:r>
              <w:rPr>
                <w:color w:val="000000"/>
                <w:sz w:val="24"/>
                <w:szCs w:val="24"/>
              </w:rPr>
              <w:t>交银优势行业混合、交银阿尔法核心混合、交银持续成长主题混合的基金经理</w:t>
            </w:r>
          </w:p>
        </w:tc>
        <w:tc>
          <w:tcPr>
            <w:vAlign w:val="center"/>
          </w:tcPr>
          <w:p>
            <w:pPr>
              <w:jc w:val="center"/>
            </w:pPr>
            <w:r>
              <w:rPr>
                <w:color w:val="000000"/>
                <w:sz w:val="24"/>
                <w:szCs w:val="24"/>
              </w:rPr>
              <w:t>2015-09-16</w:t>
            </w:r>
          </w:p>
        </w:tc>
        <w:tc>
          <w:tcPr>
            <w:vAlign w:val="center"/>
          </w:tcPr>
          <w:p>
            <w:pPr>
              <w:jc w:val="center"/>
            </w:pPr>
            <w:r>
              <w:rPr>
                <w:color w:val="000000"/>
                <w:sz w:val="24"/>
                <w:szCs w:val="24"/>
              </w:rPr>
              <w:t>-</w:t>
            </w:r>
          </w:p>
        </w:tc>
        <w:tc>
          <w:tcPr>
            <w:vAlign w:val="center"/>
          </w:tcPr>
          <w:p>
            <w:pPr>
              <w:jc w:val="center"/>
            </w:pPr>
            <w:r>
              <w:rPr>
                <w:color w:val="000000"/>
                <w:sz w:val="24"/>
                <w:szCs w:val="24"/>
              </w:rPr>
              <w:t>9年</w:t>
            </w:r>
          </w:p>
        </w:tc>
        <w:tc>
          <w:tcPr>
            <w:vAlign w:val="center"/>
          </w:tcPr>
          <w:p>
            <w:pPr>
              <w:jc w:val="both"/>
            </w:pPr>
            <w:r>
              <w:rPr>
                <w:color w:val="000000"/>
                <w:sz w:val="24"/>
                <w:szCs w:val="24"/>
              </w:rPr>
              <w:t>何帅先生，上海财经大学硕士。历任国联安基金管理有限公司研究员。2012年加入交银施罗德基金管理有限公司，历任行业分析师。</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2019年四季度A股市场波动加大。在季初，市场较为担忧通胀压力，而在季末，市场则对新能源车、半导体及周期行业关注度快速上升，相关个股及行业获得了可观涨幅。</w:t>
      </w:r>
    </w:p>
    <w:p>
      <w:pPr>
        <w:spacing w:before="29" w:line="288" w:lineRule="auto"/>
        <w:ind w:firstLine="480" w:firstLineChars="200"/>
        <w:rPr>
          <w:color w:val="000000"/>
          <w:sz w:val="24"/>
          <w:szCs w:val="24"/>
        </w:rPr>
      </w:pPr>
      <w:r>
        <w:rPr>
          <w:color w:val="000000"/>
          <w:sz w:val="24"/>
          <w:szCs w:val="24"/>
        </w:rPr>
        <w:t>本基金在四季度跑赢业绩比较基准，主要原因是持仓结构偏向成长类，以及相关个股估值回升。</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流动性相对宽松，其他大类资产预期回报较低的环境下，我们整体对市场中长期表现相对乐观，市场吸引力可能会缓慢显现。但从短期看，四季度市场对于2020年可能的变化机会开始提前预期和表现，比如新能源车及周期行业，使得一些2020年增长确定的行业也逐渐进行了估值切换。虽然从侧面反映出市场情绪较好，但也蕴含了提前透支预期的可能。所以在这个时点，我们将更多从安全性的角度，寻找未来两到三年成长性较为确定，并且估值合理的标的。我们希望通过深度研究，找到需求可持续增长的行业，竞争力可持续拓宽的公司，享受公司价值的可持续成长，并希望以此能够持续为持有人获得超额收益。</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4,082,515,120.82</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67.12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4,082,515,120.82</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67.12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250,421,069.80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4.12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250,421,069.80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4.12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1,500,000,870.00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24.66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203,904,578.96</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3.35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45,908,000.01</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0.75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6,082,749,639.59</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64,516,666.60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1.09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499,300.00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1,509,244,253.52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25.44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1,656,900.00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237,600.00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210,105,987.52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3.54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37,985,594.00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0.64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1,398,949,597.97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23.58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155,461,655.14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2.62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470,409,020.63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7.93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290,500.00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8,225,280.42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0.14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505,483.32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224,427,281.70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3.78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4,082,515,120.82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68.81</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300188</w:t>
            </w:r>
          </w:p>
        </w:tc>
        <w:tc>
          <w:tcPr>
            <w:vAlign w:val="center"/>
          </w:tcPr>
          <w:p>
            <w:pPr>
              <w:jc w:val="center"/>
            </w:pPr>
            <w:r>
              <w:rPr>
                <w:color w:val="000000"/>
                <w:sz w:val="24"/>
                <w:szCs w:val="24"/>
              </w:rPr>
              <w:t>美亚柏科</w:t>
            </w:r>
          </w:p>
        </w:tc>
        <w:tc>
          <w:tcPr>
            <w:vAlign w:val="center"/>
          </w:tcPr>
          <w:p>
            <w:pPr>
              <w:jc w:val="right"/>
            </w:pPr>
            <w:r>
              <w:rPr>
                <w:color w:val="000000"/>
                <w:sz w:val="24"/>
                <w:szCs w:val="24"/>
              </w:rPr>
              <w:t>20,531,638</w:t>
            </w:r>
          </w:p>
        </w:tc>
        <w:tc>
          <w:tcPr>
            <w:vAlign w:val="center"/>
          </w:tcPr>
          <w:p>
            <w:pPr>
              <w:jc w:val="right"/>
            </w:pPr>
            <w:r>
              <w:rPr>
                <w:color w:val="000000"/>
                <w:sz w:val="24"/>
                <w:szCs w:val="24"/>
              </w:rPr>
              <w:t>351,091,009.80</w:t>
            </w:r>
          </w:p>
        </w:tc>
        <w:tc>
          <w:tcPr>
            <w:vAlign w:val="center"/>
          </w:tcPr>
          <w:p>
            <w:pPr>
              <w:jc w:val="right"/>
            </w:pPr>
            <w:r>
              <w:rPr>
                <w:color w:val="000000"/>
                <w:sz w:val="24"/>
                <w:szCs w:val="24"/>
              </w:rPr>
              <w:t>5.92</w:t>
            </w:r>
          </w:p>
        </w:tc>
      </w:tr>
      <w:tr>
        <w:tc>
          <w:tcPr>
            <w:vAlign w:val="center"/>
          </w:tcPr>
          <w:p>
            <w:pPr>
              <w:jc w:val="center"/>
            </w:pPr>
            <w:r>
              <w:rPr>
                <w:color w:val="000000"/>
                <w:sz w:val="24"/>
                <w:szCs w:val="24"/>
              </w:rPr>
              <w:t>2</w:t>
            </w:r>
          </w:p>
        </w:tc>
        <w:tc>
          <w:tcPr>
            <w:vAlign w:val="center"/>
          </w:tcPr>
          <w:p>
            <w:pPr>
              <w:jc w:val="center"/>
            </w:pPr>
            <w:r>
              <w:rPr>
                <w:color w:val="000000"/>
                <w:sz w:val="24"/>
                <w:szCs w:val="24"/>
              </w:rPr>
              <w:t>002050</w:t>
            </w:r>
          </w:p>
        </w:tc>
        <w:tc>
          <w:tcPr>
            <w:vAlign w:val="center"/>
          </w:tcPr>
          <w:p>
            <w:pPr>
              <w:jc w:val="center"/>
            </w:pPr>
            <w:r>
              <w:rPr>
                <w:color w:val="000000"/>
                <w:sz w:val="24"/>
                <w:szCs w:val="24"/>
              </w:rPr>
              <w:t>三花智控</w:t>
            </w:r>
          </w:p>
        </w:tc>
        <w:tc>
          <w:tcPr>
            <w:vAlign w:val="center"/>
          </w:tcPr>
          <w:p>
            <w:pPr>
              <w:jc w:val="right"/>
            </w:pPr>
            <w:r>
              <w:rPr>
                <w:color w:val="000000"/>
                <w:sz w:val="24"/>
                <w:szCs w:val="24"/>
              </w:rPr>
              <w:t>14,336,146</w:t>
            </w:r>
          </w:p>
        </w:tc>
        <w:tc>
          <w:tcPr>
            <w:vAlign w:val="center"/>
          </w:tcPr>
          <w:p>
            <w:pPr>
              <w:jc w:val="right"/>
            </w:pPr>
            <w:r>
              <w:rPr>
                <w:color w:val="000000"/>
                <w:sz w:val="24"/>
                <w:szCs w:val="24"/>
              </w:rPr>
              <w:t>248,445,410.18</w:t>
            </w:r>
          </w:p>
        </w:tc>
        <w:tc>
          <w:tcPr>
            <w:vAlign w:val="center"/>
          </w:tcPr>
          <w:p>
            <w:pPr>
              <w:jc w:val="right"/>
            </w:pPr>
            <w:r>
              <w:rPr>
                <w:color w:val="000000"/>
                <w:sz w:val="24"/>
                <w:szCs w:val="24"/>
              </w:rPr>
              <w:t>4.19</w:t>
            </w:r>
          </w:p>
        </w:tc>
      </w:tr>
      <w:tr>
        <w:tc>
          <w:tcPr>
            <w:vAlign w:val="center"/>
          </w:tcPr>
          <w:p>
            <w:pPr>
              <w:jc w:val="center"/>
            </w:pPr>
            <w:r>
              <w:rPr>
                <w:color w:val="000000"/>
                <w:sz w:val="24"/>
                <w:szCs w:val="24"/>
              </w:rPr>
              <w:t>3</w:t>
            </w:r>
          </w:p>
        </w:tc>
        <w:tc>
          <w:tcPr>
            <w:vAlign w:val="center"/>
          </w:tcPr>
          <w:p>
            <w:pPr>
              <w:jc w:val="center"/>
            </w:pPr>
            <w:r>
              <w:rPr>
                <w:color w:val="000000"/>
                <w:sz w:val="24"/>
                <w:szCs w:val="24"/>
              </w:rPr>
              <w:t>300078</w:t>
            </w:r>
          </w:p>
        </w:tc>
        <w:tc>
          <w:tcPr>
            <w:vAlign w:val="center"/>
          </w:tcPr>
          <w:p>
            <w:pPr>
              <w:jc w:val="center"/>
            </w:pPr>
            <w:r>
              <w:rPr>
                <w:color w:val="000000"/>
                <w:sz w:val="24"/>
                <w:szCs w:val="24"/>
              </w:rPr>
              <w:t>思创医惠</w:t>
            </w:r>
          </w:p>
        </w:tc>
        <w:tc>
          <w:tcPr>
            <w:vAlign w:val="center"/>
          </w:tcPr>
          <w:p>
            <w:pPr>
              <w:jc w:val="right"/>
            </w:pPr>
            <w:r>
              <w:rPr>
                <w:color w:val="000000"/>
                <w:sz w:val="24"/>
                <w:szCs w:val="24"/>
              </w:rPr>
              <w:t>20,228,957</w:t>
            </w:r>
          </w:p>
        </w:tc>
        <w:tc>
          <w:tcPr>
            <w:vAlign w:val="center"/>
          </w:tcPr>
          <w:p>
            <w:pPr>
              <w:jc w:val="right"/>
            </w:pPr>
            <w:r>
              <w:rPr>
                <w:color w:val="000000"/>
                <w:sz w:val="24"/>
                <w:szCs w:val="24"/>
              </w:rPr>
              <w:t>248,411,591.96</w:t>
            </w:r>
          </w:p>
        </w:tc>
        <w:tc>
          <w:tcPr>
            <w:vAlign w:val="center"/>
          </w:tcPr>
          <w:p>
            <w:pPr>
              <w:jc w:val="right"/>
            </w:pPr>
            <w:r>
              <w:rPr>
                <w:color w:val="000000"/>
                <w:sz w:val="24"/>
                <w:szCs w:val="24"/>
              </w:rPr>
              <w:t>4.19</w:t>
            </w:r>
          </w:p>
        </w:tc>
      </w:tr>
      <w:tr>
        <w:tc>
          <w:tcPr>
            <w:vAlign w:val="center"/>
          </w:tcPr>
          <w:p>
            <w:pPr>
              <w:jc w:val="center"/>
            </w:pPr>
            <w:r>
              <w:rPr>
                <w:color w:val="000000"/>
                <w:sz w:val="24"/>
                <w:szCs w:val="24"/>
              </w:rPr>
              <w:t>4</w:t>
            </w:r>
          </w:p>
        </w:tc>
        <w:tc>
          <w:tcPr>
            <w:vAlign w:val="center"/>
          </w:tcPr>
          <w:p>
            <w:pPr>
              <w:jc w:val="center"/>
            </w:pPr>
            <w:r>
              <w:rPr>
                <w:color w:val="000000"/>
                <w:sz w:val="24"/>
                <w:szCs w:val="24"/>
              </w:rPr>
              <w:t>002475</w:t>
            </w:r>
          </w:p>
        </w:tc>
        <w:tc>
          <w:tcPr>
            <w:vAlign w:val="center"/>
          </w:tcPr>
          <w:p>
            <w:pPr>
              <w:jc w:val="center"/>
            </w:pPr>
            <w:r>
              <w:rPr>
                <w:color w:val="000000"/>
                <w:sz w:val="24"/>
                <w:szCs w:val="24"/>
              </w:rPr>
              <w:t>立讯精密</w:t>
            </w:r>
          </w:p>
        </w:tc>
        <w:tc>
          <w:tcPr>
            <w:vAlign w:val="center"/>
          </w:tcPr>
          <w:p>
            <w:pPr>
              <w:jc w:val="right"/>
            </w:pPr>
            <w:r>
              <w:rPr>
                <w:color w:val="000000"/>
                <w:sz w:val="24"/>
                <w:szCs w:val="24"/>
              </w:rPr>
              <w:t>5,921,114</w:t>
            </w:r>
          </w:p>
        </w:tc>
        <w:tc>
          <w:tcPr>
            <w:vAlign w:val="center"/>
          </w:tcPr>
          <w:p>
            <w:pPr>
              <w:jc w:val="right"/>
            </w:pPr>
            <w:r>
              <w:rPr>
                <w:color w:val="000000"/>
                <w:sz w:val="24"/>
                <w:szCs w:val="24"/>
              </w:rPr>
              <w:t>216,120,661.00</w:t>
            </w:r>
          </w:p>
        </w:tc>
        <w:tc>
          <w:tcPr>
            <w:vAlign w:val="center"/>
          </w:tcPr>
          <w:p>
            <w:pPr>
              <w:jc w:val="right"/>
            </w:pPr>
            <w:r>
              <w:rPr>
                <w:color w:val="000000"/>
                <w:sz w:val="24"/>
                <w:szCs w:val="24"/>
              </w:rPr>
              <w:t>3.64</w:t>
            </w:r>
          </w:p>
        </w:tc>
      </w:tr>
      <w:tr>
        <w:tc>
          <w:tcPr>
            <w:vAlign w:val="center"/>
          </w:tcPr>
          <w:p>
            <w:pPr>
              <w:jc w:val="center"/>
            </w:pPr>
            <w:r>
              <w:rPr>
                <w:color w:val="000000"/>
                <w:sz w:val="24"/>
                <w:szCs w:val="24"/>
              </w:rPr>
              <w:t>5</w:t>
            </w:r>
          </w:p>
        </w:tc>
        <w:tc>
          <w:tcPr>
            <w:vAlign w:val="center"/>
          </w:tcPr>
          <w:p>
            <w:pPr>
              <w:jc w:val="center"/>
            </w:pPr>
            <w:r>
              <w:rPr>
                <w:color w:val="000000"/>
                <w:sz w:val="24"/>
                <w:szCs w:val="24"/>
              </w:rPr>
              <w:t>300365</w:t>
            </w:r>
          </w:p>
        </w:tc>
        <w:tc>
          <w:tcPr>
            <w:vAlign w:val="center"/>
          </w:tcPr>
          <w:p>
            <w:pPr>
              <w:jc w:val="center"/>
            </w:pPr>
            <w:r>
              <w:rPr>
                <w:color w:val="000000"/>
                <w:sz w:val="24"/>
                <w:szCs w:val="24"/>
              </w:rPr>
              <w:t>恒华科技</w:t>
            </w:r>
          </w:p>
        </w:tc>
        <w:tc>
          <w:tcPr>
            <w:vAlign w:val="center"/>
          </w:tcPr>
          <w:p>
            <w:pPr>
              <w:jc w:val="right"/>
            </w:pPr>
            <w:r>
              <w:rPr>
                <w:color w:val="000000"/>
                <w:sz w:val="24"/>
                <w:szCs w:val="24"/>
              </w:rPr>
              <w:t>16,279,603</w:t>
            </w:r>
          </w:p>
        </w:tc>
        <w:tc>
          <w:tcPr>
            <w:vAlign w:val="center"/>
          </w:tcPr>
          <w:p>
            <w:pPr>
              <w:jc w:val="right"/>
            </w:pPr>
            <w:r>
              <w:rPr>
                <w:color w:val="000000"/>
                <w:sz w:val="24"/>
                <w:szCs w:val="24"/>
              </w:rPr>
              <w:t>210,658,062.82</w:t>
            </w:r>
          </w:p>
        </w:tc>
        <w:tc>
          <w:tcPr>
            <w:vAlign w:val="center"/>
          </w:tcPr>
          <w:p>
            <w:pPr>
              <w:jc w:val="right"/>
            </w:pPr>
            <w:r>
              <w:rPr>
                <w:color w:val="000000"/>
                <w:sz w:val="24"/>
                <w:szCs w:val="24"/>
              </w:rPr>
              <w:t>3.55</w:t>
            </w:r>
          </w:p>
        </w:tc>
      </w:tr>
      <w:tr>
        <w:tc>
          <w:tcPr>
            <w:vAlign w:val="center"/>
          </w:tcPr>
          <w:p>
            <w:pPr>
              <w:jc w:val="center"/>
            </w:pPr>
            <w:r>
              <w:rPr>
                <w:color w:val="000000"/>
                <w:sz w:val="24"/>
                <w:szCs w:val="24"/>
              </w:rPr>
              <w:t>6</w:t>
            </w:r>
          </w:p>
        </w:tc>
        <w:tc>
          <w:tcPr>
            <w:vAlign w:val="center"/>
          </w:tcPr>
          <w:p>
            <w:pPr>
              <w:jc w:val="center"/>
            </w:pPr>
            <w:r>
              <w:rPr>
                <w:color w:val="000000"/>
                <w:sz w:val="24"/>
                <w:szCs w:val="24"/>
              </w:rPr>
              <w:t>000501</w:t>
            </w:r>
          </w:p>
        </w:tc>
        <w:tc>
          <w:tcPr>
            <w:vAlign w:val="center"/>
          </w:tcPr>
          <w:p>
            <w:pPr>
              <w:jc w:val="center"/>
            </w:pPr>
            <w:r>
              <w:rPr>
                <w:color w:val="000000"/>
                <w:sz w:val="24"/>
                <w:szCs w:val="24"/>
              </w:rPr>
              <w:t>鄂武商A</w:t>
            </w:r>
          </w:p>
        </w:tc>
        <w:tc>
          <w:tcPr>
            <w:vAlign w:val="center"/>
          </w:tcPr>
          <w:p>
            <w:pPr>
              <w:jc w:val="right"/>
            </w:pPr>
            <w:r>
              <w:rPr>
                <w:color w:val="000000"/>
                <w:sz w:val="24"/>
                <w:szCs w:val="24"/>
              </w:rPr>
              <w:t>15,821,234</w:t>
            </w:r>
          </w:p>
        </w:tc>
        <w:tc>
          <w:tcPr>
            <w:vAlign w:val="center"/>
          </w:tcPr>
          <w:p>
            <w:pPr>
              <w:jc w:val="right"/>
            </w:pPr>
            <w:r>
              <w:rPr>
                <w:color w:val="000000"/>
                <w:sz w:val="24"/>
                <w:szCs w:val="24"/>
              </w:rPr>
              <w:t>210,105,987.52</w:t>
            </w:r>
          </w:p>
        </w:tc>
        <w:tc>
          <w:tcPr>
            <w:vAlign w:val="center"/>
          </w:tcPr>
          <w:p>
            <w:pPr>
              <w:jc w:val="right"/>
            </w:pPr>
            <w:r>
              <w:rPr>
                <w:color w:val="000000"/>
                <w:sz w:val="24"/>
                <w:szCs w:val="24"/>
              </w:rPr>
              <w:t>3.54</w:t>
            </w:r>
          </w:p>
        </w:tc>
      </w:tr>
      <w:tr>
        <w:tc>
          <w:tcPr>
            <w:vAlign w:val="center"/>
          </w:tcPr>
          <w:p>
            <w:pPr>
              <w:jc w:val="center"/>
            </w:pPr>
            <w:r>
              <w:rPr>
                <w:color w:val="000000"/>
                <w:sz w:val="24"/>
                <w:szCs w:val="24"/>
              </w:rPr>
              <w:t>7</w:t>
            </w:r>
          </w:p>
        </w:tc>
        <w:tc>
          <w:tcPr>
            <w:vAlign w:val="center"/>
          </w:tcPr>
          <w:p>
            <w:pPr>
              <w:jc w:val="center"/>
            </w:pPr>
            <w:r>
              <w:rPr>
                <w:color w:val="000000"/>
                <w:sz w:val="24"/>
                <w:szCs w:val="24"/>
              </w:rPr>
              <w:t>600529</w:t>
            </w:r>
          </w:p>
        </w:tc>
        <w:tc>
          <w:tcPr>
            <w:vAlign w:val="center"/>
          </w:tcPr>
          <w:p>
            <w:pPr>
              <w:jc w:val="center"/>
            </w:pPr>
            <w:r>
              <w:rPr>
                <w:color w:val="000000"/>
                <w:sz w:val="24"/>
                <w:szCs w:val="24"/>
              </w:rPr>
              <w:t>山东药玻</w:t>
            </w:r>
          </w:p>
        </w:tc>
        <w:tc>
          <w:tcPr>
            <w:vAlign w:val="center"/>
          </w:tcPr>
          <w:p>
            <w:pPr>
              <w:jc w:val="right"/>
            </w:pPr>
            <w:r>
              <w:rPr>
                <w:color w:val="000000"/>
                <w:sz w:val="24"/>
                <w:szCs w:val="24"/>
              </w:rPr>
              <w:t>7,201,229</w:t>
            </w:r>
          </w:p>
        </w:tc>
        <w:tc>
          <w:tcPr>
            <w:vAlign w:val="center"/>
          </w:tcPr>
          <w:p>
            <w:pPr>
              <w:jc w:val="right"/>
            </w:pPr>
            <w:r>
              <w:rPr>
                <w:color w:val="000000"/>
                <w:sz w:val="24"/>
                <w:szCs w:val="24"/>
              </w:rPr>
              <w:t>199,041,969.56</w:t>
            </w:r>
          </w:p>
        </w:tc>
        <w:tc>
          <w:tcPr>
            <w:vAlign w:val="center"/>
          </w:tcPr>
          <w:p>
            <w:pPr>
              <w:jc w:val="right"/>
            </w:pPr>
            <w:r>
              <w:rPr>
                <w:color w:val="000000"/>
                <w:sz w:val="24"/>
                <w:szCs w:val="24"/>
              </w:rPr>
              <w:t>3.36</w:t>
            </w:r>
          </w:p>
        </w:tc>
      </w:tr>
      <w:tr>
        <w:tc>
          <w:tcPr>
            <w:vAlign w:val="center"/>
          </w:tcPr>
          <w:p>
            <w:pPr>
              <w:jc w:val="center"/>
            </w:pPr>
            <w:r>
              <w:rPr>
                <w:color w:val="000000"/>
                <w:sz w:val="24"/>
                <w:szCs w:val="24"/>
              </w:rPr>
              <w:t>8</w:t>
            </w:r>
          </w:p>
        </w:tc>
        <w:tc>
          <w:tcPr>
            <w:vAlign w:val="center"/>
          </w:tcPr>
          <w:p>
            <w:pPr>
              <w:jc w:val="center"/>
            </w:pPr>
            <w:r>
              <w:rPr>
                <w:color w:val="000000"/>
                <w:sz w:val="24"/>
                <w:szCs w:val="24"/>
              </w:rPr>
              <w:t>000002</w:t>
            </w:r>
          </w:p>
        </w:tc>
        <w:tc>
          <w:tcPr>
            <w:vAlign w:val="center"/>
          </w:tcPr>
          <w:p>
            <w:pPr>
              <w:jc w:val="center"/>
            </w:pPr>
            <w:r>
              <w:rPr>
                <w:color w:val="000000"/>
                <w:sz w:val="24"/>
                <w:szCs w:val="24"/>
              </w:rPr>
              <w:t>万科A</w:t>
            </w:r>
          </w:p>
        </w:tc>
        <w:tc>
          <w:tcPr>
            <w:vAlign w:val="center"/>
          </w:tcPr>
          <w:p>
            <w:pPr>
              <w:jc w:val="right"/>
            </w:pPr>
            <w:r>
              <w:rPr>
                <w:color w:val="000000"/>
                <w:sz w:val="24"/>
                <w:szCs w:val="24"/>
              </w:rPr>
              <w:t>6,154,976</w:t>
            </w:r>
          </w:p>
        </w:tc>
        <w:tc>
          <w:tcPr>
            <w:vAlign w:val="center"/>
          </w:tcPr>
          <w:p>
            <w:pPr>
              <w:jc w:val="right"/>
            </w:pPr>
            <w:r>
              <w:rPr>
                <w:color w:val="000000"/>
                <w:sz w:val="24"/>
                <w:szCs w:val="24"/>
              </w:rPr>
              <w:t>198,067,127.68</w:t>
            </w:r>
          </w:p>
        </w:tc>
        <w:tc>
          <w:tcPr>
            <w:vAlign w:val="center"/>
          </w:tcPr>
          <w:p>
            <w:pPr>
              <w:jc w:val="right"/>
            </w:pPr>
            <w:r>
              <w:rPr>
                <w:color w:val="000000"/>
                <w:sz w:val="24"/>
                <w:szCs w:val="24"/>
              </w:rPr>
              <w:t>3.34</w:t>
            </w:r>
          </w:p>
        </w:tc>
      </w:tr>
      <w:tr>
        <w:tc>
          <w:tcPr>
            <w:vAlign w:val="center"/>
          </w:tcPr>
          <w:p>
            <w:pPr>
              <w:jc w:val="center"/>
            </w:pPr>
            <w:r>
              <w:rPr>
                <w:color w:val="000000"/>
                <w:sz w:val="24"/>
                <w:szCs w:val="24"/>
              </w:rPr>
              <w:t>9</w:t>
            </w:r>
          </w:p>
        </w:tc>
        <w:tc>
          <w:tcPr>
            <w:vAlign w:val="center"/>
          </w:tcPr>
          <w:p>
            <w:pPr>
              <w:jc w:val="center"/>
            </w:pPr>
            <w:r>
              <w:rPr>
                <w:color w:val="000000"/>
                <w:sz w:val="24"/>
                <w:szCs w:val="24"/>
              </w:rPr>
              <w:t>300271</w:t>
            </w:r>
          </w:p>
        </w:tc>
        <w:tc>
          <w:tcPr>
            <w:vAlign w:val="center"/>
          </w:tcPr>
          <w:p>
            <w:pPr>
              <w:jc w:val="center"/>
            </w:pPr>
            <w:r>
              <w:rPr>
                <w:color w:val="000000"/>
                <w:sz w:val="24"/>
                <w:szCs w:val="24"/>
              </w:rPr>
              <w:t>华宇软件</w:t>
            </w:r>
          </w:p>
        </w:tc>
        <w:tc>
          <w:tcPr>
            <w:vAlign w:val="center"/>
          </w:tcPr>
          <w:p>
            <w:pPr>
              <w:jc w:val="right"/>
            </w:pPr>
            <w:r>
              <w:rPr>
                <w:color w:val="000000"/>
                <w:sz w:val="24"/>
                <w:szCs w:val="24"/>
              </w:rPr>
              <w:t>6,766,584</w:t>
            </w:r>
          </w:p>
        </w:tc>
        <w:tc>
          <w:tcPr>
            <w:vAlign w:val="center"/>
          </w:tcPr>
          <w:p>
            <w:pPr>
              <w:jc w:val="right"/>
            </w:pPr>
            <w:r>
              <w:rPr>
                <w:color w:val="000000"/>
                <w:sz w:val="24"/>
                <w:szCs w:val="24"/>
              </w:rPr>
              <w:t>171,871,233.60</w:t>
            </w:r>
          </w:p>
        </w:tc>
        <w:tc>
          <w:tcPr>
            <w:vAlign w:val="center"/>
          </w:tcPr>
          <w:p>
            <w:pPr>
              <w:jc w:val="right"/>
            </w:pPr>
            <w:r>
              <w:rPr>
                <w:color w:val="000000"/>
                <w:sz w:val="24"/>
                <w:szCs w:val="24"/>
              </w:rPr>
              <w:t>2.90</w:t>
            </w:r>
          </w:p>
        </w:tc>
      </w:tr>
      <w:tr>
        <w:tc>
          <w:tcPr>
            <w:vAlign w:val="center"/>
          </w:tcPr>
          <w:p>
            <w:pPr>
              <w:jc w:val="center"/>
            </w:pPr>
            <w:r>
              <w:rPr>
                <w:color w:val="000000"/>
                <w:sz w:val="24"/>
                <w:szCs w:val="24"/>
              </w:rPr>
              <w:t>10</w:t>
            </w:r>
          </w:p>
        </w:tc>
        <w:tc>
          <w:tcPr>
            <w:vAlign w:val="center"/>
          </w:tcPr>
          <w:p>
            <w:pPr>
              <w:jc w:val="center"/>
            </w:pPr>
            <w:r>
              <w:rPr>
                <w:color w:val="000000"/>
                <w:sz w:val="24"/>
                <w:szCs w:val="24"/>
              </w:rPr>
              <w:t>002439</w:t>
            </w:r>
          </w:p>
        </w:tc>
        <w:tc>
          <w:tcPr>
            <w:vAlign w:val="center"/>
          </w:tcPr>
          <w:p>
            <w:pPr>
              <w:jc w:val="center"/>
            </w:pPr>
            <w:r>
              <w:rPr>
                <w:color w:val="000000"/>
                <w:sz w:val="24"/>
                <w:szCs w:val="24"/>
              </w:rPr>
              <w:t>启明星辰</w:t>
            </w:r>
          </w:p>
        </w:tc>
        <w:tc>
          <w:tcPr>
            <w:vAlign w:val="center"/>
          </w:tcPr>
          <w:p>
            <w:pPr>
              <w:jc w:val="right"/>
            </w:pPr>
            <w:r>
              <w:rPr>
                <w:color w:val="000000"/>
                <w:sz w:val="24"/>
                <w:szCs w:val="24"/>
              </w:rPr>
              <w:t>4,172,398</w:t>
            </w:r>
          </w:p>
        </w:tc>
        <w:tc>
          <w:tcPr>
            <w:vAlign w:val="center"/>
          </w:tcPr>
          <w:p>
            <w:pPr>
              <w:jc w:val="right"/>
            </w:pPr>
            <w:r>
              <w:rPr>
                <w:color w:val="000000"/>
                <w:sz w:val="24"/>
                <w:szCs w:val="24"/>
              </w:rPr>
              <w:t>141,027,052.40</w:t>
            </w:r>
          </w:p>
        </w:tc>
        <w:tc>
          <w:tcPr>
            <w:vAlign w:val="center"/>
          </w:tcPr>
          <w:p>
            <w:pPr>
              <w:jc w:val="right"/>
            </w:pPr>
            <w:r>
              <w:rPr>
                <w:color w:val="000000"/>
                <w:sz w:val="24"/>
                <w:szCs w:val="24"/>
              </w:rPr>
              <w:t>2.38</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250,355,000.00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4.22</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250,355,000.00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4.22</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66,069.80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0.00</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250,421,069.80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4.22</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190405</w:t>
            </w:r>
          </w:p>
        </w:tc>
        <w:tc>
          <w:tcPr>
            <w:vAlign w:val="center"/>
          </w:tcPr>
          <w:p>
            <w:pPr>
              <w:jc w:val="center"/>
            </w:pPr>
            <w:r>
              <w:rPr>
                <w:color w:val="000000"/>
                <w:sz w:val="24"/>
                <w:szCs w:val="24"/>
              </w:rPr>
              <w:t>19农发05</w:t>
            </w:r>
          </w:p>
        </w:tc>
        <w:tc>
          <w:tcPr>
            <w:vAlign w:val="center"/>
          </w:tcPr>
          <w:p>
            <w:pPr>
              <w:jc w:val="right"/>
            </w:pPr>
            <w:r>
              <w:rPr>
                <w:color w:val="000000"/>
                <w:sz w:val="24"/>
                <w:szCs w:val="24"/>
              </w:rPr>
              <w:t>1,100,000</w:t>
            </w:r>
          </w:p>
        </w:tc>
        <w:tc>
          <w:tcPr>
            <w:vAlign w:val="center"/>
          </w:tcPr>
          <w:p>
            <w:pPr>
              <w:jc w:val="right"/>
            </w:pPr>
            <w:r>
              <w:rPr>
                <w:color w:val="000000"/>
                <w:sz w:val="24"/>
                <w:szCs w:val="24"/>
              </w:rPr>
              <w:t>110,143,000.00</w:t>
            </w:r>
          </w:p>
        </w:tc>
        <w:tc>
          <w:tcPr>
            <w:vAlign w:val="center"/>
          </w:tcPr>
          <w:p>
            <w:pPr>
              <w:jc w:val="right"/>
            </w:pPr>
            <w:r>
              <w:rPr>
                <w:color w:val="000000"/>
                <w:sz w:val="24"/>
                <w:szCs w:val="24"/>
              </w:rPr>
              <w:t>1.86</w:t>
            </w:r>
          </w:p>
        </w:tc>
      </w:tr>
      <w:tr>
        <w:tc>
          <w:tcPr>
            <w:vAlign w:val="center"/>
          </w:tcPr>
          <w:p>
            <w:pPr>
              <w:jc w:val="center"/>
            </w:pPr>
            <w:r>
              <w:rPr>
                <w:color w:val="000000"/>
                <w:sz w:val="24"/>
                <w:szCs w:val="24"/>
              </w:rPr>
              <w:t>2</w:t>
            </w:r>
          </w:p>
        </w:tc>
        <w:tc>
          <w:tcPr>
            <w:vAlign w:val="center"/>
          </w:tcPr>
          <w:p>
            <w:pPr>
              <w:jc w:val="center"/>
            </w:pPr>
            <w:r>
              <w:rPr>
                <w:color w:val="000000"/>
                <w:sz w:val="24"/>
                <w:szCs w:val="24"/>
              </w:rPr>
              <w:t>190206</w:t>
            </w:r>
          </w:p>
        </w:tc>
        <w:tc>
          <w:tcPr>
            <w:vAlign w:val="center"/>
          </w:tcPr>
          <w:p>
            <w:pPr>
              <w:jc w:val="center"/>
            </w:pPr>
            <w:r>
              <w:rPr>
                <w:color w:val="000000"/>
                <w:sz w:val="24"/>
                <w:szCs w:val="24"/>
              </w:rPr>
              <w:t>19国开06</w:t>
            </w:r>
          </w:p>
        </w:tc>
        <w:tc>
          <w:tcPr>
            <w:vAlign w:val="center"/>
          </w:tcPr>
          <w:p>
            <w:pPr>
              <w:jc w:val="right"/>
            </w:pPr>
            <w:r>
              <w:rPr>
                <w:color w:val="000000"/>
                <w:sz w:val="24"/>
                <w:szCs w:val="24"/>
              </w:rPr>
              <w:t>800,000</w:t>
            </w:r>
          </w:p>
        </w:tc>
        <w:tc>
          <w:tcPr>
            <w:vAlign w:val="center"/>
          </w:tcPr>
          <w:p>
            <w:pPr>
              <w:jc w:val="right"/>
            </w:pPr>
            <w:r>
              <w:rPr>
                <w:color w:val="000000"/>
                <w:sz w:val="24"/>
                <w:szCs w:val="24"/>
              </w:rPr>
              <w:t>80,128,000.00</w:t>
            </w:r>
          </w:p>
        </w:tc>
        <w:tc>
          <w:tcPr>
            <w:vAlign w:val="center"/>
          </w:tcPr>
          <w:p>
            <w:pPr>
              <w:jc w:val="right"/>
            </w:pPr>
            <w:r>
              <w:rPr>
                <w:color w:val="000000"/>
                <w:sz w:val="24"/>
                <w:szCs w:val="24"/>
              </w:rPr>
              <w:t>1.35</w:t>
            </w:r>
          </w:p>
        </w:tc>
      </w:tr>
      <w:tr>
        <w:tc>
          <w:tcPr>
            <w:vAlign w:val="center"/>
          </w:tcPr>
          <w:p>
            <w:pPr>
              <w:jc w:val="center"/>
            </w:pPr>
            <w:r>
              <w:rPr>
                <w:color w:val="000000"/>
                <w:sz w:val="24"/>
                <w:szCs w:val="24"/>
              </w:rPr>
              <w:t>3</w:t>
            </w:r>
          </w:p>
        </w:tc>
        <w:tc>
          <w:tcPr>
            <w:vAlign w:val="center"/>
          </w:tcPr>
          <w:p>
            <w:pPr>
              <w:jc w:val="center"/>
            </w:pPr>
            <w:r>
              <w:rPr>
                <w:color w:val="000000"/>
                <w:sz w:val="24"/>
                <w:szCs w:val="24"/>
              </w:rPr>
              <w:t>190211</w:t>
            </w:r>
          </w:p>
        </w:tc>
        <w:tc>
          <w:tcPr>
            <w:vAlign w:val="center"/>
          </w:tcPr>
          <w:p>
            <w:pPr>
              <w:jc w:val="center"/>
            </w:pPr>
            <w:r>
              <w:rPr>
                <w:color w:val="000000"/>
                <w:sz w:val="24"/>
                <w:szCs w:val="24"/>
              </w:rPr>
              <w:t>19国开11</w:t>
            </w:r>
          </w:p>
        </w:tc>
        <w:tc>
          <w:tcPr>
            <w:vAlign w:val="center"/>
          </w:tcPr>
          <w:p>
            <w:pPr>
              <w:jc w:val="right"/>
            </w:pPr>
            <w:r>
              <w:rPr>
                <w:color w:val="000000"/>
                <w:sz w:val="24"/>
                <w:szCs w:val="24"/>
              </w:rPr>
              <w:t>600,000</w:t>
            </w:r>
          </w:p>
        </w:tc>
        <w:tc>
          <w:tcPr>
            <w:vAlign w:val="center"/>
          </w:tcPr>
          <w:p>
            <w:pPr>
              <w:jc w:val="right"/>
            </w:pPr>
            <w:r>
              <w:rPr>
                <w:color w:val="000000"/>
                <w:sz w:val="24"/>
                <w:szCs w:val="24"/>
              </w:rPr>
              <w:t>60,084,000.00</w:t>
            </w:r>
          </w:p>
        </w:tc>
        <w:tc>
          <w:tcPr>
            <w:vAlign w:val="center"/>
          </w:tcPr>
          <w:p>
            <w:pPr>
              <w:jc w:val="right"/>
            </w:pPr>
            <w:r>
              <w:rPr>
                <w:color w:val="000000"/>
                <w:sz w:val="24"/>
                <w:szCs w:val="24"/>
              </w:rPr>
              <w:t>1.01</w:t>
            </w:r>
          </w:p>
        </w:tc>
      </w:tr>
      <w:tr>
        <w:tc>
          <w:tcPr>
            <w:vAlign w:val="center"/>
          </w:tcPr>
          <w:p>
            <w:pPr>
              <w:jc w:val="center"/>
            </w:pPr>
            <w:r>
              <w:rPr>
                <w:color w:val="000000"/>
                <w:sz w:val="24"/>
                <w:szCs w:val="24"/>
              </w:rPr>
              <w:t>4</w:t>
            </w:r>
          </w:p>
        </w:tc>
        <w:tc>
          <w:tcPr>
            <w:vAlign w:val="center"/>
          </w:tcPr>
          <w:p>
            <w:pPr>
              <w:jc w:val="center"/>
            </w:pPr>
            <w:r>
              <w:rPr>
                <w:color w:val="000000"/>
                <w:sz w:val="24"/>
                <w:szCs w:val="24"/>
              </w:rPr>
              <w:t>113011</w:t>
            </w:r>
          </w:p>
        </w:tc>
        <w:tc>
          <w:tcPr>
            <w:vAlign w:val="center"/>
          </w:tcPr>
          <w:p>
            <w:pPr>
              <w:jc w:val="center"/>
            </w:pPr>
            <w:r>
              <w:rPr>
                <w:color w:val="000000"/>
                <w:sz w:val="24"/>
                <w:szCs w:val="24"/>
              </w:rPr>
              <w:t>光大转债</w:t>
            </w:r>
          </w:p>
        </w:tc>
        <w:tc>
          <w:tcPr>
            <w:vAlign w:val="center"/>
          </w:tcPr>
          <w:p>
            <w:pPr>
              <w:jc w:val="right"/>
            </w:pPr>
            <w:r>
              <w:rPr>
                <w:color w:val="000000"/>
                <w:sz w:val="24"/>
                <w:szCs w:val="24"/>
              </w:rPr>
              <w:t>530</w:t>
            </w:r>
          </w:p>
        </w:tc>
        <w:tc>
          <w:tcPr>
            <w:vAlign w:val="center"/>
          </w:tcPr>
          <w:p>
            <w:pPr>
              <w:jc w:val="right"/>
            </w:pPr>
            <w:r>
              <w:rPr>
                <w:color w:val="000000"/>
                <w:sz w:val="24"/>
                <w:szCs w:val="24"/>
              </w:rPr>
              <w:t>66,069.80</w:t>
            </w:r>
          </w:p>
        </w:tc>
        <w:tc>
          <w:tcPr>
            <w:vAlign w:val="center"/>
          </w:tcPr>
          <w:p>
            <w:pPr>
              <w:jc w:val="right"/>
            </w:pPr>
            <w:r>
              <w:rPr>
                <w:color w:val="000000"/>
                <w:sz w:val="24"/>
                <w:szCs w:val="24"/>
              </w:rPr>
              <w:t>0.00</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1,383,407.95</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10,376,874.18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3,604,166.62</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30,543,551.26</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45,908,000.01</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173B44" w:rsidR="00173B44" w:rsidRDefault="00173B44"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883"/>
        <w:gridCol w:w="1801"/>
        <w:gridCol w:w="1727"/>
        <w:gridCol w:w="1768"/>
        <w:gridCol w:w="1689"/>
      </w:tblGrid>
      <w:tr w:rsidR="003E62FB" w:rsidRPr="00414345" w:rsidTr="00A324F4">
        <w:trPr>
          <w:jc w:val="center"/>
        </w:trPr>
        <w:tc>
          <w:tcPr>
            <w:tcW w:type="dxa" w:w="180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729"/>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65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69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62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9D1BD9">
              <w:rPr>
                <w:rFonts w:hint="eastAsia"/>
                <w:color w:val="000000"/>
                <w:sz w:val="24"/>
                <w:szCs w:val="24"/>
              </w:rPr>
              <w:t>(</w:t>
            </w:r>
            <w:r w:rsidR="009D1BD9">
              <w:rPr>
                <w:color w:val="000000"/>
                <w:sz w:val="24"/>
                <w:szCs w:val="24"/>
              </w:rPr>
              <w:t>%</w:t>
            </w:r>
            <w:r w:rsidR="009D1BD9">
              <w:rPr>
                <w:rFonts w:hint="eastAsia"/>
                <w:color w:val="000000"/>
                <w:sz w:val="24"/>
                <w:szCs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113011</w:t>
            </w:r>
          </w:p>
        </w:tc>
        <w:tc>
          <w:tcPr>
            <w:vAlign w:val="center"/>
          </w:tcPr>
          <w:p>
            <w:pPr>
              <w:jc w:val="center"/>
            </w:pPr>
            <w:r>
              <w:rPr>
                <w:color w:val="000000"/>
                <w:sz w:val="24"/>
                <w:szCs w:val="24"/>
              </w:rPr>
              <w:t>光大转债</w:t>
            </w:r>
          </w:p>
        </w:tc>
        <w:tc>
          <w:tcPr>
            <w:vAlign w:val="center"/>
          </w:tcPr>
          <w:p>
            <w:pPr>
              <w:jc w:val="right"/>
            </w:pPr>
            <w:r>
              <w:rPr>
                <w:color w:val="000000"/>
                <w:sz w:val="24"/>
                <w:szCs w:val="24"/>
              </w:rPr>
              <w:t>66,069.80</w:t>
            </w:r>
          </w:p>
        </w:tc>
        <w:tc>
          <w:tcPr>
            <w:vAlign w:val="center"/>
          </w:tcPr>
          <w:p>
            <w:pPr>
              <w:jc w:val="right"/>
            </w:pPr>
            <w:r>
              <w:rPr>
                <w:color w:val="000000"/>
                <w:sz w:val="24"/>
                <w:szCs w:val="24"/>
              </w:rPr>
              <w:t>0.00</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bookmarkStart w:id="2" w:name="_GoBack"/>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bookmarkEnd w:id="2"/>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1,686,538,273.91</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1,378,648,307.39</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793,041,669.41</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2,272,144,911.89</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hint="eastAsia"/>
          <w:b/>
          <w:bCs/>
          <w:color w:val="000000"/>
          <w:kern w:val="0"/>
          <w:sz w:val="24"/>
          <w:szCs w:val="24"/>
        </w:rPr>
        <w:t>8.1 影响投资者决策的其他重要信息</w:t>
      </w:r>
    </w:p>
    <w:p w:rsidP="003C50AD" w:rsidR="003C50AD" w:rsidRDefault="003C50AD" w:rsidRPr="004F4D27">
      <w:pPr>
        <w:spacing w:line="360" w:lineRule="auto"/>
        <w:ind w:firstLine="420" w:firstLineChars="200"/>
        <w:rPr>
          <w:rFonts w:ascii="宋体" w:hAnsi="宋体"/>
          <w:color w:val="000000"/>
        </w:rPr>
      </w:pPr>
      <w:r w:rsidRPr="004F4D27">
        <w:rPr>
          <w:rFonts w:ascii="宋体" w:hAnsi="宋体"/>
          <w:color w:val="000000"/>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P="00C15CAC" w:rsidR="00ED6E80" w:rsidRDefault="00ED6E80" w:rsidRPr="00414345">
      <w:pPr>
        <w:spacing w:before="29" w:line="288" w:lineRule="auto"/>
        <w:ind w:firstLine="480" w:firstLineChars="200"/>
        <w:rPr>
          <w:color w:val="000000"/>
          <w:sz w:val="24"/>
          <w:szCs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1、中国证监会核准交银施罗德阿尔法核心股票型证券投资基金募集的文件； </w:t>
      </w:r>
    </w:p>
    <w:p>
      <w:pPr>
        <w:spacing w:before="29" w:line="288" w:lineRule="auto"/>
        <w:ind w:firstLine="480" w:firstLineChars="200"/>
        <w:rPr>
          <w:color w:val="000000"/>
          <w:sz w:val="24"/>
          <w:szCs w:val="24"/>
        </w:rPr>
      </w:pPr>
      <w:r>
        <w:rPr>
          <w:color w:val="000000"/>
          <w:sz w:val="24"/>
          <w:szCs w:val="24"/>
        </w:rPr>
        <w:t xml:space="preserve">2、《交银施罗德阿尔法核心混合型证券投资基金基金合同》；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3、《交银施罗德阿尔法核心混合型证券投资基金招募说明书》； </w:t>
      </w:r>
    </w:p>
    <w:p>
      <w:pPr>
        <w:spacing w:before="29" w:line="288" w:lineRule="auto"/>
        <w:ind w:firstLine="480" w:firstLineChars="200"/>
        <w:rPr>
          <w:color w:val="000000"/>
          <w:sz w:val="24"/>
          <w:szCs w:val="24"/>
        </w:rPr>
      </w:pPr>
      <w:r>
        <w:rPr>
          <w:color w:val="000000"/>
          <w:sz w:val="24"/>
          <w:szCs w:val="24"/>
        </w:rPr>
        <w:t>4、《交银施罗德阿尔法核心混合型证券投资基金托管协议》；</w:t>
      </w:r>
    </w:p>
    <w:p>
      <w:pPr>
        <w:spacing w:before="29" w:line="288" w:lineRule="auto"/>
        <w:ind w:firstLine="480" w:firstLineChars="200"/>
        <w:rPr>
          <w:color w:val="000000"/>
          <w:sz w:val="24"/>
          <w:szCs w:val="24"/>
        </w:rPr>
      </w:pPr>
      <w:r>
        <w:rPr>
          <w:color w:val="000000"/>
          <w:sz w:val="24"/>
          <w:szCs w:val="24"/>
        </w:rPr>
        <w:t>5、关于募集交银施罗德阿尔法核心股票型证券投资基金之法律意见书；</w:t>
      </w:r>
    </w:p>
    <w:p>
      <w:pPr>
        <w:spacing w:before="29" w:line="288" w:lineRule="auto"/>
        <w:ind w:firstLine="480" w:firstLineChars="200"/>
        <w:rPr>
          <w:color w:val="000000"/>
          <w:sz w:val="24"/>
          <w:szCs w:val="24"/>
        </w:rPr>
      </w:pPr>
      <w:r>
        <w:rPr>
          <w:color w:val="000000"/>
          <w:sz w:val="24"/>
          <w:szCs w:val="24"/>
        </w:rPr>
        <w:t>6、基金管理人业务资格批件、营业执照；</w:t>
      </w:r>
    </w:p>
    <w:p>
      <w:pPr>
        <w:spacing w:before="29" w:line="288" w:lineRule="auto"/>
        <w:ind w:firstLine="480" w:firstLineChars="200"/>
        <w:rPr>
          <w:color w:val="000000"/>
          <w:sz w:val="24"/>
          <w:szCs w:val="24"/>
        </w:rPr>
      </w:pPr>
      <w:r>
        <w:rPr>
          <w:color w:val="000000"/>
          <w:sz w:val="24"/>
          <w:szCs w:val="24"/>
        </w:rPr>
        <w:t>7、基金托管人业务资格批件、营业执照；</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8、报告期内交银施罗德阿尔法核心混合型证券投资基金在指定报刊上各项公告的原稿。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00" w:rsidRDefault="00B83A00" w:rsidP="00876D65">
      <w:r>
        <w:separator/>
      </w:r>
    </w:p>
  </w:endnote>
  <w:endnote w:type="continuationSeparator" w:id="0">
    <w:p w:rsidR="00B83A00" w:rsidRDefault="00B83A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6B0D08">
      <w:rPr>
        <w:noProof/>
        <w:kern w:val="0"/>
        <w:szCs w:val="21"/>
      </w:rPr>
      <w:t>18</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6B0D08">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B83A00" w:rsidRDefault="00B83A00">
      <w:r>
        <w:separator/>
      </w:r>
    </w:p>
  </w:footnote>
  <w:footnote w:id="0" w:type="continuationSeparator">
    <w:p w:rsidP="00876D65" w:rsidR="00B83A00" w:rsidRDefault="00B83A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交银施罗德阿尔法核心混合型证券投资基金2019年第4季度报告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A34F0-22B9-46A2-A0CE-73A273E3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2019-08-22T08:30:00Z</dcterms:modified>
  <cp:revision>597</cp:revision>
</cp:coreProperties>
</file>